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EA" w:rsidRDefault="001949EA" w:rsidP="00865B4B">
      <w:pPr>
        <w:rPr>
          <w:lang w:val="en-US"/>
        </w:rPr>
      </w:pPr>
    </w:p>
    <w:tbl>
      <w:tblPr>
        <w:tblStyle w:val="Tablaconcuadrcula"/>
        <w:tblW w:w="9496" w:type="dxa"/>
        <w:tblInd w:w="392" w:type="dxa"/>
        <w:tblLook w:val="04A0" w:firstRow="1" w:lastRow="0" w:firstColumn="1" w:lastColumn="0" w:noHBand="0" w:noVBand="1"/>
      </w:tblPr>
      <w:tblGrid>
        <w:gridCol w:w="573"/>
        <w:gridCol w:w="252"/>
        <w:gridCol w:w="1472"/>
        <w:gridCol w:w="7250"/>
      </w:tblGrid>
      <w:tr w:rsidR="001949EA" w:rsidRPr="00AF1EE1" w:rsidTr="00F216FD">
        <w:tc>
          <w:tcPr>
            <w:tcW w:w="2297" w:type="dxa"/>
            <w:gridSpan w:val="3"/>
          </w:tcPr>
          <w:p w:rsidR="001949EA" w:rsidRPr="00AF1EE1" w:rsidRDefault="001949EA" w:rsidP="001949EA">
            <w:pPr>
              <w:ind w:left="142"/>
              <w:rPr>
                <w:b/>
              </w:rPr>
            </w:pPr>
            <w:r w:rsidRPr="00AF1EE1">
              <w:rPr>
                <w:b/>
              </w:rPr>
              <w:t>Indicator name</w:t>
            </w:r>
          </w:p>
        </w:tc>
        <w:tc>
          <w:tcPr>
            <w:tcW w:w="7199" w:type="dxa"/>
          </w:tcPr>
          <w:p w:rsidR="001949EA" w:rsidRPr="00AF1EE1" w:rsidRDefault="001949EA" w:rsidP="00F216FD">
            <w:pPr>
              <w:ind w:left="142"/>
            </w:pPr>
            <w:r w:rsidRPr="00AF1EE1">
              <w:t xml:space="preserve">Tourism </w:t>
            </w:r>
            <w:r w:rsidR="00F216FD">
              <w:t>flows</w:t>
            </w:r>
            <w:r w:rsidR="00FC5508">
              <w:t xml:space="preserve"> </w:t>
            </w:r>
            <w:r w:rsidR="00993A57">
              <w:t>(1.</w:t>
            </w:r>
            <w:r w:rsidR="00FC5508">
              <w:t xml:space="preserve"> Tourism arrivals</w:t>
            </w:r>
            <w:r w:rsidR="00993A57">
              <w:t>)</w:t>
            </w:r>
          </w:p>
        </w:tc>
      </w:tr>
      <w:tr w:rsidR="001949EA" w:rsidRPr="00AF1EE1" w:rsidTr="00F216FD">
        <w:tc>
          <w:tcPr>
            <w:tcW w:w="2297" w:type="dxa"/>
            <w:gridSpan w:val="3"/>
          </w:tcPr>
          <w:p w:rsidR="001949EA" w:rsidRPr="00AF1EE1" w:rsidRDefault="001949EA" w:rsidP="001949EA">
            <w:pPr>
              <w:ind w:left="142"/>
              <w:rPr>
                <w:b/>
              </w:rPr>
            </w:pPr>
            <w:r w:rsidRPr="00AF1EE1">
              <w:rPr>
                <w:b/>
              </w:rPr>
              <w:t>ASSESSMENT</w:t>
            </w:r>
          </w:p>
        </w:tc>
        <w:tc>
          <w:tcPr>
            <w:tcW w:w="7199" w:type="dxa"/>
          </w:tcPr>
          <w:p w:rsidR="001949EA" w:rsidRPr="00AF1EE1" w:rsidRDefault="001949EA" w:rsidP="001949EA">
            <w:pPr>
              <w:ind w:left="142"/>
            </w:pPr>
          </w:p>
        </w:tc>
      </w:tr>
      <w:tr w:rsidR="001949EA" w:rsidRPr="00AF1EE1" w:rsidTr="00F216FD">
        <w:tc>
          <w:tcPr>
            <w:tcW w:w="2297" w:type="dxa"/>
            <w:gridSpan w:val="3"/>
          </w:tcPr>
          <w:p w:rsidR="001949EA" w:rsidRPr="00AF1EE1" w:rsidRDefault="001949EA" w:rsidP="001949EA">
            <w:pPr>
              <w:ind w:left="142"/>
            </w:pPr>
            <w:r w:rsidRPr="00AF1EE1">
              <w:t>Indicator Name</w:t>
            </w:r>
          </w:p>
        </w:tc>
        <w:tc>
          <w:tcPr>
            <w:tcW w:w="7199" w:type="dxa"/>
          </w:tcPr>
          <w:p w:rsidR="001949EA" w:rsidRDefault="00F216FD" w:rsidP="00F216FD">
            <w:pPr>
              <w:ind w:left="142"/>
              <w:rPr>
                <w:lang w:val="en-US"/>
              </w:rPr>
            </w:pPr>
            <w:r>
              <w:rPr>
                <w:lang w:val="en-US"/>
              </w:rPr>
              <w:t xml:space="preserve">TOUR001a – </w:t>
            </w:r>
            <w:r w:rsidR="001949EA" w:rsidRPr="00AF1EE1">
              <w:rPr>
                <w:lang w:val="en-US"/>
              </w:rPr>
              <w:t>Tourism</w:t>
            </w:r>
            <w:r w:rsidR="00127B8D" w:rsidRPr="00AF1EE1">
              <w:rPr>
                <w:lang w:val="en-US"/>
              </w:rPr>
              <w:t xml:space="preserve"> </w:t>
            </w:r>
            <w:r w:rsidR="007F218A" w:rsidRPr="00AF1EE1">
              <w:rPr>
                <w:lang w:val="en-US"/>
              </w:rPr>
              <w:t>arrivals</w:t>
            </w:r>
            <w:r w:rsidR="00DA28BF" w:rsidRPr="00AF1EE1">
              <w:rPr>
                <w:lang w:val="en-US"/>
              </w:rPr>
              <w:t xml:space="preserve"> </w:t>
            </w:r>
            <w:r>
              <w:rPr>
                <w:lang w:val="en-US"/>
              </w:rPr>
              <w:t>(domestic vs international) at country level</w:t>
            </w:r>
          </w:p>
          <w:p w:rsidR="00F216FD" w:rsidRDefault="00F216FD" w:rsidP="00F216FD">
            <w:pPr>
              <w:ind w:left="142"/>
              <w:rPr>
                <w:lang w:val="en-US"/>
              </w:rPr>
            </w:pPr>
            <w:r>
              <w:rPr>
                <w:lang w:val="en-US"/>
              </w:rPr>
              <w:t>TOUR001b – Tourism arrivals (domestic vs international) at NUTS2 level</w:t>
            </w:r>
          </w:p>
          <w:p w:rsidR="00FC5508" w:rsidRPr="00AF1EE1" w:rsidRDefault="00FC5508" w:rsidP="00F216FD">
            <w:pPr>
              <w:ind w:left="142"/>
              <w:rPr>
                <w:lang w:val="en-US"/>
              </w:rPr>
            </w:pPr>
            <w:r>
              <w:rPr>
                <w:lang w:val="en-US"/>
              </w:rPr>
              <w:t>TOUR001i – Tourism arrivals (time series)</w:t>
            </w:r>
          </w:p>
        </w:tc>
      </w:tr>
      <w:tr w:rsidR="001949EA" w:rsidRPr="00AF1EE1" w:rsidTr="00F216FD">
        <w:tc>
          <w:tcPr>
            <w:tcW w:w="2297" w:type="dxa"/>
            <w:gridSpan w:val="3"/>
          </w:tcPr>
          <w:p w:rsidR="001949EA" w:rsidRPr="00AF1EE1" w:rsidRDefault="001949EA" w:rsidP="001949EA">
            <w:pPr>
              <w:ind w:left="142"/>
            </w:pPr>
            <w:r w:rsidRPr="00AF1EE1">
              <w:t>Key policy question</w:t>
            </w:r>
          </w:p>
        </w:tc>
        <w:tc>
          <w:tcPr>
            <w:tcW w:w="7199" w:type="dxa"/>
          </w:tcPr>
          <w:p w:rsidR="007F218A" w:rsidRPr="00AF1EE1" w:rsidRDefault="001949EA" w:rsidP="00A23B1F">
            <w:pPr>
              <w:spacing w:line="276" w:lineRule="auto"/>
              <w:ind w:left="142"/>
              <w:rPr>
                <w:lang w:val="en-US"/>
              </w:rPr>
            </w:pPr>
            <w:r w:rsidRPr="00AF1EE1">
              <w:rPr>
                <w:lang w:val="en-US"/>
              </w:rPr>
              <w:t>What are the most tourism intensive regions in Europe?</w:t>
            </w:r>
          </w:p>
        </w:tc>
      </w:tr>
      <w:tr w:rsidR="001949EA" w:rsidRPr="00AF1EE1" w:rsidTr="00F216FD">
        <w:tc>
          <w:tcPr>
            <w:tcW w:w="2297" w:type="dxa"/>
            <w:gridSpan w:val="3"/>
          </w:tcPr>
          <w:p w:rsidR="001949EA" w:rsidRPr="00AF1EE1" w:rsidRDefault="001949EA" w:rsidP="001949EA">
            <w:pPr>
              <w:ind w:left="142"/>
            </w:pPr>
            <w:r w:rsidRPr="00AF1EE1">
              <w:t>Key message</w:t>
            </w:r>
          </w:p>
        </w:tc>
        <w:tc>
          <w:tcPr>
            <w:tcW w:w="7199" w:type="dxa"/>
          </w:tcPr>
          <w:p w:rsidR="001949EA" w:rsidRPr="00AF1EE1" w:rsidRDefault="007F218A" w:rsidP="00D6314E">
            <w:pPr>
              <w:ind w:left="142"/>
            </w:pPr>
            <w:r w:rsidRPr="00AF1EE1">
              <w:rPr>
                <w:lang w:val="en-US"/>
              </w:rPr>
              <w:t>Europe is the 1</w:t>
            </w:r>
            <w:r w:rsidRPr="00AF1EE1">
              <w:rPr>
                <w:vertAlign w:val="superscript"/>
                <w:lang w:val="en-US"/>
              </w:rPr>
              <w:t>st</w:t>
            </w:r>
            <w:r w:rsidRPr="00AF1EE1">
              <w:rPr>
                <w:lang w:val="en-US"/>
              </w:rPr>
              <w:t xml:space="preserve"> destination of the world in terms of international tourism arrivals. </w:t>
            </w:r>
            <w:r w:rsidR="009A2080" w:rsidRPr="00AF1EE1">
              <w:rPr>
                <w:lang w:val="en-US"/>
              </w:rPr>
              <w:t xml:space="preserve">If we add the domestic tourism arrivals to the former, then total numbers are even much more relevant, and they show that Europe as a whole has a strong capacity of tourism attraction. </w:t>
            </w:r>
            <w:r w:rsidR="00D6314E" w:rsidRPr="00AF1EE1">
              <w:rPr>
                <w:lang w:val="en-US"/>
              </w:rPr>
              <w:t>Moreover, this capacity has been constantly increasing during the last</w:t>
            </w:r>
            <w:r w:rsidR="009A2080" w:rsidRPr="00AF1EE1">
              <w:rPr>
                <w:lang w:val="en-US"/>
              </w:rPr>
              <w:t xml:space="preserve"> </w:t>
            </w:r>
            <w:r w:rsidR="00D6314E" w:rsidRPr="00AF1EE1">
              <w:rPr>
                <w:lang w:val="en-US"/>
              </w:rPr>
              <w:t>years and decades. However, there are significant differences of total number of tourism arrivals between countries</w:t>
            </w:r>
            <w:r w:rsidR="00BE5E7B" w:rsidRPr="00AF1EE1">
              <w:rPr>
                <w:lang w:val="en-US"/>
              </w:rPr>
              <w:t xml:space="preserve"> and regions</w:t>
            </w:r>
            <w:r w:rsidR="00D6314E" w:rsidRPr="00AF1EE1">
              <w:rPr>
                <w:lang w:val="en-US"/>
              </w:rPr>
              <w:t>.</w:t>
            </w:r>
          </w:p>
        </w:tc>
      </w:tr>
      <w:tr w:rsidR="001949EA" w:rsidRPr="00AF1EE1" w:rsidTr="00F216FD">
        <w:tblPrEx>
          <w:tblCellMar>
            <w:left w:w="70" w:type="dxa"/>
            <w:right w:w="70" w:type="dxa"/>
          </w:tblCellMar>
        </w:tblPrEx>
        <w:tc>
          <w:tcPr>
            <w:tcW w:w="2297" w:type="dxa"/>
            <w:gridSpan w:val="3"/>
            <w:tcMar>
              <w:top w:w="0" w:type="nil"/>
              <w:left w:w="0" w:type="nil"/>
              <w:bottom w:w="0" w:type="nil"/>
              <w:right w:w="0" w:type="nil"/>
            </w:tcMar>
          </w:tcPr>
          <w:p w:rsidR="001949EA" w:rsidRPr="00AF1EE1" w:rsidRDefault="001949EA" w:rsidP="001949EA">
            <w:pPr>
              <w:ind w:left="142"/>
            </w:pPr>
            <w:r w:rsidRPr="00AF1EE1">
              <w:t xml:space="preserve">Key assessment </w:t>
            </w:r>
          </w:p>
        </w:tc>
        <w:tc>
          <w:tcPr>
            <w:tcW w:w="7199" w:type="dxa"/>
            <w:tcMar>
              <w:top w:w="0" w:type="nil"/>
              <w:left w:w="0" w:type="nil"/>
              <w:bottom w:w="0" w:type="nil"/>
              <w:right w:w="0" w:type="nil"/>
            </w:tcMar>
          </w:tcPr>
          <w:p w:rsidR="00993A57" w:rsidRDefault="000C6C72" w:rsidP="00993A57">
            <w:pPr>
              <w:ind w:left="146"/>
            </w:pPr>
            <w:r w:rsidRPr="00AF1EE1">
              <w:t xml:space="preserve">In 2014 there was a total number of 906 million tourism arrivals at all the 28 EU countries, 567 million of which were from residents (domestic tourists), and the other 339 million from non-residents (international tourists). </w:t>
            </w:r>
            <w:r w:rsidR="00DA28BF" w:rsidRPr="00AF1EE1">
              <w:t xml:space="preserve">These numbers include arrivals at tourist accommodation establishments, not border arrivals. </w:t>
            </w:r>
            <w:r w:rsidRPr="00AF1EE1">
              <w:t xml:space="preserve">Analysing these data country by country (and including also the other EEA countries) allows to see the significant differences between countries: a) in total numbers of annual arrivals (five countries stand out among all the rest, having more than 100 million tourism arrivals: Germany, France, Spain, Italy, and United Kingdom); and b) in relative numbers according to </w:t>
            </w:r>
            <w:r w:rsidR="00CE0832" w:rsidRPr="00AF1EE1">
              <w:t>the percentage of domestic arrivals vs international arrivals (countries such as Germany, France, United Kingdom, Sweden, Poland or Norway have a much higher percentage of domestic arrivals than international arrivals, while countries such as Turkey, Austria, Greece, Croatia or Iceland is the opposite. There are also some countries, like Spain, Italy, Belgium or Hungary that, although with very different total numbers, have a well-balanced proportion between domestic and international arrivals</w:t>
            </w:r>
            <w:r w:rsidR="008927B4" w:rsidRPr="00AF1EE1">
              <w:t>).</w:t>
            </w:r>
          </w:p>
          <w:p w:rsidR="00F216FD" w:rsidRDefault="00993A57" w:rsidP="00993A57">
            <w:pPr>
              <w:ind w:left="146"/>
            </w:pPr>
            <w:r>
              <w:rPr>
                <w:noProof/>
                <w:lang w:val="ca-ES" w:eastAsia="ca-ES"/>
              </w:rPr>
              <w:drawing>
                <wp:inline distT="0" distB="0" distL="0" distR="0" wp14:anchorId="70819F6C" wp14:editId="37CDEFE4">
                  <wp:extent cx="4417621" cy="2350602"/>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58" t="21562" r="2080" b="15206"/>
                          <a:stretch/>
                        </pic:blipFill>
                        <pic:spPr bwMode="auto">
                          <a:xfrm>
                            <a:off x="0" y="0"/>
                            <a:ext cx="4422466" cy="2353180"/>
                          </a:xfrm>
                          <a:prstGeom prst="rect">
                            <a:avLst/>
                          </a:prstGeom>
                          <a:ln>
                            <a:noFill/>
                          </a:ln>
                          <a:extLst>
                            <a:ext uri="{53640926-AAD7-44D8-BBD7-CCE9431645EC}">
                              <a14:shadowObscured xmlns:a14="http://schemas.microsoft.com/office/drawing/2010/main"/>
                            </a:ext>
                          </a:extLst>
                        </pic:spPr>
                      </pic:pic>
                    </a:graphicData>
                  </a:graphic>
                </wp:inline>
              </w:drawing>
            </w:r>
          </w:p>
          <w:p w:rsidR="00571037" w:rsidRDefault="00BE5E7B" w:rsidP="00F216FD">
            <w:pPr>
              <w:spacing w:before="120"/>
            </w:pPr>
            <w:r w:rsidRPr="00AF1EE1">
              <w:lastRenderedPageBreak/>
              <w:t>When analysing these numbers at regional level, it can be seen that there are also big differences at internal level for each country. For example, the countries that receive the highest number of tourists, concentrate a good number of them in very few regions. This is the case of Germany (Berlin and Munich regions), France (</w:t>
            </w:r>
            <w:proofErr w:type="spellStart"/>
            <w:r w:rsidRPr="00AF1EE1">
              <w:t>Ille</w:t>
            </w:r>
            <w:proofErr w:type="spellEnd"/>
            <w:r w:rsidRPr="00AF1EE1">
              <w:t xml:space="preserve"> de France, Provence-</w:t>
            </w:r>
            <w:proofErr w:type="spellStart"/>
            <w:r w:rsidRPr="00AF1EE1">
              <w:t>Alpes</w:t>
            </w:r>
            <w:proofErr w:type="spellEnd"/>
            <w:r w:rsidRPr="00AF1EE1">
              <w:t xml:space="preserve">-Cote d’Azur, </w:t>
            </w:r>
            <w:proofErr w:type="spellStart"/>
            <w:r w:rsidRPr="00AF1EE1">
              <w:t>Savoie</w:t>
            </w:r>
            <w:proofErr w:type="spellEnd"/>
            <w:r w:rsidRPr="00AF1EE1">
              <w:t xml:space="preserve">), Spain (Catalonia, Andalusia, Madrid, Canary Islands), Italy (Tuscany, Lazio, </w:t>
            </w:r>
            <w:proofErr w:type="spellStart"/>
            <w:r w:rsidRPr="00AF1EE1">
              <w:t>Lombardia</w:t>
            </w:r>
            <w:proofErr w:type="spellEnd"/>
            <w:r w:rsidRPr="00AF1EE1">
              <w:t>,</w:t>
            </w:r>
            <w:r w:rsidR="00515A6C" w:rsidRPr="00AF1EE1">
              <w:t xml:space="preserve"> </w:t>
            </w:r>
            <w:r w:rsidRPr="00AF1EE1">
              <w:t xml:space="preserve">Veneto), United Kingdom (London region), or Turkey (Istanbul and Antalya regions). </w:t>
            </w:r>
          </w:p>
          <w:p w:rsidR="00BE5E7B" w:rsidRPr="00AF1EE1" w:rsidRDefault="00EB5132" w:rsidP="00EB5132">
            <w:pPr>
              <w:spacing w:before="120"/>
            </w:pPr>
            <w:r>
              <w:rPr>
                <w:noProof/>
                <w:lang w:val="ca-ES" w:eastAsia="ca-ES"/>
              </w:rPr>
              <w:drawing>
                <wp:inline distT="0" distB="0" distL="0" distR="0" wp14:anchorId="40CC61BD" wp14:editId="7BCE5F15">
                  <wp:extent cx="4494810" cy="3181433"/>
                  <wp:effectExtent l="0" t="0" r="1270" b="0"/>
                  <wp:docPr id="4" name="Imagen 4" descr="C:\Users\2012351\AppData\Local\Temp\Rar$DIa0.419\Tour_001b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351\AppData\Local\Temp\Rar$DIa0.419\Tour_001b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6448" cy="3182592"/>
                          </a:xfrm>
                          <a:prstGeom prst="rect">
                            <a:avLst/>
                          </a:prstGeom>
                          <a:noFill/>
                          <a:ln>
                            <a:noFill/>
                          </a:ln>
                        </pic:spPr>
                      </pic:pic>
                    </a:graphicData>
                  </a:graphic>
                </wp:inline>
              </w:drawing>
            </w:r>
          </w:p>
        </w:tc>
      </w:tr>
      <w:tr w:rsidR="001949EA" w:rsidRPr="00AF1EE1" w:rsidTr="00F216FD">
        <w:tc>
          <w:tcPr>
            <w:tcW w:w="2297" w:type="dxa"/>
            <w:gridSpan w:val="3"/>
          </w:tcPr>
          <w:p w:rsidR="001949EA" w:rsidRPr="00AF1EE1" w:rsidRDefault="001949EA" w:rsidP="001949EA">
            <w:pPr>
              <w:ind w:left="142"/>
            </w:pPr>
            <w:r w:rsidRPr="00AF1EE1">
              <w:lastRenderedPageBreak/>
              <w:t>Specific policy question</w:t>
            </w:r>
          </w:p>
        </w:tc>
        <w:tc>
          <w:tcPr>
            <w:tcW w:w="7199" w:type="dxa"/>
          </w:tcPr>
          <w:p w:rsidR="001949EA" w:rsidRPr="00AF1EE1" w:rsidRDefault="00A23B1F" w:rsidP="001949EA">
            <w:pPr>
              <w:ind w:left="142"/>
            </w:pPr>
            <w:r w:rsidRPr="00AF1EE1">
              <w:t>How is the demand for visiting Europe increasing?</w:t>
            </w:r>
          </w:p>
        </w:tc>
      </w:tr>
      <w:tr w:rsidR="001949EA" w:rsidRPr="00AF1EE1" w:rsidTr="00F216FD">
        <w:tc>
          <w:tcPr>
            <w:tcW w:w="2297" w:type="dxa"/>
            <w:gridSpan w:val="3"/>
          </w:tcPr>
          <w:p w:rsidR="001949EA" w:rsidRPr="00AF1EE1" w:rsidRDefault="001949EA" w:rsidP="001949EA">
            <w:pPr>
              <w:ind w:left="142"/>
            </w:pPr>
            <w:r w:rsidRPr="00AF1EE1">
              <w:t xml:space="preserve">Specific assessment </w:t>
            </w:r>
          </w:p>
        </w:tc>
        <w:tc>
          <w:tcPr>
            <w:tcW w:w="7199" w:type="dxa"/>
          </w:tcPr>
          <w:p w:rsidR="001949EA" w:rsidRDefault="00571037" w:rsidP="001949EA">
            <w:pPr>
              <w:ind w:left="142"/>
            </w:pPr>
            <w:r w:rsidRPr="00AF1EE1">
              <w:t>If 201</w:t>
            </w:r>
            <w:r w:rsidR="00EB5132">
              <w:t>4</w:t>
            </w:r>
            <w:bookmarkStart w:id="0" w:name="_GoBack"/>
            <w:bookmarkEnd w:id="0"/>
            <w:r w:rsidRPr="00AF1EE1">
              <w:t xml:space="preserve"> data is compared to 2000 data, it can be observed how tourism arrivals in Europe rose significantly during those first years of the 21</w:t>
            </w:r>
            <w:r w:rsidRPr="00AF1EE1">
              <w:rPr>
                <w:vertAlign w:val="superscript"/>
              </w:rPr>
              <w:t>st</w:t>
            </w:r>
            <w:r w:rsidRPr="00AF1EE1">
              <w:t xml:space="preserve"> Century. Overall tourism arrivals (including domestic and international) at European Union countries and</w:t>
            </w:r>
            <w:r w:rsidR="005A4BBE" w:rsidRPr="00AF1EE1">
              <w:t xml:space="preserve"> Switzerland, Norway, Iceland, Liechtenstein, and Macedonia passed from 684 million in 2000 to 988 million in 2014. Domestic arrivals passed from 432 million to 603 million in the same period, as well as international arrivals passed from 251 million to 353 million. These growing numbers were general for most of the European countries, although the rhythm of growth was different depending on the country.</w:t>
            </w:r>
          </w:p>
          <w:p w:rsidR="00993A57" w:rsidRDefault="00993A57" w:rsidP="001949EA">
            <w:pPr>
              <w:ind w:left="142"/>
            </w:pPr>
          </w:p>
          <w:p w:rsidR="00993A57" w:rsidRPr="00AF1EE1" w:rsidRDefault="00993A57" w:rsidP="001949EA">
            <w:pPr>
              <w:ind w:left="142"/>
            </w:pPr>
            <w:r>
              <w:rPr>
                <w:noProof/>
                <w:lang w:val="ca-ES" w:eastAsia="ca-ES"/>
              </w:rPr>
              <w:lastRenderedPageBreak/>
              <w:drawing>
                <wp:inline distT="0" distB="0" distL="0" distR="0" wp14:anchorId="70139F8D" wp14:editId="12F0BD04">
                  <wp:extent cx="4441371" cy="22543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280" t="23017" r="9785" b="21821"/>
                          <a:stretch/>
                        </pic:blipFill>
                        <pic:spPr bwMode="auto">
                          <a:xfrm>
                            <a:off x="0" y="0"/>
                            <a:ext cx="4445156" cy="2256299"/>
                          </a:xfrm>
                          <a:prstGeom prst="rect">
                            <a:avLst/>
                          </a:prstGeom>
                          <a:ln>
                            <a:noFill/>
                          </a:ln>
                          <a:extLst>
                            <a:ext uri="{53640926-AAD7-44D8-BBD7-CCE9431645EC}">
                              <a14:shadowObscured xmlns:a14="http://schemas.microsoft.com/office/drawing/2010/main"/>
                            </a:ext>
                          </a:extLst>
                        </pic:spPr>
                      </pic:pic>
                    </a:graphicData>
                  </a:graphic>
                </wp:inline>
              </w:drawing>
            </w:r>
          </w:p>
          <w:p w:rsidR="00571037" w:rsidRPr="00AF1EE1" w:rsidRDefault="00571037" w:rsidP="00993A57"/>
          <w:p w:rsidR="00571037" w:rsidRPr="00AF1EE1" w:rsidRDefault="00CC24E0" w:rsidP="00CC24E0">
            <w:pPr>
              <w:ind w:left="5"/>
            </w:pPr>
            <w:r w:rsidRPr="00AF1EE1">
              <w:rPr>
                <w:noProof/>
                <w:lang w:val="ca-ES" w:eastAsia="ca-ES"/>
              </w:rPr>
              <w:drawing>
                <wp:inline distT="0" distB="0" distL="0" distR="0" wp14:anchorId="57AE25E6" wp14:editId="4EF0C7F0">
                  <wp:extent cx="4489053" cy="1753738"/>
                  <wp:effectExtent l="0" t="0" r="6985" b="0"/>
                  <wp:docPr id="8" name="Imagen 8" descr="D:\EEA Turisme\Activitats 2016 - TOUERM report\Indicator fact-sheets\Maps and graphs last version 17-10-2016\arrivals\Tourism_arrivals_2000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A Turisme\Activitats 2016 - TOUERM report\Indicator fact-sheets\Maps and graphs last version 17-10-2016\arrivals\Tourism_arrivals_2000_grap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7031" cy="1760761"/>
                          </a:xfrm>
                          <a:prstGeom prst="rect">
                            <a:avLst/>
                          </a:prstGeom>
                          <a:noFill/>
                          <a:ln>
                            <a:noFill/>
                          </a:ln>
                        </pic:spPr>
                      </pic:pic>
                    </a:graphicData>
                  </a:graphic>
                </wp:inline>
              </w:drawing>
            </w:r>
          </w:p>
          <w:p w:rsidR="00CC24E0" w:rsidRPr="00AF1EE1" w:rsidRDefault="00CC24E0" w:rsidP="00CC24E0">
            <w:pPr>
              <w:ind w:left="5"/>
            </w:pPr>
          </w:p>
        </w:tc>
      </w:tr>
      <w:tr w:rsidR="001949EA" w:rsidRPr="00AF1EE1" w:rsidTr="00F216FD">
        <w:tc>
          <w:tcPr>
            <w:tcW w:w="2297" w:type="dxa"/>
            <w:gridSpan w:val="3"/>
          </w:tcPr>
          <w:p w:rsidR="001949EA" w:rsidRPr="00AF1EE1" w:rsidRDefault="001949EA" w:rsidP="001949EA">
            <w:pPr>
              <w:ind w:left="142"/>
            </w:pPr>
            <w:r w:rsidRPr="00AF1EE1">
              <w:lastRenderedPageBreak/>
              <w:t>Examples</w:t>
            </w:r>
          </w:p>
        </w:tc>
        <w:tc>
          <w:tcPr>
            <w:tcW w:w="7199" w:type="dxa"/>
          </w:tcPr>
          <w:p w:rsidR="001949EA" w:rsidRPr="00AF1EE1" w:rsidRDefault="001949EA" w:rsidP="001949EA">
            <w:pPr>
              <w:ind w:left="142"/>
            </w:pPr>
          </w:p>
        </w:tc>
      </w:tr>
      <w:tr w:rsidR="001949EA" w:rsidRPr="00AF1EE1" w:rsidTr="00F216FD">
        <w:tc>
          <w:tcPr>
            <w:tcW w:w="2297" w:type="dxa"/>
            <w:gridSpan w:val="3"/>
          </w:tcPr>
          <w:p w:rsidR="001949EA" w:rsidRPr="00AF1EE1" w:rsidRDefault="001949EA" w:rsidP="001949EA">
            <w:pPr>
              <w:ind w:left="142"/>
              <w:rPr>
                <w:b/>
              </w:rPr>
            </w:pPr>
            <w:r w:rsidRPr="00AF1EE1">
              <w:rPr>
                <w:b/>
              </w:rPr>
              <w:t>SPECIFICATIONS</w:t>
            </w:r>
          </w:p>
        </w:tc>
        <w:tc>
          <w:tcPr>
            <w:tcW w:w="7199" w:type="dxa"/>
          </w:tcPr>
          <w:p w:rsidR="001949EA" w:rsidRPr="00AF1EE1" w:rsidRDefault="001949EA" w:rsidP="001949EA">
            <w:pPr>
              <w:ind w:left="142"/>
            </w:pPr>
          </w:p>
        </w:tc>
      </w:tr>
      <w:tr w:rsidR="001949EA" w:rsidRPr="00AF1EE1" w:rsidTr="00F216FD">
        <w:tc>
          <w:tcPr>
            <w:tcW w:w="2297" w:type="dxa"/>
            <w:gridSpan w:val="3"/>
          </w:tcPr>
          <w:p w:rsidR="001949EA" w:rsidRPr="00AF1EE1" w:rsidRDefault="001949EA" w:rsidP="001949EA">
            <w:pPr>
              <w:ind w:left="142"/>
              <w:rPr>
                <w:b/>
              </w:rPr>
            </w:pPr>
            <w:r w:rsidRPr="00AF1EE1">
              <w:t>Indicator definition</w:t>
            </w:r>
          </w:p>
        </w:tc>
        <w:tc>
          <w:tcPr>
            <w:tcW w:w="7199" w:type="dxa"/>
          </w:tcPr>
          <w:p w:rsidR="001949EA" w:rsidRPr="00AF1EE1" w:rsidRDefault="00734956" w:rsidP="009A2080">
            <w:pPr>
              <w:ind w:left="142"/>
              <w:rPr>
                <w:lang w:val="en-US"/>
              </w:rPr>
            </w:pPr>
            <w:r w:rsidRPr="00AF1EE1">
              <w:rPr>
                <w:lang w:val="en-US"/>
              </w:rPr>
              <w:t xml:space="preserve">The indicator measures the total number of tourism arrivals per country </w:t>
            </w:r>
            <w:r w:rsidR="00CC5BC8" w:rsidRPr="00AF1EE1">
              <w:rPr>
                <w:lang w:val="en-US"/>
              </w:rPr>
              <w:t xml:space="preserve">and NUTS 2 region </w:t>
            </w:r>
            <w:r w:rsidR="00892EC7" w:rsidRPr="00AF1EE1">
              <w:rPr>
                <w:lang w:val="en-US"/>
              </w:rPr>
              <w:t xml:space="preserve">(internal tourism) </w:t>
            </w:r>
            <w:r w:rsidRPr="00AF1EE1">
              <w:rPr>
                <w:lang w:val="en-US"/>
              </w:rPr>
              <w:t xml:space="preserve">and per year. Data is presented as total number of tourism arrivals, </w:t>
            </w:r>
            <w:r w:rsidR="00A23B1F" w:rsidRPr="00AF1EE1">
              <w:rPr>
                <w:lang w:val="en-US"/>
              </w:rPr>
              <w:t>though</w:t>
            </w:r>
            <w:r w:rsidRPr="00AF1EE1">
              <w:rPr>
                <w:lang w:val="en-US"/>
              </w:rPr>
              <w:t xml:space="preserve"> this total number is also split into domestic arrivals (tourism arrivals by inhabitants of the same country</w:t>
            </w:r>
            <w:r w:rsidR="00892EC7" w:rsidRPr="00AF1EE1">
              <w:rPr>
                <w:lang w:val="en-US"/>
              </w:rPr>
              <w:t xml:space="preserve"> or domestic tourism</w:t>
            </w:r>
            <w:r w:rsidRPr="00AF1EE1">
              <w:rPr>
                <w:lang w:val="en-US"/>
              </w:rPr>
              <w:t>) and international arrivals (tourism arrivals by foreign visitors</w:t>
            </w:r>
            <w:r w:rsidR="00892EC7" w:rsidRPr="00AF1EE1">
              <w:rPr>
                <w:lang w:val="en-US"/>
              </w:rPr>
              <w:t xml:space="preserve"> or inbound tourism</w:t>
            </w:r>
            <w:r w:rsidRPr="00AF1EE1">
              <w:rPr>
                <w:lang w:val="en-US"/>
              </w:rPr>
              <w:t>).</w:t>
            </w:r>
            <w:r w:rsidR="00892EC7" w:rsidRPr="00AF1EE1">
              <w:rPr>
                <w:lang w:val="en-US"/>
              </w:rPr>
              <w:t xml:space="preserve"> </w:t>
            </w:r>
          </w:p>
        </w:tc>
      </w:tr>
      <w:tr w:rsidR="001949EA" w:rsidRPr="00AF1EE1" w:rsidTr="00F216FD">
        <w:tc>
          <w:tcPr>
            <w:tcW w:w="2297" w:type="dxa"/>
            <w:gridSpan w:val="3"/>
            <w:tcBorders>
              <w:bottom w:val="single" w:sz="4" w:space="0" w:color="auto"/>
            </w:tcBorders>
          </w:tcPr>
          <w:p w:rsidR="001949EA" w:rsidRPr="00AF1EE1" w:rsidRDefault="001949EA" w:rsidP="001949EA">
            <w:pPr>
              <w:ind w:left="142"/>
            </w:pPr>
            <w:r w:rsidRPr="00AF1EE1">
              <w:t>DPSIR</w:t>
            </w:r>
          </w:p>
        </w:tc>
        <w:tc>
          <w:tcPr>
            <w:tcW w:w="7199" w:type="dxa"/>
            <w:tcBorders>
              <w:bottom w:val="single" w:sz="4" w:space="0" w:color="auto"/>
            </w:tcBorders>
          </w:tcPr>
          <w:p w:rsidR="001949EA" w:rsidRPr="00AF1EE1" w:rsidRDefault="001949EA" w:rsidP="001949EA">
            <w:pPr>
              <w:ind w:left="142"/>
            </w:pPr>
            <w:r w:rsidRPr="00AF1EE1">
              <w:t>D</w:t>
            </w:r>
          </w:p>
        </w:tc>
      </w:tr>
      <w:tr w:rsidR="001949EA" w:rsidRPr="00AF1EE1" w:rsidTr="00F216FD">
        <w:tc>
          <w:tcPr>
            <w:tcW w:w="2297" w:type="dxa"/>
            <w:gridSpan w:val="3"/>
            <w:tcBorders>
              <w:bottom w:val="single" w:sz="4" w:space="0" w:color="C4BC96" w:themeColor="background2" w:themeShade="BF"/>
            </w:tcBorders>
          </w:tcPr>
          <w:p w:rsidR="001949EA" w:rsidRPr="00AF1EE1" w:rsidRDefault="001949EA" w:rsidP="001949EA">
            <w:pPr>
              <w:ind w:left="142"/>
            </w:pPr>
            <w:r w:rsidRPr="00AF1EE1">
              <w:t>Justification</w:t>
            </w:r>
          </w:p>
        </w:tc>
        <w:tc>
          <w:tcPr>
            <w:tcW w:w="7199" w:type="dxa"/>
            <w:tcBorders>
              <w:bottom w:val="single" w:sz="4" w:space="0" w:color="C4BC96" w:themeColor="background2" w:themeShade="BF"/>
            </w:tcBorders>
          </w:tcPr>
          <w:p w:rsidR="001949EA" w:rsidRPr="00AF1EE1" w:rsidRDefault="001949EA" w:rsidP="001949EA">
            <w:pPr>
              <w:ind w:left="142"/>
            </w:pPr>
          </w:p>
        </w:tc>
      </w:tr>
      <w:tr w:rsidR="001949EA" w:rsidRPr="00AF1EE1" w:rsidTr="00F216FD">
        <w:tc>
          <w:tcPr>
            <w:tcW w:w="825" w:type="dxa"/>
            <w:gridSpan w:val="2"/>
            <w:tcBorders>
              <w:top w:val="single" w:sz="4" w:space="0" w:color="C4BC96" w:themeColor="background2" w:themeShade="BF"/>
              <w:bottom w:val="nil"/>
              <w:right w:val="nil"/>
            </w:tcBorders>
          </w:tcPr>
          <w:p w:rsidR="001949EA" w:rsidRPr="00AF1EE1" w:rsidRDefault="001949EA" w:rsidP="001949EA">
            <w:pPr>
              <w:ind w:left="142"/>
            </w:pPr>
          </w:p>
        </w:tc>
        <w:tc>
          <w:tcPr>
            <w:tcW w:w="1472" w:type="dxa"/>
            <w:tcBorders>
              <w:top w:val="single" w:sz="4" w:space="0" w:color="C4BC96" w:themeColor="background2" w:themeShade="BF"/>
              <w:left w:val="nil"/>
            </w:tcBorders>
          </w:tcPr>
          <w:p w:rsidR="001949EA" w:rsidRPr="00AF1EE1" w:rsidRDefault="001949EA" w:rsidP="001949EA">
            <w:pPr>
              <w:ind w:left="142"/>
            </w:pPr>
            <w:r w:rsidRPr="00AF1EE1">
              <w:t>Rationale</w:t>
            </w:r>
          </w:p>
        </w:tc>
        <w:tc>
          <w:tcPr>
            <w:tcW w:w="7199" w:type="dxa"/>
            <w:tcBorders>
              <w:top w:val="single" w:sz="4" w:space="0" w:color="C4BC96" w:themeColor="background2" w:themeShade="BF"/>
            </w:tcBorders>
          </w:tcPr>
          <w:p w:rsidR="001949EA" w:rsidRPr="00AF1EE1" w:rsidRDefault="00A23B1F" w:rsidP="00634341">
            <w:pPr>
              <w:ind w:left="142"/>
              <w:rPr>
                <w:lang w:val="en-US"/>
              </w:rPr>
            </w:pPr>
            <w:r w:rsidRPr="00AF1EE1">
              <w:rPr>
                <w:lang w:val="en-US"/>
              </w:rPr>
              <w:t xml:space="preserve">This is a very general indicator, but at the same time is a key indicator, since it informs about the global tourism attractiveness of each country </w:t>
            </w:r>
            <w:r w:rsidR="00CC5BC8" w:rsidRPr="00AF1EE1">
              <w:rPr>
                <w:lang w:val="en-US"/>
              </w:rPr>
              <w:t xml:space="preserve">and region </w:t>
            </w:r>
            <w:r w:rsidRPr="00AF1EE1">
              <w:rPr>
                <w:lang w:val="en-US"/>
              </w:rPr>
              <w:t xml:space="preserve">and its evolution over time. It also informs about the origin of the visitors, distinguishing between domestic tourists (short distance tourists) and international tourists (longer distance tourists). This indicator and overnight stays </w:t>
            </w:r>
            <w:r w:rsidR="00634341" w:rsidRPr="00AF1EE1">
              <w:rPr>
                <w:lang w:val="en-US"/>
              </w:rPr>
              <w:t>indicator complement each other, since tourism arrivals indicator measures the total number of trips to a country, and overnight stays indicator measures the length of stay (in days) of those trips.</w:t>
            </w:r>
          </w:p>
        </w:tc>
      </w:tr>
      <w:tr w:rsidR="001949EA" w:rsidRPr="00AF1EE1" w:rsidTr="00F216FD">
        <w:tc>
          <w:tcPr>
            <w:tcW w:w="825" w:type="dxa"/>
            <w:gridSpan w:val="2"/>
            <w:tcBorders>
              <w:top w:val="nil"/>
              <w:right w:val="nil"/>
            </w:tcBorders>
          </w:tcPr>
          <w:p w:rsidR="001949EA" w:rsidRPr="00AF1EE1" w:rsidRDefault="001949EA" w:rsidP="001949EA">
            <w:pPr>
              <w:ind w:left="142"/>
              <w:rPr>
                <w:lang w:val="en-US"/>
              </w:rPr>
            </w:pPr>
          </w:p>
        </w:tc>
        <w:tc>
          <w:tcPr>
            <w:tcW w:w="1472" w:type="dxa"/>
            <w:tcBorders>
              <w:left w:val="nil"/>
            </w:tcBorders>
          </w:tcPr>
          <w:p w:rsidR="001949EA" w:rsidRPr="00AF1EE1" w:rsidRDefault="001949EA" w:rsidP="001949EA">
            <w:pPr>
              <w:ind w:left="142"/>
            </w:pPr>
            <w:r w:rsidRPr="00AF1EE1">
              <w:t>References</w:t>
            </w:r>
          </w:p>
        </w:tc>
        <w:tc>
          <w:tcPr>
            <w:tcW w:w="7199" w:type="dxa"/>
          </w:tcPr>
          <w:p w:rsidR="001949EA" w:rsidRPr="00AF1EE1" w:rsidRDefault="001949EA" w:rsidP="00E80A5C">
            <w:pPr>
              <w:ind w:left="142"/>
            </w:pPr>
          </w:p>
        </w:tc>
      </w:tr>
      <w:tr w:rsidR="001949EA" w:rsidRPr="00AF1EE1" w:rsidTr="00F216FD">
        <w:tc>
          <w:tcPr>
            <w:tcW w:w="2297" w:type="dxa"/>
            <w:gridSpan w:val="3"/>
            <w:tcBorders>
              <w:bottom w:val="single" w:sz="4" w:space="0" w:color="C4BC96" w:themeColor="background2" w:themeShade="BF"/>
            </w:tcBorders>
          </w:tcPr>
          <w:p w:rsidR="001949EA" w:rsidRPr="00AF1EE1" w:rsidRDefault="001949EA" w:rsidP="001949EA">
            <w:pPr>
              <w:ind w:left="142"/>
            </w:pPr>
            <w:r w:rsidRPr="00AF1EE1">
              <w:t>Policy context</w:t>
            </w:r>
          </w:p>
        </w:tc>
        <w:tc>
          <w:tcPr>
            <w:tcW w:w="7199" w:type="dxa"/>
            <w:tcBorders>
              <w:bottom w:val="single" w:sz="4" w:space="0" w:color="C4BC96" w:themeColor="background2" w:themeShade="BF"/>
            </w:tcBorders>
          </w:tcPr>
          <w:p w:rsidR="001949EA" w:rsidRPr="00AF1EE1" w:rsidRDefault="001949EA" w:rsidP="001949EA">
            <w:pPr>
              <w:ind w:left="142"/>
            </w:pPr>
          </w:p>
        </w:tc>
      </w:tr>
      <w:tr w:rsidR="001949EA" w:rsidRPr="00AF1EE1" w:rsidTr="00F216FD">
        <w:tc>
          <w:tcPr>
            <w:tcW w:w="825" w:type="dxa"/>
            <w:gridSpan w:val="2"/>
            <w:tcBorders>
              <w:top w:val="single" w:sz="4" w:space="0" w:color="C4BC96" w:themeColor="background2" w:themeShade="BF"/>
              <w:bottom w:val="nil"/>
              <w:right w:val="nil"/>
            </w:tcBorders>
          </w:tcPr>
          <w:p w:rsidR="001949EA" w:rsidRPr="00AF1EE1" w:rsidRDefault="001949EA" w:rsidP="001949EA">
            <w:pPr>
              <w:ind w:left="142"/>
            </w:pPr>
          </w:p>
        </w:tc>
        <w:tc>
          <w:tcPr>
            <w:tcW w:w="1472" w:type="dxa"/>
            <w:tcBorders>
              <w:top w:val="single" w:sz="4" w:space="0" w:color="C4BC96" w:themeColor="background2" w:themeShade="BF"/>
              <w:left w:val="nil"/>
            </w:tcBorders>
          </w:tcPr>
          <w:p w:rsidR="001949EA" w:rsidRPr="00AF1EE1" w:rsidRDefault="001949EA" w:rsidP="001949EA">
            <w:pPr>
              <w:ind w:left="142"/>
            </w:pPr>
            <w:r w:rsidRPr="00AF1EE1">
              <w:t>Policy context</w:t>
            </w:r>
          </w:p>
        </w:tc>
        <w:tc>
          <w:tcPr>
            <w:tcW w:w="7199" w:type="dxa"/>
            <w:tcBorders>
              <w:top w:val="single" w:sz="4" w:space="0" w:color="C4BC96" w:themeColor="background2" w:themeShade="BF"/>
            </w:tcBorders>
          </w:tcPr>
          <w:p w:rsidR="001949EA" w:rsidRPr="00AF1EE1" w:rsidRDefault="001949EA" w:rsidP="001949EA">
            <w:pPr>
              <w:ind w:left="142"/>
              <w:rPr>
                <w:lang w:val="en-US"/>
              </w:rPr>
            </w:pPr>
            <w:r w:rsidRPr="00AF1EE1">
              <w:rPr>
                <w:lang w:val="en-US"/>
              </w:rPr>
              <w:t>EC and national policies on tourism and sustainable tourism.</w:t>
            </w:r>
          </w:p>
        </w:tc>
      </w:tr>
      <w:tr w:rsidR="001949EA" w:rsidRPr="00AF1EE1" w:rsidTr="00F216FD">
        <w:tc>
          <w:tcPr>
            <w:tcW w:w="825" w:type="dxa"/>
            <w:gridSpan w:val="2"/>
            <w:tcBorders>
              <w:top w:val="nil"/>
              <w:bottom w:val="nil"/>
              <w:right w:val="nil"/>
            </w:tcBorders>
          </w:tcPr>
          <w:p w:rsidR="001949EA" w:rsidRPr="00AF1EE1" w:rsidRDefault="001949EA" w:rsidP="001949EA">
            <w:pPr>
              <w:ind w:left="142"/>
              <w:rPr>
                <w:lang w:val="en-US"/>
              </w:rPr>
            </w:pPr>
          </w:p>
        </w:tc>
        <w:tc>
          <w:tcPr>
            <w:tcW w:w="1472" w:type="dxa"/>
            <w:tcBorders>
              <w:left w:val="nil"/>
            </w:tcBorders>
          </w:tcPr>
          <w:p w:rsidR="001949EA" w:rsidRPr="00AF1EE1" w:rsidRDefault="001949EA" w:rsidP="001949EA">
            <w:pPr>
              <w:ind w:left="142"/>
            </w:pPr>
            <w:r w:rsidRPr="00AF1EE1">
              <w:t>Targets</w:t>
            </w:r>
          </w:p>
        </w:tc>
        <w:tc>
          <w:tcPr>
            <w:tcW w:w="7199" w:type="dxa"/>
          </w:tcPr>
          <w:p w:rsidR="001949EA" w:rsidRPr="00AF1EE1" w:rsidRDefault="001949EA" w:rsidP="00E80A5C">
            <w:pPr>
              <w:ind w:left="142"/>
              <w:rPr>
                <w:lang w:val="en-US"/>
              </w:rPr>
            </w:pPr>
          </w:p>
        </w:tc>
      </w:tr>
      <w:tr w:rsidR="001949EA" w:rsidRPr="00AF1EE1" w:rsidTr="00F216FD">
        <w:tc>
          <w:tcPr>
            <w:tcW w:w="825" w:type="dxa"/>
            <w:gridSpan w:val="2"/>
            <w:tcBorders>
              <w:top w:val="nil"/>
              <w:bottom w:val="single" w:sz="4" w:space="0" w:color="auto"/>
              <w:right w:val="nil"/>
            </w:tcBorders>
          </w:tcPr>
          <w:p w:rsidR="001949EA" w:rsidRPr="00AF1EE1" w:rsidRDefault="001949EA" w:rsidP="001949EA">
            <w:pPr>
              <w:ind w:left="142"/>
              <w:rPr>
                <w:lang w:val="en-US"/>
              </w:rPr>
            </w:pPr>
          </w:p>
        </w:tc>
        <w:tc>
          <w:tcPr>
            <w:tcW w:w="1472" w:type="dxa"/>
            <w:tcBorders>
              <w:left w:val="nil"/>
              <w:bottom w:val="single" w:sz="4" w:space="0" w:color="auto"/>
            </w:tcBorders>
          </w:tcPr>
          <w:p w:rsidR="001949EA" w:rsidRPr="00AF1EE1" w:rsidRDefault="001949EA" w:rsidP="001949EA">
            <w:pPr>
              <w:ind w:left="142"/>
            </w:pPr>
            <w:r w:rsidRPr="00AF1EE1">
              <w:t>Related policy documents</w:t>
            </w:r>
          </w:p>
        </w:tc>
        <w:tc>
          <w:tcPr>
            <w:tcW w:w="7199" w:type="dxa"/>
            <w:tcBorders>
              <w:bottom w:val="single" w:sz="4" w:space="0" w:color="auto"/>
            </w:tcBorders>
          </w:tcPr>
          <w:p w:rsidR="001949EA" w:rsidRPr="00AF1EE1" w:rsidRDefault="001949EA" w:rsidP="001949EA">
            <w:pPr>
              <w:ind w:left="142"/>
            </w:pPr>
          </w:p>
        </w:tc>
      </w:tr>
      <w:tr w:rsidR="001949EA" w:rsidRPr="00AF1EE1" w:rsidTr="00F216FD">
        <w:tc>
          <w:tcPr>
            <w:tcW w:w="2297" w:type="dxa"/>
            <w:gridSpan w:val="3"/>
            <w:tcBorders>
              <w:bottom w:val="single" w:sz="4" w:space="0" w:color="C4BC96" w:themeColor="background2" w:themeShade="BF"/>
            </w:tcBorders>
          </w:tcPr>
          <w:p w:rsidR="001949EA" w:rsidRPr="00AF1EE1" w:rsidRDefault="001949EA" w:rsidP="001949EA">
            <w:pPr>
              <w:ind w:left="142"/>
            </w:pPr>
            <w:r w:rsidRPr="00AF1EE1">
              <w:t xml:space="preserve"> Methodology</w:t>
            </w:r>
          </w:p>
        </w:tc>
        <w:tc>
          <w:tcPr>
            <w:tcW w:w="7199" w:type="dxa"/>
            <w:tcBorders>
              <w:bottom w:val="single" w:sz="4" w:space="0" w:color="C4BC96" w:themeColor="background2" w:themeShade="BF"/>
            </w:tcBorders>
          </w:tcPr>
          <w:p w:rsidR="001949EA" w:rsidRPr="00AF1EE1" w:rsidRDefault="001949EA" w:rsidP="001949EA">
            <w:pPr>
              <w:ind w:left="142"/>
            </w:pPr>
          </w:p>
        </w:tc>
      </w:tr>
      <w:tr w:rsidR="001949EA" w:rsidRPr="00AF1EE1" w:rsidTr="00F216FD">
        <w:tc>
          <w:tcPr>
            <w:tcW w:w="573" w:type="dxa"/>
            <w:tcBorders>
              <w:top w:val="single" w:sz="4" w:space="0" w:color="C4BC96" w:themeColor="background2" w:themeShade="BF"/>
              <w:bottom w:val="nil"/>
              <w:right w:val="nil"/>
            </w:tcBorders>
          </w:tcPr>
          <w:p w:rsidR="001949EA" w:rsidRPr="00AF1EE1" w:rsidRDefault="001949EA" w:rsidP="001949EA">
            <w:pPr>
              <w:ind w:left="142"/>
            </w:pPr>
          </w:p>
        </w:tc>
        <w:tc>
          <w:tcPr>
            <w:tcW w:w="1724" w:type="dxa"/>
            <w:gridSpan w:val="2"/>
            <w:tcBorders>
              <w:top w:val="single" w:sz="4" w:space="0" w:color="C4BC96" w:themeColor="background2" w:themeShade="BF"/>
              <w:left w:val="nil"/>
            </w:tcBorders>
          </w:tcPr>
          <w:p w:rsidR="001949EA" w:rsidRPr="00AF1EE1" w:rsidRDefault="001949EA" w:rsidP="001949EA">
            <w:pPr>
              <w:ind w:left="142"/>
              <w:jc w:val="left"/>
            </w:pPr>
            <w:r w:rsidRPr="00AF1EE1">
              <w:t>Methodology for indicator calculation</w:t>
            </w:r>
          </w:p>
        </w:tc>
        <w:tc>
          <w:tcPr>
            <w:tcW w:w="7199" w:type="dxa"/>
            <w:tcBorders>
              <w:top w:val="single" w:sz="4" w:space="0" w:color="C4BC96" w:themeColor="background2" w:themeShade="BF"/>
            </w:tcBorders>
          </w:tcPr>
          <w:p w:rsidR="00C91D75" w:rsidRPr="00AF1EE1" w:rsidRDefault="00456402" w:rsidP="00993A57">
            <w:pPr>
              <w:ind w:left="142"/>
            </w:pPr>
            <w:r w:rsidRPr="00AF1EE1">
              <w:t>Data is directly provided by EUROSTAT statistics</w:t>
            </w:r>
            <w:r w:rsidR="00993A57">
              <w:t xml:space="preserve"> (and national tourism statistics when not provided by EUROSTAT)</w:t>
            </w:r>
            <w:r w:rsidRPr="00AF1EE1">
              <w:t>.</w:t>
            </w:r>
            <w:r w:rsidR="009A2080" w:rsidRPr="00AF1EE1">
              <w:t xml:space="preserve"> Each arrival means a person trip that at least did one overnight stay at tourist accommodation establishments.</w:t>
            </w:r>
          </w:p>
        </w:tc>
      </w:tr>
      <w:tr w:rsidR="001949EA" w:rsidRPr="00AF1EE1" w:rsidTr="00F216FD">
        <w:trPr>
          <w:cantSplit/>
        </w:trPr>
        <w:tc>
          <w:tcPr>
            <w:tcW w:w="573" w:type="dxa"/>
            <w:tcBorders>
              <w:top w:val="nil"/>
              <w:bottom w:val="nil"/>
              <w:right w:val="nil"/>
            </w:tcBorders>
          </w:tcPr>
          <w:p w:rsidR="001949EA" w:rsidRPr="00AF1EE1" w:rsidRDefault="001949EA" w:rsidP="001949EA">
            <w:pPr>
              <w:ind w:left="142"/>
            </w:pPr>
          </w:p>
        </w:tc>
        <w:tc>
          <w:tcPr>
            <w:tcW w:w="1724" w:type="dxa"/>
            <w:gridSpan w:val="2"/>
            <w:tcBorders>
              <w:left w:val="nil"/>
            </w:tcBorders>
          </w:tcPr>
          <w:p w:rsidR="001949EA" w:rsidRPr="00AF1EE1" w:rsidRDefault="001949EA" w:rsidP="001949EA">
            <w:pPr>
              <w:ind w:left="142"/>
            </w:pPr>
            <w:r w:rsidRPr="00AF1EE1">
              <w:t>Methodology for gap filling</w:t>
            </w:r>
          </w:p>
        </w:tc>
        <w:tc>
          <w:tcPr>
            <w:tcW w:w="7199" w:type="dxa"/>
          </w:tcPr>
          <w:p w:rsidR="001949EA" w:rsidRPr="00AF1EE1" w:rsidRDefault="001949EA" w:rsidP="001949EA">
            <w:pPr>
              <w:ind w:left="142"/>
            </w:pPr>
          </w:p>
        </w:tc>
      </w:tr>
      <w:tr w:rsidR="001949EA" w:rsidRPr="00AF1EE1" w:rsidTr="00F216FD">
        <w:tc>
          <w:tcPr>
            <w:tcW w:w="573" w:type="dxa"/>
            <w:tcBorders>
              <w:top w:val="nil"/>
              <w:right w:val="nil"/>
            </w:tcBorders>
          </w:tcPr>
          <w:p w:rsidR="001949EA" w:rsidRPr="00AF1EE1" w:rsidRDefault="001949EA" w:rsidP="001949EA">
            <w:pPr>
              <w:ind w:left="142"/>
            </w:pPr>
          </w:p>
        </w:tc>
        <w:tc>
          <w:tcPr>
            <w:tcW w:w="1724" w:type="dxa"/>
            <w:gridSpan w:val="2"/>
            <w:tcBorders>
              <w:left w:val="nil"/>
            </w:tcBorders>
          </w:tcPr>
          <w:p w:rsidR="001949EA" w:rsidRPr="00AF1EE1" w:rsidRDefault="001949EA" w:rsidP="001949EA">
            <w:pPr>
              <w:ind w:left="142"/>
            </w:pPr>
            <w:r w:rsidRPr="00AF1EE1">
              <w:t>References</w:t>
            </w:r>
          </w:p>
        </w:tc>
        <w:tc>
          <w:tcPr>
            <w:tcW w:w="7199" w:type="dxa"/>
          </w:tcPr>
          <w:p w:rsidR="001949EA" w:rsidRPr="00AF1EE1" w:rsidRDefault="001949EA" w:rsidP="001949EA">
            <w:pPr>
              <w:ind w:left="142"/>
            </w:pPr>
          </w:p>
        </w:tc>
      </w:tr>
      <w:tr w:rsidR="001949EA" w:rsidRPr="00AF1EE1" w:rsidTr="00F216FD">
        <w:tc>
          <w:tcPr>
            <w:tcW w:w="2297" w:type="dxa"/>
            <w:gridSpan w:val="3"/>
            <w:tcBorders>
              <w:bottom w:val="single" w:sz="4" w:space="0" w:color="auto"/>
            </w:tcBorders>
          </w:tcPr>
          <w:p w:rsidR="001949EA" w:rsidRPr="00AF1EE1" w:rsidRDefault="001949EA" w:rsidP="001949EA">
            <w:pPr>
              <w:ind w:left="142"/>
            </w:pPr>
            <w:r w:rsidRPr="00AF1EE1">
              <w:t>Data specifications</w:t>
            </w:r>
          </w:p>
        </w:tc>
        <w:tc>
          <w:tcPr>
            <w:tcW w:w="7199" w:type="dxa"/>
            <w:tcBorders>
              <w:bottom w:val="single" w:sz="4" w:space="0" w:color="auto"/>
            </w:tcBorders>
          </w:tcPr>
          <w:p w:rsidR="001949EA" w:rsidRPr="00AF1EE1" w:rsidRDefault="001949EA" w:rsidP="001949EA">
            <w:pPr>
              <w:ind w:left="142"/>
            </w:pPr>
            <w:r w:rsidRPr="00AF1EE1">
              <w:t>Data comes from EUROSTAT</w:t>
            </w:r>
            <w:r w:rsidR="00515A6C" w:rsidRPr="00AF1EE1">
              <w:t xml:space="preserve"> (tour_acc_arn2)</w:t>
            </w:r>
            <w:r w:rsidR="00993A57">
              <w:t xml:space="preserve">, with the exception of </w:t>
            </w:r>
            <w:r w:rsidR="00993A57" w:rsidRPr="00993A57">
              <w:t>Albania, Bosnia and Herce</w:t>
            </w:r>
            <w:r w:rsidR="00993A57">
              <w:t>govina, Switzerland, and Turkey, that they have</w:t>
            </w:r>
            <w:r w:rsidR="00993A57" w:rsidRPr="00993A57">
              <w:t xml:space="preserve"> been provided</w:t>
            </w:r>
            <w:r w:rsidR="00993A57">
              <w:t xml:space="preserve"> by national tourism statistics</w:t>
            </w:r>
            <w:r w:rsidRPr="00AF1EE1">
              <w:t>.</w:t>
            </w:r>
          </w:p>
        </w:tc>
      </w:tr>
      <w:tr w:rsidR="001949EA" w:rsidRPr="00AF1EE1" w:rsidTr="00F216FD">
        <w:tc>
          <w:tcPr>
            <w:tcW w:w="2297" w:type="dxa"/>
            <w:gridSpan w:val="3"/>
            <w:tcBorders>
              <w:bottom w:val="single" w:sz="4" w:space="0" w:color="C4BC96" w:themeColor="background2" w:themeShade="BF"/>
            </w:tcBorders>
          </w:tcPr>
          <w:p w:rsidR="001949EA" w:rsidRPr="00AF1EE1" w:rsidRDefault="001949EA" w:rsidP="001949EA">
            <w:pPr>
              <w:ind w:left="142"/>
            </w:pPr>
            <w:r w:rsidRPr="00AF1EE1">
              <w:t xml:space="preserve"> Uncertainties</w:t>
            </w:r>
          </w:p>
        </w:tc>
        <w:tc>
          <w:tcPr>
            <w:tcW w:w="7199" w:type="dxa"/>
            <w:tcBorders>
              <w:bottom w:val="single" w:sz="4" w:space="0" w:color="C4BC96" w:themeColor="background2" w:themeShade="BF"/>
            </w:tcBorders>
          </w:tcPr>
          <w:p w:rsidR="001949EA" w:rsidRPr="00AF1EE1" w:rsidRDefault="001949EA" w:rsidP="001949EA">
            <w:pPr>
              <w:ind w:left="142"/>
            </w:pPr>
          </w:p>
        </w:tc>
      </w:tr>
      <w:tr w:rsidR="001949EA" w:rsidRPr="00AF1EE1" w:rsidTr="00F216FD">
        <w:tc>
          <w:tcPr>
            <w:tcW w:w="573" w:type="dxa"/>
            <w:tcBorders>
              <w:top w:val="single" w:sz="4" w:space="0" w:color="C4BC96" w:themeColor="background2" w:themeShade="BF"/>
              <w:bottom w:val="nil"/>
              <w:right w:val="nil"/>
            </w:tcBorders>
          </w:tcPr>
          <w:p w:rsidR="001949EA" w:rsidRPr="00AF1EE1" w:rsidRDefault="001949EA" w:rsidP="001949EA">
            <w:pPr>
              <w:ind w:left="142"/>
            </w:pPr>
          </w:p>
        </w:tc>
        <w:tc>
          <w:tcPr>
            <w:tcW w:w="1724" w:type="dxa"/>
            <w:gridSpan w:val="2"/>
            <w:tcBorders>
              <w:top w:val="single" w:sz="4" w:space="0" w:color="C4BC96" w:themeColor="background2" w:themeShade="BF"/>
              <w:left w:val="nil"/>
            </w:tcBorders>
          </w:tcPr>
          <w:p w:rsidR="001949EA" w:rsidRPr="00AF1EE1" w:rsidRDefault="001949EA" w:rsidP="001949EA">
            <w:pPr>
              <w:ind w:left="142"/>
            </w:pPr>
            <w:r w:rsidRPr="00AF1EE1">
              <w:t>Methodology uncertainty</w:t>
            </w:r>
          </w:p>
        </w:tc>
        <w:tc>
          <w:tcPr>
            <w:tcW w:w="7199" w:type="dxa"/>
            <w:tcBorders>
              <w:top w:val="single" w:sz="4" w:space="0" w:color="C4BC96" w:themeColor="background2" w:themeShade="BF"/>
            </w:tcBorders>
            <w:shd w:val="clear" w:color="auto" w:fill="auto"/>
          </w:tcPr>
          <w:p w:rsidR="001949EA" w:rsidRPr="00AF1EE1" w:rsidRDefault="001949EA" w:rsidP="001949EA">
            <w:pPr>
              <w:ind w:left="142"/>
            </w:pPr>
          </w:p>
        </w:tc>
      </w:tr>
      <w:tr w:rsidR="001949EA" w:rsidRPr="00AF1EE1" w:rsidTr="00F216FD">
        <w:tc>
          <w:tcPr>
            <w:tcW w:w="573" w:type="dxa"/>
            <w:tcBorders>
              <w:top w:val="nil"/>
              <w:bottom w:val="nil"/>
              <w:right w:val="nil"/>
            </w:tcBorders>
          </w:tcPr>
          <w:p w:rsidR="001949EA" w:rsidRPr="00AF1EE1" w:rsidRDefault="001949EA" w:rsidP="001949EA">
            <w:pPr>
              <w:ind w:left="142"/>
            </w:pPr>
          </w:p>
        </w:tc>
        <w:tc>
          <w:tcPr>
            <w:tcW w:w="1724" w:type="dxa"/>
            <w:gridSpan w:val="2"/>
            <w:tcBorders>
              <w:left w:val="nil"/>
            </w:tcBorders>
          </w:tcPr>
          <w:p w:rsidR="001949EA" w:rsidRPr="00AF1EE1" w:rsidRDefault="001949EA" w:rsidP="001949EA">
            <w:pPr>
              <w:ind w:left="142"/>
              <w:jc w:val="left"/>
            </w:pPr>
            <w:r w:rsidRPr="00AF1EE1">
              <w:t>Data sets uncertainties</w:t>
            </w:r>
          </w:p>
        </w:tc>
        <w:tc>
          <w:tcPr>
            <w:tcW w:w="7199" w:type="dxa"/>
            <w:shd w:val="clear" w:color="auto" w:fill="auto"/>
          </w:tcPr>
          <w:p w:rsidR="001949EA" w:rsidRPr="00AF1EE1" w:rsidRDefault="00CC5BC8" w:rsidP="00CC5BC8">
            <w:pPr>
              <w:pStyle w:val="Textocomentario"/>
              <w:ind w:left="142"/>
              <w:jc w:val="both"/>
              <w:rPr>
                <w:rFonts w:ascii="Times New Roman" w:hAnsi="Times New Roman"/>
                <w:sz w:val="24"/>
                <w:szCs w:val="24"/>
              </w:rPr>
            </w:pPr>
            <w:r w:rsidRPr="00AF1EE1">
              <w:rPr>
                <w:rFonts w:ascii="Times New Roman" w:hAnsi="Times New Roman"/>
                <w:sz w:val="24"/>
                <w:szCs w:val="24"/>
                <w:lang w:val="sk-SK"/>
              </w:rPr>
              <w:t>Data only takes in consideration official commercial establishments</w:t>
            </w:r>
            <w:r w:rsidRPr="00AF1EE1">
              <w:rPr>
                <w:rFonts w:ascii="Times New Roman" w:hAnsi="Times New Roman"/>
                <w:b/>
                <w:sz w:val="24"/>
                <w:szCs w:val="24"/>
                <w:lang w:val="sk-SK"/>
              </w:rPr>
              <w:t xml:space="preserve">. </w:t>
            </w:r>
            <w:r w:rsidRPr="00AF1EE1">
              <w:rPr>
                <w:rFonts w:ascii="Times New Roman" w:hAnsi="Times New Roman"/>
                <w:sz w:val="24"/>
                <w:szCs w:val="24"/>
                <w:lang w:val="sk-SK"/>
              </w:rPr>
              <w:t>It does not cover other types of tourism accomodation (B&amp;B, sharing economy establishments, second homes, etc.).</w:t>
            </w:r>
          </w:p>
        </w:tc>
      </w:tr>
      <w:tr w:rsidR="001949EA" w:rsidRPr="00AF1EE1" w:rsidTr="00F216FD">
        <w:tc>
          <w:tcPr>
            <w:tcW w:w="573" w:type="dxa"/>
            <w:tcBorders>
              <w:top w:val="nil"/>
              <w:right w:val="nil"/>
            </w:tcBorders>
          </w:tcPr>
          <w:p w:rsidR="001949EA" w:rsidRPr="00AF1EE1" w:rsidRDefault="001949EA" w:rsidP="001949EA">
            <w:pPr>
              <w:ind w:left="142"/>
              <w:rPr>
                <w:lang w:val="en-US"/>
              </w:rPr>
            </w:pPr>
          </w:p>
        </w:tc>
        <w:tc>
          <w:tcPr>
            <w:tcW w:w="1724" w:type="dxa"/>
            <w:gridSpan w:val="2"/>
            <w:tcBorders>
              <w:left w:val="nil"/>
            </w:tcBorders>
          </w:tcPr>
          <w:p w:rsidR="001949EA" w:rsidRPr="00AF1EE1" w:rsidRDefault="001949EA" w:rsidP="001949EA">
            <w:pPr>
              <w:ind w:left="142"/>
            </w:pPr>
            <w:r w:rsidRPr="00AF1EE1">
              <w:t>Rationale uncertainty</w:t>
            </w:r>
          </w:p>
        </w:tc>
        <w:tc>
          <w:tcPr>
            <w:tcW w:w="7199" w:type="dxa"/>
            <w:shd w:val="clear" w:color="auto" w:fill="auto"/>
          </w:tcPr>
          <w:p w:rsidR="001949EA" w:rsidRPr="00AF1EE1" w:rsidRDefault="00CC5BC8" w:rsidP="001949EA">
            <w:pPr>
              <w:ind w:left="142"/>
              <w:rPr>
                <w:lang w:val="en-US"/>
              </w:rPr>
            </w:pPr>
            <w:r w:rsidRPr="00AF1EE1">
              <w:rPr>
                <w:lang w:val="en-US"/>
              </w:rPr>
              <w:t>Same comment as data sets uncertainties.</w:t>
            </w:r>
          </w:p>
        </w:tc>
      </w:tr>
      <w:tr w:rsidR="001949EA" w:rsidRPr="00AF1EE1" w:rsidTr="00F216FD">
        <w:tc>
          <w:tcPr>
            <w:tcW w:w="2297" w:type="dxa"/>
            <w:gridSpan w:val="3"/>
          </w:tcPr>
          <w:p w:rsidR="001949EA" w:rsidRPr="00AF1EE1" w:rsidRDefault="001949EA" w:rsidP="001949EA">
            <w:pPr>
              <w:ind w:left="142"/>
            </w:pPr>
            <w:r w:rsidRPr="00AF1EE1">
              <w:t>Further work</w:t>
            </w:r>
          </w:p>
        </w:tc>
        <w:tc>
          <w:tcPr>
            <w:tcW w:w="7199" w:type="dxa"/>
          </w:tcPr>
          <w:p w:rsidR="001949EA" w:rsidRPr="00AF1EE1" w:rsidRDefault="001949EA" w:rsidP="00E80A5C">
            <w:pPr>
              <w:ind w:left="142"/>
              <w:rPr>
                <w:lang w:val="en-US"/>
              </w:rPr>
            </w:pPr>
            <w:r w:rsidRPr="00AF1EE1">
              <w:rPr>
                <w:lang w:val="en-US"/>
              </w:rPr>
              <w:t>Data needs to be regularly updated</w:t>
            </w:r>
            <w:r w:rsidR="00E80A5C" w:rsidRPr="00AF1EE1">
              <w:rPr>
                <w:lang w:val="en-US"/>
              </w:rPr>
              <w:t>. This will allow analyzing trends</w:t>
            </w:r>
            <w:r w:rsidRPr="00AF1EE1">
              <w:rPr>
                <w:lang w:val="en-US"/>
              </w:rPr>
              <w:t xml:space="preserve">. </w:t>
            </w:r>
          </w:p>
        </w:tc>
      </w:tr>
      <w:tr w:rsidR="001949EA" w:rsidRPr="0011039F" w:rsidTr="00F216FD">
        <w:tc>
          <w:tcPr>
            <w:tcW w:w="2297" w:type="dxa"/>
            <w:gridSpan w:val="3"/>
          </w:tcPr>
          <w:p w:rsidR="001949EA" w:rsidRPr="00AF1EE1" w:rsidRDefault="001949EA" w:rsidP="001949EA">
            <w:pPr>
              <w:ind w:left="142"/>
              <w:jc w:val="left"/>
            </w:pPr>
            <w:r w:rsidRPr="00AF1EE1">
              <w:t xml:space="preserve">Ownership and contacts </w:t>
            </w:r>
          </w:p>
        </w:tc>
        <w:tc>
          <w:tcPr>
            <w:tcW w:w="7199" w:type="dxa"/>
          </w:tcPr>
          <w:p w:rsidR="001949EA" w:rsidRPr="0011039F" w:rsidRDefault="001949EA" w:rsidP="001949EA">
            <w:pPr>
              <w:ind w:left="142"/>
            </w:pPr>
            <w:r w:rsidRPr="00AF1EE1">
              <w:t>ETC – ULS</w:t>
            </w:r>
          </w:p>
        </w:tc>
      </w:tr>
    </w:tbl>
    <w:p w:rsidR="001949EA" w:rsidRDefault="001949EA" w:rsidP="00C91D75">
      <w:pPr>
        <w:jc w:val="left"/>
        <w:rPr>
          <w:lang w:val="en-US"/>
        </w:rPr>
      </w:pPr>
    </w:p>
    <w:sectPr w:rsidR="001949EA"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656A5"/>
    <w:rsid w:val="00093E7D"/>
    <w:rsid w:val="000C6C72"/>
    <w:rsid w:val="00127B8D"/>
    <w:rsid w:val="001949EA"/>
    <w:rsid w:val="002741B5"/>
    <w:rsid w:val="00295125"/>
    <w:rsid w:val="003E4B3F"/>
    <w:rsid w:val="00456402"/>
    <w:rsid w:val="00515A6C"/>
    <w:rsid w:val="00571037"/>
    <w:rsid w:val="005A4BBE"/>
    <w:rsid w:val="00634341"/>
    <w:rsid w:val="00734956"/>
    <w:rsid w:val="007F218A"/>
    <w:rsid w:val="00865B4B"/>
    <w:rsid w:val="008927B4"/>
    <w:rsid w:val="00892EC7"/>
    <w:rsid w:val="00993A57"/>
    <w:rsid w:val="009A2080"/>
    <w:rsid w:val="009C6C56"/>
    <w:rsid w:val="00A23B1F"/>
    <w:rsid w:val="00AA2357"/>
    <w:rsid w:val="00AF1EE1"/>
    <w:rsid w:val="00BD4DF7"/>
    <w:rsid w:val="00BE5E7B"/>
    <w:rsid w:val="00C7679E"/>
    <w:rsid w:val="00C91D75"/>
    <w:rsid w:val="00CC24E0"/>
    <w:rsid w:val="00CC5BC8"/>
    <w:rsid w:val="00CE0832"/>
    <w:rsid w:val="00D32C89"/>
    <w:rsid w:val="00D6314E"/>
    <w:rsid w:val="00DA02F3"/>
    <w:rsid w:val="00DA28BF"/>
    <w:rsid w:val="00E80A5C"/>
    <w:rsid w:val="00EA07CE"/>
    <w:rsid w:val="00EB5132"/>
    <w:rsid w:val="00F216FD"/>
    <w:rsid w:val="00FC55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EA"/>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EA"/>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2</cp:revision>
  <dcterms:created xsi:type="dcterms:W3CDTF">2017-06-01T12:28:00Z</dcterms:created>
  <dcterms:modified xsi:type="dcterms:W3CDTF">2017-06-01T12:28:00Z</dcterms:modified>
</cp:coreProperties>
</file>