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EA" w:rsidRDefault="001949EA" w:rsidP="00865B4B">
      <w:pPr>
        <w:rPr>
          <w:lang w:val="en-US"/>
        </w:rPr>
      </w:pPr>
    </w:p>
    <w:tbl>
      <w:tblPr>
        <w:tblStyle w:val="Tablaconcuadrcula"/>
        <w:tblW w:w="9526" w:type="dxa"/>
        <w:tblInd w:w="392" w:type="dxa"/>
        <w:tblLook w:val="04A0" w:firstRow="1" w:lastRow="0" w:firstColumn="1" w:lastColumn="0" w:noHBand="0" w:noVBand="1"/>
      </w:tblPr>
      <w:tblGrid>
        <w:gridCol w:w="573"/>
        <w:gridCol w:w="252"/>
        <w:gridCol w:w="1472"/>
        <w:gridCol w:w="7295"/>
      </w:tblGrid>
      <w:tr w:rsidR="001949EA" w:rsidRPr="0022365D" w:rsidTr="00993026">
        <w:tc>
          <w:tcPr>
            <w:tcW w:w="2297" w:type="dxa"/>
            <w:gridSpan w:val="3"/>
          </w:tcPr>
          <w:p w:rsidR="001949EA" w:rsidRPr="0022365D" w:rsidRDefault="001949EA" w:rsidP="001949EA">
            <w:pPr>
              <w:ind w:left="142"/>
              <w:rPr>
                <w:b/>
              </w:rPr>
            </w:pPr>
            <w:r w:rsidRPr="0022365D">
              <w:rPr>
                <w:b/>
              </w:rPr>
              <w:t>Indicator name</w:t>
            </w:r>
          </w:p>
        </w:tc>
        <w:tc>
          <w:tcPr>
            <w:tcW w:w="7229" w:type="dxa"/>
          </w:tcPr>
          <w:p w:rsidR="001949EA" w:rsidRPr="0022365D" w:rsidRDefault="00724DE2" w:rsidP="00DE5BE3">
            <w:pPr>
              <w:ind w:left="142"/>
            </w:pPr>
            <w:r w:rsidRPr="00AF1EE1">
              <w:t xml:space="preserve">Tourism </w:t>
            </w:r>
            <w:r>
              <w:t>flows (</w:t>
            </w:r>
            <w:r w:rsidR="00ED722D" w:rsidRPr="0022365D">
              <w:t xml:space="preserve">2 – </w:t>
            </w:r>
            <w:r w:rsidR="00E55AE6" w:rsidRPr="0022365D">
              <w:t>O</w:t>
            </w:r>
            <w:r w:rsidR="00DE5BE3" w:rsidRPr="0022365D">
              <w:t>vernights</w:t>
            </w:r>
            <w:r w:rsidR="00ED722D" w:rsidRPr="0022365D">
              <w:t xml:space="preserve"> </w:t>
            </w:r>
            <w:r>
              <w:t>spent)</w:t>
            </w:r>
          </w:p>
        </w:tc>
      </w:tr>
      <w:tr w:rsidR="001949EA" w:rsidRPr="0022365D" w:rsidTr="00993026">
        <w:tc>
          <w:tcPr>
            <w:tcW w:w="2297" w:type="dxa"/>
            <w:gridSpan w:val="3"/>
          </w:tcPr>
          <w:p w:rsidR="001949EA" w:rsidRPr="0022365D" w:rsidRDefault="001949EA" w:rsidP="001949EA">
            <w:pPr>
              <w:ind w:left="142"/>
              <w:rPr>
                <w:b/>
              </w:rPr>
            </w:pPr>
            <w:r w:rsidRPr="0022365D">
              <w:rPr>
                <w:b/>
              </w:rPr>
              <w:t>ASSESSMENT</w:t>
            </w:r>
          </w:p>
        </w:tc>
        <w:tc>
          <w:tcPr>
            <w:tcW w:w="7229" w:type="dxa"/>
          </w:tcPr>
          <w:p w:rsidR="001949EA" w:rsidRPr="0022365D" w:rsidRDefault="001949EA" w:rsidP="001949EA">
            <w:pPr>
              <w:ind w:left="142"/>
            </w:pPr>
          </w:p>
        </w:tc>
      </w:tr>
      <w:tr w:rsidR="001949EA" w:rsidRPr="0022365D" w:rsidTr="00993026">
        <w:tc>
          <w:tcPr>
            <w:tcW w:w="2297" w:type="dxa"/>
            <w:gridSpan w:val="3"/>
          </w:tcPr>
          <w:p w:rsidR="001949EA" w:rsidRPr="0022365D" w:rsidRDefault="001949EA" w:rsidP="001949EA">
            <w:pPr>
              <w:ind w:left="142"/>
            </w:pPr>
            <w:r w:rsidRPr="0022365D">
              <w:t>Indicator Name</w:t>
            </w:r>
          </w:p>
        </w:tc>
        <w:tc>
          <w:tcPr>
            <w:tcW w:w="7229" w:type="dxa"/>
          </w:tcPr>
          <w:p w:rsidR="001949EA" w:rsidRDefault="00724DE2" w:rsidP="00DE5BE3">
            <w:pPr>
              <w:ind w:left="142"/>
              <w:rPr>
                <w:lang w:val="en-US"/>
              </w:rPr>
            </w:pPr>
            <w:r>
              <w:rPr>
                <w:lang w:val="en-US"/>
              </w:rPr>
              <w:t xml:space="preserve">TOUR001c – </w:t>
            </w:r>
            <w:r w:rsidR="00E55AE6" w:rsidRPr="0022365D">
              <w:rPr>
                <w:lang w:val="en-US"/>
              </w:rPr>
              <w:t>Over</w:t>
            </w:r>
            <w:r w:rsidR="00DE5BE3" w:rsidRPr="0022365D">
              <w:rPr>
                <w:lang w:val="en-US"/>
              </w:rPr>
              <w:t>nights</w:t>
            </w:r>
            <w:r>
              <w:rPr>
                <w:lang w:val="en-US"/>
              </w:rPr>
              <w:t xml:space="preserve"> </w:t>
            </w:r>
            <w:r w:rsidR="00DE5BE3" w:rsidRPr="0022365D">
              <w:rPr>
                <w:lang w:val="en-US"/>
              </w:rPr>
              <w:t>spent at tourist</w:t>
            </w:r>
            <w:r w:rsidR="00E55AE6" w:rsidRPr="0022365D">
              <w:rPr>
                <w:lang w:val="en-US"/>
              </w:rPr>
              <w:t xml:space="preserve"> accommo</w:t>
            </w:r>
            <w:r w:rsidR="00DE5BE3" w:rsidRPr="0022365D">
              <w:rPr>
                <w:lang w:val="en-US"/>
              </w:rPr>
              <w:t>dation establishments</w:t>
            </w:r>
            <w:r w:rsidR="00D614D3">
              <w:rPr>
                <w:lang w:val="en-US"/>
              </w:rPr>
              <w:t xml:space="preserve"> (residents and non-residents)</w:t>
            </w:r>
          </w:p>
          <w:p w:rsidR="00724DE2" w:rsidRDefault="00724DE2" w:rsidP="00DE5BE3">
            <w:pPr>
              <w:ind w:left="142"/>
              <w:rPr>
                <w:lang w:val="en-US"/>
              </w:rPr>
            </w:pPr>
            <w:r>
              <w:rPr>
                <w:lang w:val="en-US"/>
              </w:rPr>
              <w:t>TOUR001d – Share of overnights spent at tourist accommodation establishments</w:t>
            </w:r>
          </w:p>
          <w:p w:rsidR="00724DE2" w:rsidRDefault="00724DE2" w:rsidP="00D614D3">
            <w:pPr>
              <w:ind w:left="142"/>
              <w:rPr>
                <w:lang w:val="en-US"/>
              </w:rPr>
            </w:pPr>
            <w:r>
              <w:rPr>
                <w:lang w:val="en-US"/>
              </w:rPr>
              <w:t xml:space="preserve">TOUR001e </w:t>
            </w:r>
            <w:r w:rsidR="00D614D3">
              <w:rPr>
                <w:lang w:val="en-US"/>
              </w:rPr>
              <w:t>–</w:t>
            </w:r>
            <w:r>
              <w:rPr>
                <w:lang w:val="en-US"/>
              </w:rPr>
              <w:t xml:space="preserve"> </w:t>
            </w:r>
            <w:r w:rsidR="00D614D3" w:rsidRPr="0022365D">
              <w:rPr>
                <w:lang w:val="en-US"/>
              </w:rPr>
              <w:t>Overnights</w:t>
            </w:r>
            <w:r w:rsidR="00D614D3">
              <w:rPr>
                <w:lang w:val="en-US"/>
              </w:rPr>
              <w:t xml:space="preserve"> </w:t>
            </w:r>
            <w:r w:rsidR="00D614D3" w:rsidRPr="0022365D">
              <w:rPr>
                <w:lang w:val="en-US"/>
              </w:rPr>
              <w:t>spent at tourist accommodation establishments</w:t>
            </w:r>
            <w:r w:rsidR="00D614D3">
              <w:rPr>
                <w:lang w:val="en-US"/>
              </w:rPr>
              <w:t xml:space="preserve"> (</w:t>
            </w:r>
            <w:r w:rsidR="00D614D3">
              <w:rPr>
                <w:lang w:val="en-US"/>
              </w:rPr>
              <w:t>time series</w:t>
            </w:r>
            <w:r w:rsidR="00D614D3">
              <w:rPr>
                <w:lang w:val="en-US"/>
              </w:rPr>
              <w:t>)</w:t>
            </w:r>
          </w:p>
          <w:p w:rsidR="00D614D3" w:rsidRPr="0022365D" w:rsidRDefault="00D614D3" w:rsidP="00D614D3">
            <w:pPr>
              <w:ind w:left="142"/>
              <w:rPr>
                <w:lang w:val="en-US"/>
              </w:rPr>
            </w:pPr>
            <w:r>
              <w:rPr>
                <w:lang w:val="en-US"/>
              </w:rPr>
              <w:t xml:space="preserve">TOUR001f – </w:t>
            </w:r>
            <w:r w:rsidRPr="00D614D3">
              <w:rPr>
                <w:lang w:val="en-US"/>
              </w:rPr>
              <w:t>Percentage of total nights spent at tourist acco</w:t>
            </w:r>
            <w:r>
              <w:rPr>
                <w:lang w:val="en-US"/>
              </w:rPr>
              <w:t>m</w:t>
            </w:r>
            <w:r w:rsidRPr="00D614D3">
              <w:rPr>
                <w:lang w:val="en-US"/>
              </w:rPr>
              <w:t>modations establishments in coastal areas</w:t>
            </w:r>
          </w:p>
        </w:tc>
      </w:tr>
      <w:tr w:rsidR="001949EA" w:rsidRPr="0022365D" w:rsidTr="00993026">
        <w:tc>
          <w:tcPr>
            <w:tcW w:w="2297" w:type="dxa"/>
            <w:gridSpan w:val="3"/>
          </w:tcPr>
          <w:p w:rsidR="001949EA" w:rsidRPr="0022365D" w:rsidRDefault="001949EA" w:rsidP="001949EA">
            <w:pPr>
              <w:ind w:left="142"/>
            </w:pPr>
            <w:r w:rsidRPr="0022365D">
              <w:t>Key policy question</w:t>
            </w:r>
          </w:p>
        </w:tc>
        <w:tc>
          <w:tcPr>
            <w:tcW w:w="7229" w:type="dxa"/>
          </w:tcPr>
          <w:p w:rsidR="007F218A" w:rsidRPr="0022365D" w:rsidRDefault="001949EA" w:rsidP="00A23B1F">
            <w:pPr>
              <w:spacing w:line="276" w:lineRule="auto"/>
              <w:ind w:left="142"/>
              <w:rPr>
                <w:lang w:val="en-US"/>
              </w:rPr>
            </w:pPr>
            <w:r w:rsidRPr="0022365D">
              <w:rPr>
                <w:lang w:val="en-US"/>
              </w:rPr>
              <w:t>What are the most tourism intensive regions in Europe?</w:t>
            </w:r>
          </w:p>
        </w:tc>
      </w:tr>
      <w:tr w:rsidR="001949EA" w:rsidRPr="0022365D" w:rsidTr="00993026">
        <w:tc>
          <w:tcPr>
            <w:tcW w:w="2297" w:type="dxa"/>
            <w:gridSpan w:val="3"/>
          </w:tcPr>
          <w:p w:rsidR="001949EA" w:rsidRPr="0022365D" w:rsidRDefault="001949EA" w:rsidP="001949EA">
            <w:pPr>
              <w:ind w:left="142"/>
            </w:pPr>
            <w:r w:rsidRPr="0022365D">
              <w:t>Key message</w:t>
            </w:r>
          </w:p>
        </w:tc>
        <w:tc>
          <w:tcPr>
            <w:tcW w:w="7229" w:type="dxa"/>
          </w:tcPr>
          <w:p w:rsidR="001949EA" w:rsidRPr="0022365D" w:rsidRDefault="00DE5BE3" w:rsidP="00B621BD">
            <w:pPr>
              <w:ind w:left="142"/>
            </w:pPr>
            <w:r w:rsidRPr="0022365D">
              <w:t>Nights spent</w:t>
            </w:r>
            <w:r w:rsidR="00D970BF" w:rsidRPr="0022365D">
              <w:t xml:space="preserve"> by tourists </w:t>
            </w:r>
            <w:proofErr w:type="gramStart"/>
            <w:r w:rsidR="00D970BF" w:rsidRPr="0022365D">
              <w:t>are unevenly distributed</w:t>
            </w:r>
            <w:proofErr w:type="gramEnd"/>
            <w:r w:rsidR="00D970BF" w:rsidRPr="0022365D">
              <w:t xml:space="preserve"> in Europe at regional level.</w:t>
            </w:r>
            <w:r w:rsidRPr="0022365D">
              <w:t xml:space="preserve"> Data show significant differences between territories, as well as the distribution of resident a</w:t>
            </w:r>
            <w:r w:rsidR="007F0071" w:rsidRPr="0022365D">
              <w:t>nd non-resident nights spent at tourist accommodation establishments.</w:t>
            </w:r>
            <w:r w:rsidR="00D970BF" w:rsidRPr="0022365D">
              <w:t xml:space="preserve"> </w:t>
            </w:r>
          </w:p>
        </w:tc>
      </w:tr>
      <w:tr w:rsidR="001949EA" w:rsidRPr="0022365D" w:rsidTr="00993026">
        <w:tc>
          <w:tcPr>
            <w:tcW w:w="2297" w:type="dxa"/>
            <w:gridSpan w:val="3"/>
          </w:tcPr>
          <w:p w:rsidR="001949EA" w:rsidRPr="0022365D" w:rsidRDefault="001949EA" w:rsidP="001949EA">
            <w:pPr>
              <w:ind w:left="142"/>
            </w:pPr>
            <w:r w:rsidRPr="0022365D">
              <w:t xml:space="preserve">Key assessment </w:t>
            </w:r>
          </w:p>
        </w:tc>
        <w:tc>
          <w:tcPr>
            <w:tcW w:w="7229" w:type="dxa"/>
          </w:tcPr>
          <w:p w:rsidR="00E55AE6" w:rsidRPr="0022365D" w:rsidRDefault="00B621BD" w:rsidP="000906B0">
            <w:pPr>
              <w:ind w:left="146"/>
            </w:pPr>
            <w:r w:rsidRPr="0022365D">
              <w:t>The most attractive regions for tourists (in total number of ove</w:t>
            </w:r>
            <w:r w:rsidR="00DE5BE3" w:rsidRPr="0022365D">
              <w:t>rnight stays at official tourist accommodation establishments</w:t>
            </w:r>
            <w:r w:rsidR="000906B0" w:rsidRPr="0022365D">
              <w:t xml:space="preserve"> in 201</w:t>
            </w:r>
            <w:r w:rsidR="00D614D3">
              <w:t>5</w:t>
            </w:r>
            <w:r w:rsidRPr="0022365D">
              <w:t xml:space="preserve">) are mainly concentrated in South-western Europe, including the Spanish Mediterranean fringe, Southern France (and </w:t>
            </w:r>
            <w:proofErr w:type="spellStart"/>
            <w:r w:rsidRPr="0022365D">
              <w:t>Ille</w:t>
            </w:r>
            <w:proofErr w:type="spellEnd"/>
            <w:r w:rsidRPr="0022365D">
              <w:t xml:space="preserve"> de France as well), the Alpine region, Northern Italy, and coastal Croatia. In absolute numbers, only few regions stand out among </w:t>
            </w:r>
            <w:r w:rsidR="009F267D" w:rsidRPr="0022365D">
              <w:t>the others, with more than 50 million overnight stays. Four of them are in Spain (Catalonia, Andalusia, Balearic Islands, and Canary Islands), two in France (</w:t>
            </w:r>
            <w:proofErr w:type="spellStart"/>
            <w:r w:rsidR="009F267D" w:rsidRPr="0022365D">
              <w:t>Ille</w:t>
            </w:r>
            <w:proofErr w:type="spellEnd"/>
            <w:r w:rsidR="009F267D" w:rsidRPr="0022365D">
              <w:t xml:space="preserve"> de France, and Provence-</w:t>
            </w:r>
            <w:proofErr w:type="spellStart"/>
            <w:r w:rsidR="009F267D" w:rsidRPr="0022365D">
              <w:t>Alpes</w:t>
            </w:r>
            <w:proofErr w:type="spellEnd"/>
            <w:r w:rsidR="009F267D" w:rsidRPr="0022365D">
              <w:t>-Cote d’Azur), one in Italy (Veneto), and one in Croatia (coastal Croatia).</w:t>
            </w:r>
            <w:r w:rsidR="000906B0" w:rsidRPr="0022365D">
              <w:t xml:space="preserve"> A good number </w:t>
            </w:r>
            <w:r w:rsidR="004A215D" w:rsidRPr="0022365D">
              <w:t>(</w:t>
            </w:r>
            <w:r w:rsidR="000906B0" w:rsidRPr="0022365D">
              <w:t>or the majority</w:t>
            </w:r>
            <w:r w:rsidR="004A215D" w:rsidRPr="0022365D">
              <w:t>)</w:t>
            </w:r>
            <w:r w:rsidR="000906B0" w:rsidRPr="0022365D">
              <w:t xml:space="preserve"> of regions in Portugal, Spain, France, Italy, Austria, Germany, the Netherlands, United Kingdom, and Ireland register</w:t>
            </w:r>
            <w:r w:rsidRPr="0022365D">
              <w:t xml:space="preserve"> </w:t>
            </w:r>
            <w:r w:rsidR="000906B0" w:rsidRPr="0022365D">
              <w:t>more than 5 million of annual overnight stays</w:t>
            </w:r>
            <w:r w:rsidR="004A215D" w:rsidRPr="0022365D">
              <w:t>, which means a relatively high level of tourism attractiveness</w:t>
            </w:r>
            <w:r w:rsidR="000906B0" w:rsidRPr="0022365D">
              <w:t>. On the contrary, some Scandinavian regions and most of the Eastern European regions register less than 5 million overnight stays.</w:t>
            </w:r>
          </w:p>
          <w:p w:rsidR="00F321E4" w:rsidRPr="0022365D" w:rsidRDefault="00F321E4" w:rsidP="000906B0">
            <w:pPr>
              <w:ind w:left="146"/>
            </w:pPr>
          </w:p>
          <w:p w:rsidR="00F321E4" w:rsidRPr="0022365D" w:rsidRDefault="00F321E4" w:rsidP="000906B0">
            <w:pPr>
              <w:ind w:left="146"/>
            </w:pPr>
            <w:r w:rsidRPr="0022365D">
              <w:t xml:space="preserve">Most part of European regions </w:t>
            </w:r>
            <w:proofErr w:type="gramStart"/>
            <w:r w:rsidRPr="0022365D">
              <w:t>receive</w:t>
            </w:r>
            <w:proofErr w:type="gramEnd"/>
            <w:r w:rsidRPr="0022365D">
              <w:t xml:space="preserve"> more residents (domestic tourists) than non-residents (international tourists). Exceptions use to be those regions that receive the highest number of </w:t>
            </w:r>
            <w:r w:rsidR="00253668" w:rsidRPr="0022365D">
              <w:t>total</w:t>
            </w:r>
            <w:r w:rsidRPr="0022365D">
              <w:t xml:space="preserve"> overnight stays, previously mentioned.</w:t>
            </w:r>
          </w:p>
          <w:p w:rsidR="00F321E4" w:rsidRPr="0022365D" w:rsidRDefault="00F321E4" w:rsidP="000906B0">
            <w:pPr>
              <w:ind w:left="146"/>
            </w:pPr>
          </w:p>
          <w:p w:rsidR="00F321E4" w:rsidRDefault="00253668" w:rsidP="000906B0">
            <w:pPr>
              <w:ind w:left="146"/>
            </w:pPr>
            <w:r w:rsidRPr="0022365D">
              <w:t>In the case of c</w:t>
            </w:r>
            <w:r w:rsidR="00F321E4" w:rsidRPr="0022365D">
              <w:t xml:space="preserve">oastal NUTS 2 </w:t>
            </w:r>
            <w:proofErr w:type="gramStart"/>
            <w:r w:rsidR="00F321E4" w:rsidRPr="0022365D">
              <w:t>regions</w:t>
            </w:r>
            <w:r w:rsidRPr="0022365D">
              <w:t>, overnight stays</w:t>
            </w:r>
            <w:proofErr w:type="gramEnd"/>
            <w:r w:rsidRPr="0022365D">
              <w:t xml:space="preserve"> use to be highly concentrated in the coastal municipalities. This shows the high tourism attraction factor that sea exerts on tourism. </w:t>
            </w:r>
            <w:proofErr w:type="gramStart"/>
            <w:r w:rsidRPr="0022365D">
              <w:t xml:space="preserve">This happens in a very clear way (concentration of more than </w:t>
            </w:r>
            <w:r w:rsidR="00B912A5" w:rsidRPr="0022365D">
              <w:t xml:space="preserve">65 </w:t>
            </w:r>
            <w:r w:rsidRPr="0022365D">
              <w:t>% of the total overnight stays at the region level in the coastal municipalities) in all of the Mediterranean islands, Portuguese and Spanish Atlantic islands (</w:t>
            </w:r>
            <w:proofErr w:type="spellStart"/>
            <w:r w:rsidRPr="0022365D">
              <w:t>Açores</w:t>
            </w:r>
            <w:proofErr w:type="spellEnd"/>
            <w:r w:rsidRPr="0022365D">
              <w:t xml:space="preserve">, Madeira, Canary Islands), </w:t>
            </w:r>
            <w:r w:rsidR="00B912A5" w:rsidRPr="0022365D">
              <w:t xml:space="preserve">and the coastal regions of Southern Italy (and some Northern regions too), Mediterranean regions of Spain, United Kingdom (most part of its coastal regions), Denmark, Germany, Poland, Iceland, Estonia, Romania, and even in a most intensive way in Norway, Croatia, </w:t>
            </w:r>
            <w:r w:rsidR="00B912A5" w:rsidRPr="0022365D">
              <w:lastRenderedPageBreak/>
              <w:t>Bulgaria.</w:t>
            </w:r>
            <w:proofErr w:type="gramEnd"/>
          </w:p>
          <w:p w:rsidR="00D614D3" w:rsidRDefault="00D614D3" w:rsidP="000906B0">
            <w:pPr>
              <w:ind w:left="146"/>
            </w:pPr>
          </w:p>
          <w:p w:rsidR="00D614D3" w:rsidRPr="0022365D" w:rsidRDefault="00D614D3" w:rsidP="000906B0">
            <w:pPr>
              <w:ind w:left="146"/>
            </w:pPr>
            <w:r>
              <w:rPr>
                <w:noProof/>
                <w:lang w:val="ca-ES" w:eastAsia="ca-ES"/>
              </w:rPr>
              <w:drawing>
                <wp:inline distT="0" distB="0" distL="0" distR="0" wp14:anchorId="6EFB54F8" wp14:editId="3AF79F89">
                  <wp:extent cx="4424004" cy="3130790"/>
                  <wp:effectExtent l="0" t="0" r="0" b="0"/>
                  <wp:docPr id="2" name="Imagen 2" descr="C:\Users\2012351\AppData\Local\Temp\Rar$DIa0.607\Tour_001c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2351\AppData\Local\Temp\Rar$DIa0.607\Tour_001c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6108" cy="3132279"/>
                          </a:xfrm>
                          <a:prstGeom prst="rect">
                            <a:avLst/>
                          </a:prstGeom>
                          <a:noFill/>
                          <a:ln>
                            <a:noFill/>
                          </a:ln>
                        </pic:spPr>
                      </pic:pic>
                    </a:graphicData>
                  </a:graphic>
                </wp:inline>
              </w:drawing>
            </w:r>
          </w:p>
          <w:p w:rsidR="00E55AE6" w:rsidRPr="0022365D" w:rsidRDefault="00E50520" w:rsidP="00E55AE6">
            <w:pPr>
              <w:spacing w:before="120"/>
              <w:jc w:val="left"/>
            </w:pPr>
            <w:r>
              <w:rPr>
                <w:noProof/>
                <w:lang w:val="ca-ES" w:eastAsia="ca-ES"/>
              </w:rPr>
              <w:drawing>
                <wp:inline distT="0" distB="0" distL="0" distR="0" wp14:anchorId="48B024C2" wp14:editId="287F0616">
                  <wp:extent cx="4560125" cy="3227661"/>
                  <wp:effectExtent l="0" t="0" r="0" b="0"/>
                  <wp:docPr id="3" name="Imagen 3" descr="C:\Users\2012351\AppData\Local\Temp\Rar$DIa0.618\Tour_001d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2351\AppData\Local\Temp\Rar$DIa0.618\Tour_001d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3659" cy="3230163"/>
                          </a:xfrm>
                          <a:prstGeom prst="rect">
                            <a:avLst/>
                          </a:prstGeom>
                          <a:noFill/>
                          <a:ln>
                            <a:noFill/>
                          </a:ln>
                        </pic:spPr>
                      </pic:pic>
                    </a:graphicData>
                  </a:graphic>
                </wp:inline>
              </w:drawing>
            </w:r>
          </w:p>
          <w:p w:rsidR="00102813" w:rsidRPr="0022365D" w:rsidRDefault="00E50520" w:rsidP="00E55AE6">
            <w:pPr>
              <w:spacing w:before="120"/>
              <w:jc w:val="left"/>
            </w:pPr>
            <w:r>
              <w:rPr>
                <w:noProof/>
                <w:lang w:val="ca-ES" w:eastAsia="ca-ES"/>
              </w:rPr>
              <w:lastRenderedPageBreak/>
              <w:drawing>
                <wp:inline distT="0" distB="0" distL="0" distR="0" wp14:anchorId="2C194B24" wp14:editId="6164730D">
                  <wp:extent cx="4555165" cy="3224150"/>
                  <wp:effectExtent l="0" t="0" r="0" b="0"/>
                  <wp:docPr id="4" name="Imagen 4" descr="C:\Users\2012351\AppData\Local\Temp\Rar$DIa0.548\Tour_001f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2351\AppData\Local\Temp\Rar$DIa0.548\Tour_001f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5480" cy="3224373"/>
                          </a:xfrm>
                          <a:prstGeom prst="rect">
                            <a:avLst/>
                          </a:prstGeom>
                          <a:noFill/>
                          <a:ln>
                            <a:noFill/>
                          </a:ln>
                        </pic:spPr>
                      </pic:pic>
                    </a:graphicData>
                  </a:graphic>
                </wp:inline>
              </w:drawing>
            </w:r>
          </w:p>
        </w:tc>
      </w:tr>
      <w:tr w:rsidR="001949EA" w:rsidRPr="0022365D" w:rsidTr="00993026">
        <w:tc>
          <w:tcPr>
            <w:tcW w:w="2297" w:type="dxa"/>
            <w:gridSpan w:val="3"/>
          </w:tcPr>
          <w:p w:rsidR="001949EA" w:rsidRPr="0022365D" w:rsidRDefault="001949EA" w:rsidP="001949EA">
            <w:pPr>
              <w:ind w:left="142"/>
            </w:pPr>
            <w:r w:rsidRPr="0022365D">
              <w:lastRenderedPageBreak/>
              <w:t>Specific policy question</w:t>
            </w:r>
          </w:p>
        </w:tc>
        <w:tc>
          <w:tcPr>
            <w:tcW w:w="7229" w:type="dxa"/>
          </w:tcPr>
          <w:p w:rsidR="001949EA" w:rsidRPr="0022365D" w:rsidRDefault="00A23B1F" w:rsidP="001949EA">
            <w:pPr>
              <w:ind w:left="142"/>
            </w:pPr>
            <w:r w:rsidRPr="0022365D">
              <w:t>How is the demand for visiting Europe increasing?</w:t>
            </w:r>
          </w:p>
        </w:tc>
      </w:tr>
      <w:tr w:rsidR="001949EA" w:rsidRPr="0022365D" w:rsidTr="00993026">
        <w:tc>
          <w:tcPr>
            <w:tcW w:w="2297" w:type="dxa"/>
            <w:gridSpan w:val="3"/>
          </w:tcPr>
          <w:p w:rsidR="001949EA" w:rsidRPr="0022365D" w:rsidRDefault="001949EA" w:rsidP="001949EA">
            <w:pPr>
              <w:ind w:left="142"/>
            </w:pPr>
            <w:r w:rsidRPr="0022365D">
              <w:t xml:space="preserve">Specific assessment </w:t>
            </w:r>
          </w:p>
        </w:tc>
        <w:tc>
          <w:tcPr>
            <w:tcW w:w="7229" w:type="dxa"/>
          </w:tcPr>
          <w:p w:rsidR="00A80E14" w:rsidRPr="0022365D" w:rsidRDefault="00E50520" w:rsidP="00A80E14">
            <w:pPr>
              <w:ind w:left="146"/>
            </w:pPr>
            <w:r>
              <w:t>The map</w:t>
            </w:r>
            <w:r w:rsidR="00807E4C" w:rsidRPr="0022365D">
              <w:t xml:space="preserve"> of </w:t>
            </w:r>
            <w:r>
              <w:t xml:space="preserve">the evolution of </w:t>
            </w:r>
            <w:r w:rsidR="00807E4C" w:rsidRPr="0022365D">
              <w:t xml:space="preserve">overnight stays </w:t>
            </w:r>
            <w:r>
              <w:t>between</w:t>
            </w:r>
            <w:r w:rsidR="00807E4C" w:rsidRPr="0022365D">
              <w:t xml:space="preserve"> 2004 </w:t>
            </w:r>
            <w:r>
              <w:t xml:space="preserve">and 2014 </w:t>
            </w:r>
            <w:r w:rsidR="00807E4C" w:rsidRPr="0022365D">
              <w:t>show</w:t>
            </w:r>
            <w:r>
              <w:t>s</w:t>
            </w:r>
            <w:r w:rsidR="00807E4C" w:rsidRPr="0022365D">
              <w:t xml:space="preserve"> how there was a general increase of number of both overnight stays by residents and non-residents throughout Europe during </w:t>
            </w:r>
            <w:r>
              <w:t>that</w:t>
            </w:r>
            <w:r w:rsidR="00807E4C" w:rsidRPr="0022365D">
              <w:t xml:space="preserve"> period. </w:t>
            </w:r>
            <w:proofErr w:type="gramStart"/>
            <w:r w:rsidR="00807E4C" w:rsidRPr="0022365D">
              <w:t>This is a reflection of the overall increase of tourism numbers that most of the European countries have experienced during the last years.</w:t>
            </w:r>
            <w:proofErr w:type="gramEnd"/>
            <w:r w:rsidR="00807E4C" w:rsidRPr="0022365D">
              <w:t xml:space="preserve"> </w:t>
            </w:r>
          </w:p>
          <w:p w:rsidR="00A80E14" w:rsidRPr="0022365D" w:rsidRDefault="00A80E14" w:rsidP="00A80E14">
            <w:pPr>
              <w:ind w:left="5"/>
            </w:pPr>
          </w:p>
          <w:p w:rsidR="00367FA5" w:rsidRPr="0022365D" w:rsidRDefault="00E50520" w:rsidP="00367FA5">
            <w:pPr>
              <w:ind w:left="5"/>
            </w:pPr>
            <w:r>
              <w:rPr>
                <w:noProof/>
                <w:lang w:val="ca-ES" w:eastAsia="ca-ES"/>
              </w:rPr>
              <w:drawing>
                <wp:inline distT="0" distB="0" distL="0" distR="0">
                  <wp:extent cx="4554187" cy="3223459"/>
                  <wp:effectExtent l="0" t="0" r="0" b="0"/>
                  <wp:docPr id="5" name="Imagen 5" descr="C:\Users\2012351\AppData\Local\Temp\Rar$DIa0.454\Tour_00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2351\AppData\Local\Temp\Rar$DIa0.454\Tour_001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0047" cy="3227607"/>
                          </a:xfrm>
                          <a:prstGeom prst="rect">
                            <a:avLst/>
                          </a:prstGeom>
                          <a:noFill/>
                          <a:ln>
                            <a:noFill/>
                          </a:ln>
                        </pic:spPr>
                      </pic:pic>
                    </a:graphicData>
                  </a:graphic>
                </wp:inline>
              </w:drawing>
            </w:r>
          </w:p>
          <w:p w:rsidR="00102813" w:rsidRPr="0022365D" w:rsidRDefault="00102813" w:rsidP="00E50520"/>
        </w:tc>
      </w:tr>
      <w:tr w:rsidR="001949EA" w:rsidRPr="0022365D" w:rsidTr="00993026">
        <w:tc>
          <w:tcPr>
            <w:tcW w:w="2297" w:type="dxa"/>
            <w:gridSpan w:val="3"/>
          </w:tcPr>
          <w:p w:rsidR="001949EA" w:rsidRPr="0022365D" w:rsidRDefault="001949EA" w:rsidP="001949EA">
            <w:pPr>
              <w:ind w:left="142"/>
            </w:pPr>
            <w:r w:rsidRPr="0022365D">
              <w:t>Examples</w:t>
            </w:r>
          </w:p>
        </w:tc>
        <w:tc>
          <w:tcPr>
            <w:tcW w:w="7229" w:type="dxa"/>
          </w:tcPr>
          <w:p w:rsidR="001949EA" w:rsidRPr="0022365D" w:rsidRDefault="001949EA" w:rsidP="001949EA">
            <w:pPr>
              <w:ind w:left="142"/>
            </w:pPr>
          </w:p>
        </w:tc>
      </w:tr>
      <w:tr w:rsidR="001949EA" w:rsidRPr="0022365D" w:rsidTr="00993026">
        <w:tc>
          <w:tcPr>
            <w:tcW w:w="2297" w:type="dxa"/>
            <w:gridSpan w:val="3"/>
          </w:tcPr>
          <w:p w:rsidR="001949EA" w:rsidRPr="0022365D" w:rsidRDefault="001949EA" w:rsidP="001949EA">
            <w:pPr>
              <w:ind w:left="142"/>
              <w:rPr>
                <w:b/>
              </w:rPr>
            </w:pPr>
            <w:r w:rsidRPr="0022365D">
              <w:rPr>
                <w:b/>
              </w:rPr>
              <w:lastRenderedPageBreak/>
              <w:t>SPECIFICATIONS</w:t>
            </w:r>
          </w:p>
        </w:tc>
        <w:tc>
          <w:tcPr>
            <w:tcW w:w="7229" w:type="dxa"/>
          </w:tcPr>
          <w:p w:rsidR="001949EA" w:rsidRPr="0022365D" w:rsidRDefault="001949EA" w:rsidP="001949EA">
            <w:pPr>
              <w:ind w:left="142"/>
            </w:pPr>
          </w:p>
        </w:tc>
      </w:tr>
      <w:tr w:rsidR="001949EA" w:rsidRPr="0022365D" w:rsidTr="00993026">
        <w:tc>
          <w:tcPr>
            <w:tcW w:w="2297" w:type="dxa"/>
            <w:gridSpan w:val="3"/>
          </w:tcPr>
          <w:p w:rsidR="001949EA" w:rsidRPr="0022365D" w:rsidRDefault="001949EA" w:rsidP="001949EA">
            <w:pPr>
              <w:ind w:left="142"/>
              <w:rPr>
                <w:b/>
              </w:rPr>
            </w:pPr>
            <w:r w:rsidRPr="0022365D">
              <w:t>Indicator definition</w:t>
            </w:r>
          </w:p>
        </w:tc>
        <w:tc>
          <w:tcPr>
            <w:tcW w:w="7229" w:type="dxa"/>
          </w:tcPr>
          <w:p w:rsidR="001949EA" w:rsidRPr="0022365D" w:rsidRDefault="001949EA" w:rsidP="009A2080">
            <w:pPr>
              <w:ind w:left="142"/>
              <w:rPr>
                <w:lang w:val="en-US"/>
              </w:rPr>
            </w:pPr>
          </w:p>
        </w:tc>
      </w:tr>
      <w:tr w:rsidR="001949EA" w:rsidRPr="0022365D" w:rsidTr="00993026">
        <w:tc>
          <w:tcPr>
            <w:tcW w:w="2297" w:type="dxa"/>
            <w:gridSpan w:val="3"/>
            <w:tcBorders>
              <w:bottom w:val="single" w:sz="4" w:space="0" w:color="auto"/>
            </w:tcBorders>
          </w:tcPr>
          <w:p w:rsidR="001949EA" w:rsidRPr="0022365D" w:rsidRDefault="001949EA" w:rsidP="001949EA">
            <w:pPr>
              <w:ind w:left="142"/>
            </w:pPr>
            <w:r w:rsidRPr="0022365D">
              <w:t>DPSIR</w:t>
            </w:r>
          </w:p>
        </w:tc>
        <w:tc>
          <w:tcPr>
            <w:tcW w:w="7229" w:type="dxa"/>
            <w:tcBorders>
              <w:bottom w:val="single" w:sz="4" w:space="0" w:color="auto"/>
            </w:tcBorders>
          </w:tcPr>
          <w:p w:rsidR="001949EA" w:rsidRPr="0022365D" w:rsidRDefault="001949EA" w:rsidP="001949EA">
            <w:pPr>
              <w:ind w:left="142"/>
            </w:pPr>
            <w:r w:rsidRPr="0022365D">
              <w:t>D</w:t>
            </w:r>
          </w:p>
        </w:tc>
      </w:tr>
      <w:tr w:rsidR="001949EA" w:rsidRPr="0022365D" w:rsidTr="00993026">
        <w:tc>
          <w:tcPr>
            <w:tcW w:w="2297" w:type="dxa"/>
            <w:gridSpan w:val="3"/>
            <w:tcBorders>
              <w:bottom w:val="single" w:sz="4" w:space="0" w:color="C4BC96" w:themeColor="background2" w:themeShade="BF"/>
            </w:tcBorders>
          </w:tcPr>
          <w:p w:rsidR="001949EA" w:rsidRPr="0022365D" w:rsidRDefault="001949EA" w:rsidP="001949EA">
            <w:pPr>
              <w:ind w:left="142"/>
            </w:pPr>
            <w:r w:rsidRPr="0022365D">
              <w:t>Justification</w:t>
            </w:r>
          </w:p>
        </w:tc>
        <w:tc>
          <w:tcPr>
            <w:tcW w:w="7229" w:type="dxa"/>
            <w:tcBorders>
              <w:bottom w:val="single" w:sz="4" w:space="0" w:color="C4BC96" w:themeColor="background2" w:themeShade="BF"/>
            </w:tcBorders>
          </w:tcPr>
          <w:p w:rsidR="001949EA" w:rsidRPr="0022365D" w:rsidRDefault="001949EA" w:rsidP="001949EA">
            <w:pPr>
              <w:ind w:left="142"/>
            </w:pPr>
          </w:p>
        </w:tc>
      </w:tr>
      <w:tr w:rsidR="001949EA" w:rsidRPr="0022365D" w:rsidTr="00993026">
        <w:tc>
          <w:tcPr>
            <w:tcW w:w="825" w:type="dxa"/>
            <w:gridSpan w:val="2"/>
            <w:tcBorders>
              <w:top w:val="single" w:sz="4" w:space="0" w:color="C4BC96" w:themeColor="background2" w:themeShade="BF"/>
              <w:bottom w:val="nil"/>
              <w:right w:val="nil"/>
            </w:tcBorders>
          </w:tcPr>
          <w:p w:rsidR="001949EA" w:rsidRPr="0022365D" w:rsidRDefault="001949EA" w:rsidP="001949EA">
            <w:pPr>
              <w:ind w:left="142"/>
            </w:pPr>
          </w:p>
        </w:tc>
        <w:tc>
          <w:tcPr>
            <w:tcW w:w="1472" w:type="dxa"/>
            <w:tcBorders>
              <w:top w:val="single" w:sz="4" w:space="0" w:color="C4BC96" w:themeColor="background2" w:themeShade="BF"/>
              <w:left w:val="nil"/>
            </w:tcBorders>
          </w:tcPr>
          <w:p w:rsidR="001949EA" w:rsidRPr="0022365D" w:rsidRDefault="001949EA" w:rsidP="001949EA">
            <w:pPr>
              <w:ind w:left="142"/>
            </w:pPr>
            <w:r w:rsidRPr="0022365D">
              <w:t>Rationale</w:t>
            </w:r>
          </w:p>
        </w:tc>
        <w:tc>
          <w:tcPr>
            <w:tcW w:w="7229" w:type="dxa"/>
            <w:tcBorders>
              <w:top w:val="single" w:sz="4" w:space="0" w:color="C4BC96" w:themeColor="background2" w:themeShade="BF"/>
            </w:tcBorders>
          </w:tcPr>
          <w:p w:rsidR="001949EA" w:rsidRPr="0022365D" w:rsidRDefault="00A23B1F" w:rsidP="00447F24">
            <w:pPr>
              <w:ind w:left="142"/>
              <w:rPr>
                <w:lang w:val="en-US"/>
              </w:rPr>
            </w:pPr>
            <w:r w:rsidRPr="0022365D">
              <w:rPr>
                <w:lang w:val="en-US"/>
              </w:rPr>
              <w:t xml:space="preserve">This </w:t>
            </w:r>
            <w:r w:rsidR="00E55AE6" w:rsidRPr="0022365D">
              <w:rPr>
                <w:lang w:val="en-US"/>
              </w:rPr>
              <w:t xml:space="preserve">indicator </w:t>
            </w:r>
            <w:r w:rsidRPr="0022365D">
              <w:rPr>
                <w:lang w:val="en-US"/>
              </w:rPr>
              <w:t xml:space="preserve">informs about the tourism attractiveness of each </w:t>
            </w:r>
            <w:r w:rsidR="00E55AE6" w:rsidRPr="0022365D">
              <w:rPr>
                <w:lang w:val="en-US"/>
              </w:rPr>
              <w:t>region</w:t>
            </w:r>
            <w:r w:rsidRPr="0022365D">
              <w:rPr>
                <w:lang w:val="en-US"/>
              </w:rPr>
              <w:t xml:space="preserve"> and its evolution over time. It also informs about the origin of the visitors, distinguishing between domestic tourists (short distance tourists) and international tourists (longer distance tourists). This indicator and </w:t>
            </w:r>
            <w:r w:rsidR="00E55AE6" w:rsidRPr="0022365D">
              <w:rPr>
                <w:lang w:val="en-US"/>
              </w:rPr>
              <w:t>tourism arrivals</w:t>
            </w:r>
            <w:r w:rsidRPr="0022365D">
              <w:rPr>
                <w:lang w:val="en-US"/>
              </w:rPr>
              <w:t xml:space="preserve"> </w:t>
            </w:r>
            <w:r w:rsidR="00634341" w:rsidRPr="0022365D">
              <w:rPr>
                <w:lang w:val="en-US"/>
              </w:rPr>
              <w:t>indicator complement each other, since tourism arrivals indicator measures the total number of trips to a country, and overnight stays indicator measures the length of stay (in days) of those trips.</w:t>
            </w:r>
            <w:r w:rsidR="00447F24" w:rsidRPr="0022365D">
              <w:rPr>
                <w:lang w:val="en-US"/>
              </w:rPr>
              <w:t xml:space="preserve"> However, overnights better reflect the impact of tourism on the destination than tourism arrivals.</w:t>
            </w:r>
          </w:p>
        </w:tc>
      </w:tr>
      <w:tr w:rsidR="001949EA" w:rsidRPr="0022365D" w:rsidTr="00993026">
        <w:tc>
          <w:tcPr>
            <w:tcW w:w="825" w:type="dxa"/>
            <w:gridSpan w:val="2"/>
            <w:tcBorders>
              <w:top w:val="nil"/>
              <w:right w:val="nil"/>
            </w:tcBorders>
          </w:tcPr>
          <w:p w:rsidR="001949EA" w:rsidRPr="0022365D" w:rsidRDefault="001949EA" w:rsidP="001949EA">
            <w:pPr>
              <w:ind w:left="142"/>
              <w:rPr>
                <w:lang w:val="en-US"/>
              </w:rPr>
            </w:pPr>
          </w:p>
        </w:tc>
        <w:tc>
          <w:tcPr>
            <w:tcW w:w="1472" w:type="dxa"/>
            <w:tcBorders>
              <w:left w:val="nil"/>
            </w:tcBorders>
          </w:tcPr>
          <w:p w:rsidR="001949EA" w:rsidRPr="0022365D" w:rsidRDefault="001949EA" w:rsidP="001949EA">
            <w:pPr>
              <w:ind w:left="142"/>
            </w:pPr>
            <w:r w:rsidRPr="0022365D">
              <w:t>References</w:t>
            </w:r>
          </w:p>
        </w:tc>
        <w:tc>
          <w:tcPr>
            <w:tcW w:w="7229" w:type="dxa"/>
          </w:tcPr>
          <w:p w:rsidR="001949EA" w:rsidRPr="0022365D" w:rsidRDefault="001949EA" w:rsidP="00E80A5C">
            <w:pPr>
              <w:ind w:left="142"/>
            </w:pPr>
          </w:p>
        </w:tc>
      </w:tr>
      <w:tr w:rsidR="001949EA" w:rsidRPr="0022365D" w:rsidTr="00993026">
        <w:tc>
          <w:tcPr>
            <w:tcW w:w="2297" w:type="dxa"/>
            <w:gridSpan w:val="3"/>
            <w:tcBorders>
              <w:bottom w:val="single" w:sz="4" w:space="0" w:color="C4BC96" w:themeColor="background2" w:themeShade="BF"/>
            </w:tcBorders>
          </w:tcPr>
          <w:p w:rsidR="001949EA" w:rsidRPr="0022365D" w:rsidRDefault="001949EA" w:rsidP="001949EA">
            <w:pPr>
              <w:ind w:left="142"/>
            </w:pPr>
            <w:r w:rsidRPr="0022365D">
              <w:t>Policy context</w:t>
            </w:r>
          </w:p>
        </w:tc>
        <w:tc>
          <w:tcPr>
            <w:tcW w:w="7229" w:type="dxa"/>
            <w:tcBorders>
              <w:bottom w:val="single" w:sz="4" w:space="0" w:color="C4BC96" w:themeColor="background2" w:themeShade="BF"/>
            </w:tcBorders>
          </w:tcPr>
          <w:p w:rsidR="001949EA" w:rsidRPr="0022365D" w:rsidRDefault="001949EA" w:rsidP="001949EA">
            <w:pPr>
              <w:ind w:left="142"/>
            </w:pPr>
          </w:p>
        </w:tc>
      </w:tr>
      <w:tr w:rsidR="001949EA" w:rsidRPr="0022365D" w:rsidTr="00993026">
        <w:tc>
          <w:tcPr>
            <w:tcW w:w="825" w:type="dxa"/>
            <w:gridSpan w:val="2"/>
            <w:tcBorders>
              <w:top w:val="single" w:sz="4" w:space="0" w:color="C4BC96" w:themeColor="background2" w:themeShade="BF"/>
              <w:bottom w:val="nil"/>
              <w:right w:val="nil"/>
            </w:tcBorders>
          </w:tcPr>
          <w:p w:rsidR="001949EA" w:rsidRPr="0022365D" w:rsidRDefault="001949EA" w:rsidP="001949EA">
            <w:pPr>
              <w:ind w:left="142"/>
            </w:pPr>
          </w:p>
        </w:tc>
        <w:tc>
          <w:tcPr>
            <w:tcW w:w="1472" w:type="dxa"/>
            <w:tcBorders>
              <w:top w:val="single" w:sz="4" w:space="0" w:color="C4BC96" w:themeColor="background2" w:themeShade="BF"/>
              <w:left w:val="nil"/>
            </w:tcBorders>
          </w:tcPr>
          <w:p w:rsidR="001949EA" w:rsidRPr="0022365D" w:rsidRDefault="001949EA" w:rsidP="001949EA">
            <w:pPr>
              <w:ind w:left="142"/>
            </w:pPr>
            <w:r w:rsidRPr="0022365D">
              <w:t>Policy context</w:t>
            </w:r>
          </w:p>
        </w:tc>
        <w:tc>
          <w:tcPr>
            <w:tcW w:w="7229" w:type="dxa"/>
            <w:tcBorders>
              <w:top w:val="single" w:sz="4" w:space="0" w:color="C4BC96" w:themeColor="background2" w:themeShade="BF"/>
            </w:tcBorders>
          </w:tcPr>
          <w:p w:rsidR="001949EA" w:rsidRPr="0022365D" w:rsidRDefault="001949EA" w:rsidP="001949EA">
            <w:pPr>
              <w:ind w:left="142"/>
              <w:rPr>
                <w:lang w:val="en-US"/>
              </w:rPr>
            </w:pPr>
            <w:r w:rsidRPr="0022365D">
              <w:rPr>
                <w:lang w:val="en-US"/>
              </w:rPr>
              <w:t>EC and national policies on tourism and sustainable tourism.</w:t>
            </w:r>
          </w:p>
        </w:tc>
      </w:tr>
      <w:tr w:rsidR="001949EA" w:rsidRPr="0022365D" w:rsidTr="00993026">
        <w:tc>
          <w:tcPr>
            <w:tcW w:w="825" w:type="dxa"/>
            <w:gridSpan w:val="2"/>
            <w:tcBorders>
              <w:top w:val="nil"/>
              <w:bottom w:val="nil"/>
              <w:right w:val="nil"/>
            </w:tcBorders>
          </w:tcPr>
          <w:p w:rsidR="001949EA" w:rsidRPr="0022365D" w:rsidRDefault="001949EA" w:rsidP="001949EA">
            <w:pPr>
              <w:ind w:left="142"/>
              <w:rPr>
                <w:lang w:val="en-US"/>
              </w:rPr>
            </w:pPr>
          </w:p>
        </w:tc>
        <w:tc>
          <w:tcPr>
            <w:tcW w:w="1472" w:type="dxa"/>
            <w:tcBorders>
              <w:left w:val="nil"/>
            </w:tcBorders>
          </w:tcPr>
          <w:p w:rsidR="001949EA" w:rsidRPr="0022365D" w:rsidRDefault="001949EA" w:rsidP="001949EA">
            <w:pPr>
              <w:ind w:left="142"/>
            </w:pPr>
            <w:r w:rsidRPr="0022365D">
              <w:t>Targets</w:t>
            </w:r>
          </w:p>
        </w:tc>
        <w:tc>
          <w:tcPr>
            <w:tcW w:w="7229" w:type="dxa"/>
          </w:tcPr>
          <w:p w:rsidR="001949EA" w:rsidRPr="0022365D" w:rsidRDefault="001949EA" w:rsidP="00E80A5C">
            <w:pPr>
              <w:ind w:left="142"/>
              <w:rPr>
                <w:lang w:val="en-US"/>
              </w:rPr>
            </w:pPr>
          </w:p>
        </w:tc>
      </w:tr>
      <w:tr w:rsidR="001949EA" w:rsidRPr="0022365D" w:rsidTr="00993026">
        <w:tc>
          <w:tcPr>
            <w:tcW w:w="825" w:type="dxa"/>
            <w:gridSpan w:val="2"/>
            <w:tcBorders>
              <w:top w:val="nil"/>
              <w:bottom w:val="single" w:sz="4" w:space="0" w:color="auto"/>
              <w:right w:val="nil"/>
            </w:tcBorders>
          </w:tcPr>
          <w:p w:rsidR="001949EA" w:rsidRPr="0022365D" w:rsidRDefault="001949EA" w:rsidP="001949EA">
            <w:pPr>
              <w:ind w:left="142"/>
              <w:rPr>
                <w:lang w:val="en-US"/>
              </w:rPr>
            </w:pPr>
          </w:p>
        </w:tc>
        <w:tc>
          <w:tcPr>
            <w:tcW w:w="1472" w:type="dxa"/>
            <w:tcBorders>
              <w:left w:val="nil"/>
              <w:bottom w:val="single" w:sz="4" w:space="0" w:color="auto"/>
            </w:tcBorders>
          </w:tcPr>
          <w:p w:rsidR="001949EA" w:rsidRPr="0022365D" w:rsidRDefault="001949EA" w:rsidP="001949EA">
            <w:pPr>
              <w:ind w:left="142"/>
            </w:pPr>
            <w:r w:rsidRPr="0022365D">
              <w:t>Related policy documents</w:t>
            </w:r>
          </w:p>
        </w:tc>
        <w:tc>
          <w:tcPr>
            <w:tcW w:w="7229" w:type="dxa"/>
            <w:tcBorders>
              <w:bottom w:val="single" w:sz="4" w:space="0" w:color="auto"/>
            </w:tcBorders>
          </w:tcPr>
          <w:p w:rsidR="001949EA" w:rsidRPr="0022365D" w:rsidRDefault="001949EA" w:rsidP="001949EA">
            <w:pPr>
              <w:ind w:left="142"/>
            </w:pPr>
          </w:p>
        </w:tc>
      </w:tr>
      <w:tr w:rsidR="001949EA" w:rsidRPr="0022365D" w:rsidTr="00993026">
        <w:tc>
          <w:tcPr>
            <w:tcW w:w="2297" w:type="dxa"/>
            <w:gridSpan w:val="3"/>
            <w:tcBorders>
              <w:bottom w:val="single" w:sz="4" w:space="0" w:color="C4BC96" w:themeColor="background2" w:themeShade="BF"/>
            </w:tcBorders>
          </w:tcPr>
          <w:p w:rsidR="001949EA" w:rsidRPr="0022365D" w:rsidRDefault="001949EA" w:rsidP="001949EA">
            <w:pPr>
              <w:ind w:left="142"/>
            </w:pPr>
            <w:r w:rsidRPr="0022365D">
              <w:t xml:space="preserve"> Methodology</w:t>
            </w:r>
          </w:p>
        </w:tc>
        <w:tc>
          <w:tcPr>
            <w:tcW w:w="7229" w:type="dxa"/>
            <w:tcBorders>
              <w:bottom w:val="single" w:sz="4" w:space="0" w:color="C4BC96" w:themeColor="background2" w:themeShade="BF"/>
            </w:tcBorders>
          </w:tcPr>
          <w:p w:rsidR="001949EA" w:rsidRPr="0022365D" w:rsidRDefault="001949EA" w:rsidP="001949EA">
            <w:pPr>
              <w:ind w:left="142"/>
            </w:pPr>
          </w:p>
        </w:tc>
      </w:tr>
      <w:tr w:rsidR="001949EA" w:rsidRPr="0022365D" w:rsidTr="00993026">
        <w:tc>
          <w:tcPr>
            <w:tcW w:w="573" w:type="dxa"/>
            <w:tcBorders>
              <w:top w:val="single" w:sz="4" w:space="0" w:color="C4BC96" w:themeColor="background2" w:themeShade="BF"/>
              <w:bottom w:val="nil"/>
              <w:right w:val="nil"/>
            </w:tcBorders>
          </w:tcPr>
          <w:p w:rsidR="001949EA" w:rsidRPr="0022365D" w:rsidRDefault="001949EA" w:rsidP="001949EA">
            <w:pPr>
              <w:ind w:left="142"/>
            </w:pPr>
          </w:p>
        </w:tc>
        <w:tc>
          <w:tcPr>
            <w:tcW w:w="1724" w:type="dxa"/>
            <w:gridSpan w:val="2"/>
            <w:tcBorders>
              <w:top w:val="single" w:sz="4" w:space="0" w:color="C4BC96" w:themeColor="background2" w:themeShade="BF"/>
              <w:left w:val="nil"/>
            </w:tcBorders>
          </w:tcPr>
          <w:p w:rsidR="001949EA" w:rsidRPr="0022365D" w:rsidRDefault="001949EA" w:rsidP="001949EA">
            <w:pPr>
              <w:ind w:left="142"/>
              <w:jc w:val="left"/>
            </w:pPr>
            <w:r w:rsidRPr="0022365D">
              <w:t>Methodology for indicator calculation</w:t>
            </w:r>
          </w:p>
        </w:tc>
        <w:tc>
          <w:tcPr>
            <w:tcW w:w="7229" w:type="dxa"/>
            <w:tcBorders>
              <w:top w:val="single" w:sz="4" w:space="0" w:color="C4BC96" w:themeColor="background2" w:themeShade="BF"/>
            </w:tcBorders>
          </w:tcPr>
          <w:p w:rsidR="00C91D75" w:rsidRPr="0022365D" w:rsidRDefault="00456402" w:rsidP="00E55AE6">
            <w:pPr>
              <w:ind w:left="142"/>
            </w:pPr>
            <w:r w:rsidRPr="0022365D">
              <w:t xml:space="preserve">Data </w:t>
            </w:r>
            <w:proofErr w:type="gramStart"/>
            <w:r w:rsidRPr="0022365D">
              <w:t>is directly provided</w:t>
            </w:r>
            <w:proofErr w:type="gramEnd"/>
            <w:r w:rsidRPr="0022365D">
              <w:t xml:space="preserve"> by EUROSTAT statistics</w:t>
            </w:r>
            <w:r w:rsidR="00C0511B" w:rsidRPr="0022365D">
              <w:t xml:space="preserve"> (</w:t>
            </w:r>
            <w:r w:rsidR="00E50520" w:rsidRPr="00E50520">
              <w:t>tour_occ_nin2</w:t>
            </w:r>
            <w:bookmarkStart w:id="0" w:name="_GoBack"/>
            <w:bookmarkEnd w:id="0"/>
            <w:r w:rsidR="00C0511B" w:rsidRPr="0022365D">
              <w:t>)</w:t>
            </w:r>
            <w:r w:rsidRPr="0022365D">
              <w:t>.</w:t>
            </w:r>
            <w:r w:rsidR="009A2080" w:rsidRPr="0022365D">
              <w:t xml:space="preserve"> </w:t>
            </w:r>
          </w:p>
        </w:tc>
      </w:tr>
      <w:tr w:rsidR="001949EA" w:rsidRPr="0022365D" w:rsidTr="00993026">
        <w:trPr>
          <w:cantSplit/>
        </w:trPr>
        <w:tc>
          <w:tcPr>
            <w:tcW w:w="573" w:type="dxa"/>
            <w:tcBorders>
              <w:top w:val="nil"/>
              <w:bottom w:val="nil"/>
              <w:right w:val="nil"/>
            </w:tcBorders>
          </w:tcPr>
          <w:p w:rsidR="001949EA" w:rsidRPr="0022365D" w:rsidRDefault="001949EA" w:rsidP="001949EA">
            <w:pPr>
              <w:ind w:left="142"/>
            </w:pPr>
          </w:p>
        </w:tc>
        <w:tc>
          <w:tcPr>
            <w:tcW w:w="1724" w:type="dxa"/>
            <w:gridSpan w:val="2"/>
            <w:tcBorders>
              <w:left w:val="nil"/>
            </w:tcBorders>
          </w:tcPr>
          <w:p w:rsidR="001949EA" w:rsidRPr="0022365D" w:rsidRDefault="001949EA" w:rsidP="001949EA">
            <w:pPr>
              <w:ind w:left="142"/>
            </w:pPr>
            <w:r w:rsidRPr="0022365D">
              <w:t>Methodology for gap filling</w:t>
            </w:r>
          </w:p>
        </w:tc>
        <w:tc>
          <w:tcPr>
            <w:tcW w:w="7229" w:type="dxa"/>
          </w:tcPr>
          <w:p w:rsidR="001949EA" w:rsidRPr="0022365D" w:rsidRDefault="001949EA" w:rsidP="001949EA">
            <w:pPr>
              <w:ind w:left="142"/>
            </w:pPr>
          </w:p>
        </w:tc>
      </w:tr>
      <w:tr w:rsidR="001949EA" w:rsidRPr="0022365D" w:rsidTr="00993026">
        <w:tc>
          <w:tcPr>
            <w:tcW w:w="573" w:type="dxa"/>
            <w:tcBorders>
              <w:top w:val="nil"/>
              <w:right w:val="nil"/>
            </w:tcBorders>
          </w:tcPr>
          <w:p w:rsidR="001949EA" w:rsidRPr="0022365D" w:rsidRDefault="001949EA" w:rsidP="001949EA">
            <w:pPr>
              <w:ind w:left="142"/>
            </w:pPr>
          </w:p>
        </w:tc>
        <w:tc>
          <w:tcPr>
            <w:tcW w:w="1724" w:type="dxa"/>
            <w:gridSpan w:val="2"/>
            <w:tcBorders>
              <w:left w:val="nil"/>
            </w:tcBorders>
          </w:tcPr>
          <w:p w:rsidR="001949EA" w:rsidRPr="0022365D" w:rsidRDefault="001949EA" w:rsidP="001949EA">
            <w:pPr>
              <w:ind w:left="142"/>
            </w:pPr>
            <w:r w:rsidRPr="0022365D">
              <w:t>References</w:t>
            </w:r>
          </w:p>
        </w:tc>
        <w:tc>
          <w:tcPr>
            <w:tcW w:w="7229" w:type="dxa"/>
          </w:tcPr>
          <w:p w:rsidR="001949EA" w:rsidRPr="0022365D" w:rsidRDefault="001949EA" w:rsidP="001949EA">
            <w:pPr>
              <w:ind w:left="142"/>
            </w:pPr>
          </w:p>
        </w:tc>
      </w:tr>
      <w:tr w:rsidR="001949EA" w:rsidRPr="0022365D" w:rsidTr="00993026">
        <w:tc>
          <w:tcPr>
            <w:tcW w:w="2297" w:type="dxa"/>
            <w:gridSpan w:val="3"/>
            <w:tcBorders>
              <w:bottom w:val="single" w:sz="4" w:space="0" w:color="auto"/>
            </w:tcBorders>
          </w:tcPr>
          <w:p w:rsidR="001949EA" w:rsidRPr="0022365D" w:rsidRDefault="001949EA" w:rsidP="001949EA">
            <w:pPr>
              <w:ind w:left="142"/>
            </w:pPr>
            <w:r w:rsidRPr="0022365D">
              <w:t>Data specifications</w:t>
            </w:r>
          </w:p>
        </w:tc>
        <w:tc>
          <w:tcPr>
            <w:tcW w:w="7229" w:type="dxa"/>
            <w:tcBorders>
              <w:bottom w:val="single" w:sz="4" w:space="0" w:color="auto"/>
            </w:tcBorders>
          </w:tcPr>
          <w:p w:rsidR="001949EA" w:rsidRPr="0022365D" w:rsidRDefault="001949EA" w:rsidP="001949EA">
            <w:pPr>
              <w:ind w:left="142"/>
            </w:pPr>
            <w:r w:rsidRPr="0022365D">
              <w:t>Data comes from EUROSTAT.</w:t>
            </w:r>
          </w:p>
        </w:tc>
      </w:tr>
      <w:tr w:rsidR="001949EA" w:rsidRPr="0022365D" w:rsidTr="00993026">
        <w:tc>
          <w:tcPr>
            <w:tcW w:w="2297" w:type="dxa"/>
            <w:gridSpan w:val="3"/>
            <w:tcBorders>
              <w:bottom w:val="single" w:sz="4" w:space="0" w:color="C4BC96" w:themeColor="background2" w:themeShade="BF"/>
            </w:tcBorders>
          </w:tcPr>
          <w:p w:rsidR="001949EA" w:rsidRPr="0022365D" w:rsidRDefault="001949EA" w:rsidP="001949EA">
            <w:pPr>
              <w:ind w:left="142"/>
            </w:pPr>
            <w:r w:rsidRPr="0022365D">
              <w:t xml:space="preserve"> Uncertainties</w:t>
            </w:r>
          </w:p>
        </w:tc>
        <w:tc>
          <w:tcPr>
            <w:tcW w:w="7229" w:type="dxa"/>
            <w:tcBorders>
              <w:bottom w:val="single" w:sz="4" w:space="0" w:color="C4BC96" w:themeColor="background2" w:themeShade="BF"/>
            </w:tcBorders>
          </w:tcPr>
          <w:p w:rsidR="001949EA" w:rsidRPr="0022365D" w:rsidRDefault="001949EA" w:rsidP="001949EA">
            <w:pPr>
              <w:ind w:left="142"/>
            </w:pPr>
          </w:p>
        </w:tc>
      </w:tr>
      <w:tr w:rsidR="001949EA" w:rsidRPr="0022365D" w:rsidTr="00993026">
        <w:tc>
          <w:tcPr>
            <w:tcW w:w="573" w:type="dxa"/>
            <w:tcBorders>
              <w:top w:val="single" w:sz="4" w:space="0" w:color="C4BC96" w:themeColor="background2" w:themeShade="BF"/>
              <w:bottom w:val="nil"/>
              <w:right w:val="nil"/>
            </w:tcBorders>
          </w:tcPr>
          <w:p w:rsidR="001949EA" w:rsidRPr="0022365D" w:rsidRDefault="001949EA" w:rsidP="001949EA">
            <w:pPr>
              <w:ind w:left="142"/>
            </w:pPr>
          </w:p>
        </w:tc>
        <w:tc>
          <w:tcPr>
            <w:tcW w:w="1724" w:type="dxa"/>
            <w:gridSpan w:val="2"/>
            <w:tcBorders>
              <w:top w:val="single" w:sz="4" w:space="0" w:color="C4BC96" w:themeColor="background2" w:themeShade="BF"/>
              <w:left w:val="nil"/>
            </w:tcBorders>
          </w:tcPr>
          <w:p w:rsidR="001949EA" w:rsidRPr="0022365D" w:rsidRDefault="001949EA" w:rsidP="001949EA">
            <w:pPr>
              <w:ind w:left="142"/>
            </w:pPr>
            <w:r w:rsidRPr="0022365D">
              <w:t>Methodology uncertainty</w:t>
            </w:r>
          </w:p>
        </w:tc>
        <w:tc>
          <w:tcPr>
            <w:tcW w:w="7229" w:type="dxa"/>
            <w:tcBorders>
              <w:top w:val="single" w:sz="4" w:space="0" w:color="C4BC96" w:themeColor="background2" w:themeShade="BF"/>
            </w:tcBorders>
          </w:tcPr>
          <w:p w:rsidR="001949EA" w:rsidRPr="0022365D" w:rsidRDefault="001949EA" w:rsidP="001949EA">
            <w:pPr>
              <w:ind w:left="142"/>
            </w:pPr>
          </w:p>
        </w:tc>
      </w:tr>
      <w:tr w:rsidR="00993026" w:rsidRPr="0022365D" w:rsidTr="00993026">
        <w:tc>
          <w:tcPr>
            <w:tcW w:w="573" w:type="dxa"/>
            <w:tcBorders>
              <w:top w:val="nil"/>
              <w:bottom w:val="nil"/>
              <w:right w:val="nil"/>
            </w:tcBorders>
          </w:tcPr>
          <w:p w:rsidR="00993026" w:rsidRPr="0022365D" w:rsidRDefault="00993026" w:rsidP="001949EA">
            <w:pPr>
              <w:ind w:left="142"/>
            </w:pPr>
          </w:p>
        </w:tc>
        <w:tc>
          <w:tcPr>
            <w:tcW w:w="1724" w:type="dxa"/>
            <w:gridSpan w:val="2"/>
            <w:tcBorders>
              <w:left w:val="nil"/>
            </w:tcBorders>
          </w:tcPr>
          <w:p w:rsidR="00993026" w:rsidRPr="0022365D" w:rsidRDefault="00993026" w:rsidP="001949EA">
            <w:pPr>
              <w:ind w:left="142"/>
              <w:jc w:val="left"/>
            </w:pPr>
            <w:r w:rsidRPr="0022365D">
              <w:t>Data sets uncertainties</w:t>
            </w:r>
          </w:p>
        </w:tc>
        <w:tc>
          <w:tcPr>
            <w:tcW w:w="7229" w:type="dxa"/>
          </w:tcPr>
          <w:p w:rsidR="00993026" w:rsidRPr="0022365D" w:rsidRDefault="00993026" w:rsidP="006E0EC4">
            <w:pPr>
              <w:pStyle w:val="Textocomentario"/>
              <w:ind w:left="142"/>
              <w:jc w:val="both"/>
              <w:rPr>
                <w:rFonts w:ascii="Times New Roman" w:hAnsi="Times New Roman"/>
                <w:sz w:val="24"/>
                <w:szCs w:val="24"/>
              </w:rPr>
            </w:pPr>
            <w:r w:rsidRPr="0022365D">
              <w:rPr>
                <w:rFonts w:ascii="Times New Roman" w:hAnsi="Times New Roman"/>
                <w:sz w:val="24"/>
                <w:szCs w:val="24"/>
                <w:lang w:val="sk-SK"/>
              </w:rPr>
              <w:t>Data only takes in consideration official commercial establishments</w:t>
            </w:r>
            <w:r w:rsidRPr="0022365D">
              <w:rPr>
                <w:rFonts w:ascii="Times New Roman" w:hAnsi="Times New Roman"/>
                <w:b/>
                <w:sz w:val="24"/>
                <w:szCs w:val="24"/>
                <w:lang w:val="sk-SK"/>
              </w:rPr>
              <w:t xml:space="preserve">. </w:t>
            </w:r>
            <w:r w:rsidRPr="0022365D">
              <w:rPr>
                <w:rFonts w:ascii="Times New Roman" w:hAnsi="Times New Roman"/>
                <w:sz w:val="24"/>
                <w:szCs w:val="24"/>
                <w:lang w:val="sk-SK"/>
              </w:rPr>
              <w:t>It does not cover other types of tourism accomodation (B&amp;B, sharing economy establishments, second homes, etc.).</w:t>
            </w:r>
          </w:p>
        </w:tc>
      </w:tr>
      <w:tr w:rsidR="00993026" w:rsidRPr="0022365D" w:rsidTr="00993026">
        <w:tc>
          <w:tcPr>
            <w:tcW w:w="573" w:type="dxa"/>
            <w:tcBorders>
              <w:top w:val="nil"/>
              <w:right w:val="nil"/>
            </w:tcBorders>
          </w:tcPr>
          <w:p w:rsidR="00993026" w:rsidRPr="0022365D" w:rsidRDefault="00993026" w:rsidP="001949EA">
            <w:pPr>
              <w:ind w:left="142"/>
              <w:rPr>
                <w:lang w:val="en-US"/>
              </w:rPr>
            </w:pPr>
          </w:p>
        </w:tc>
        <w:tc>
          <w:tcPr>
            <w:tcW w:w="1724" w:type="dxa"/>
            <w:gridSpan w:val="2"/>
            <w:tcBorders>
              <w:left w:val="nil"/>
            </w:tcBorders>
          </w:tcPr>
          <w:p w:rsidR="00993026" w:rsidRPr="0022365D" w:rsidRDefault="00993026" w:rsidP="001949EA">
            <w:pPr>
              <w:ind w:left="142"/>
            </w:pPr>
            <w:r w:rsidRPr="0022365D">
              <w:t>Rationale uncertainty</w:t>
            </w:r>
          </w:p>
        </w:tc>
        <w:tc>
          <w:tcPr>
            <w:tcW w:w="7229" w:type="dxa"/>
          </w:tcPr>
          <w:p w:rsidR="00993026" w:rsidRPr="0022365D" w:rsidRDefault="00993026" w:rsidP="006E0EC4">
            <w:pPr>
              <w:ind w:left="142"/>
              <w:rPr>
                <w:lang w:val="en-US"/>
              </w:rPr>
            </w:pPr>
            <w:r w:rsidRPr="0022365D">
              <w:rPr>
                <w:lang w:val="en-US"/>
              </w:rPr>
              <w:t>Same comment as data sets uncertainties.</w:t>
            </w:r>
          </w:p>
        </w:tc>
      </w:tr>
      <w:tr w:rsidR="001949EA" w:rsidRPr="0022365D" w:rsidTr="00993026">
        <w:tc>
          <w:tcPr>
            <w:tcW w:w="2297" w:type="dxa"/>
            <w:gridSpan w:val="3"/>
          </w:tcPr>
          <w:p w:rsidR="001949EA" w:rsidRPr="0022365D" w:rsidRDefault="001949EA" w:rsidP="001949EA">
            <w:pPr>
              <w:ind w:left="142"/>
            </w:pPr>
            <w:r w:rsidRPr="0022365D">
              <w:t>Further work</w:t>
            </w:r>
          </w:p>
        </w:tc>
        <w:tc>
          <w:tcPr>
            <w:tcW w:w="7229" w:type="dxa"/>
          </w:tcPr>
          <w:p w:rsidR="001949EA" w:rsidRPr="0022365D" w:rsidRDefault="001949EA" w:rsidP="00E80A5C">
            <w:pPr>
              <w:ind w:left="142"/>
              <w:rPr>
                <w:lang w:val="en-US"/>
              </w:rPr>
            </w:pPr>
            <w:r w:rsidRPr="0022365D">
              <w:rPr>
                <w:lang w:val="en-US"/>
              </w:rPr>
              <w:t>Data needs to be regularly updated</w:t>
            </w:r>
            <w:r w:rsidR="00E80A5C" w:rsidRPr="0022365D">
              <w:rPr>
                <w:lang w:val="en-US"/>
              </w:rPr>
              <w:t>. This will allow analyzing trends</w:t>
            </w:r>
            <w:r w:rsidRPr="0022365D">
              <w:rPr>
                <w:lang w:val="en-US"/>
              </w:rPr>
              <w:t xml:space="preserve">. </w:t>
            </w:r>
          </w:p>
        </w:tc>
      </w:tr>
      <w:tr w:rsidR="001949EA" w:rsidRPr="0011039F" w:rsidTr="00993026">
        <w:tc>
          <w:tcPr>
            <w:tcW w:w="2297" w:type="dxa"/>
            <w:gridSpan w:val="3"/>
          </w:tcPr>
          <w:p w:rsidR="001949EA" w:rsidRPr="0022365D" w:rsidRDefault="001949EA" w:rsidP="001949EA">
            <w:pPr>
              <w:ind w:left="142"/>
              <w:jc w:val="left"/>
            </w:pPr>
            <w:r w:rsidRPr="0022365D">
              <w:t xml:space="preserve">Ownership and contacts </w:t>
            </w:r>
          </w:p>
        </w:tc>
        <w:tc>
          <w:tcPr>
            <w:tcW w:w="7229" w:type="dxa"/>
          </w:tcPr>
          <w:p w:rsidR="001949EA" w:rsidRPr="0011039F" w:rsidRDefault="001949EA" w:rsidP="001949EA">
            <w:pPr>
              <w:ind w:left="142"/>
            </w:pPr>
            <w:r w:rsidRPr="0022365D">
              <w:t>ETC – ULS</w:t>
            </w:r>
          </w:p>
        </w:tc>
      </w:tr>
    </w:tbl>
    <w:p w:rsidR="001949EA" w:rsidRDefault="001949EA" w:rsidP="00C91D75">
      <w:pPr>
        <w:jc w:val="left"/>
        <w:rPr>
          <w:lang w:val="en-US"/>
        </w:rPr>
      </w:pPr>
    </w:p>
    <w:sectPr w:rsidR="001949EA" w:rsidSect="001949EA">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EA"/>
    <w:rsid w:val="000906B0"/>
    <w:rsid w:val="00093E7D"/>
    <w:rsid w:val="000C6C72"/>
    <w:rsid w:val="00102813"/>
    <w:rsid w:val="00127B8D"/>
    <w:rsid w:val="001949EA"/>
    <w:rsid w:val="0022365D"/>
    <w:rsid w:val="002426E7"/>
    <w:rsid w:val="00253668"/>
    <w:rsid w:val="002741B5"/>
    <w:rsid w:val="00367FA5"/>
    <w:rsid w:val="00447F24"/>
    <w:rsid w:val="00456402"/>
    <w:rsid w:val="0049435B"/>
    <w:rsid w:val="004A215D"/>
    <w:rsid w:val="004F6205"/>
    <w:rsid w:val="00634341"/>
    <w:rsid w:val="00724DE2"/>
    <w:rsid w:val="00734956"/>
    <w:rsid w:val="00770935"/>
    <w:rsid w:val="00792176"/>
    <w:rsid w:val="007F0071"/>
    <w:rsid w:val="007F218A"/>
    <w:rsid w:val="00807E4C"/>
    <w:rsid w:val="00865B4B"/>
    <w:rsid w:val="008927B4"/>
    <w:rsid w:val="00892EC7"/>
    <w:rsid w:val="00901C4C"/>
    <w:rsid w:val="00993026"/>
    <w:rsid w:val="009A2080"/>
    <w:rsid w:val="009C6C56"/>
    <w:rsid w:val="009F267D"/>
    <w:rsid w:val="00A15CAA"/>
    <w:rsid w:val="00A23B1F"/>
    <w:rsid w:val="00A80E14"/>
    <w:rsid w:val="00AA2357"/>
    <w:rsid w:val="00B26116"/>
    <w:rsid w:val="00B621BD"/>
    <w:rsid w:val="00B912A5"/>
    <w:rsid w:val="00BD044F"/>
    <w:rsid w:val="00BD4DF7"/>
    <w:rsid w:val="00C0511B"/>
    <w:rsid w:val="00C1475F"/>
    <w:rsid w:val="00C7679E"/>
    <w:rsid w:val="00C91D75"/>
    <w:rsid w:val="00CE0832"/>
    <w:rsid w:val="00D32C89"/>
    <w:rsid w:val="00D614D3"/>
    <w:rsid w:val="00D6314E"/>
    <w:rsid w:val="00D970BF"/>
    <w:rsid w:val="00DA02F3"/>
    <w:rsid w:val="00DE5BE3"/>
    <w:rsid w:val="00E50520"/>
    <w:rsid w:val="00E55AE6"/>
    <w:rsid w:val="00E80A5C"/>
    <w:rsid w:val="00EA07CE"/>
    <w:rsid w:val="00ED722D"/>
    <w:rsid w:val="00F321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EA"/>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EA"/>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708</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Francesc Romagosa Casals</cp:lastModifiedBy>
  <cp:revision>3</cp:revision>
  <dcterms:created xsi:type="dcterms:W3CDTF">2017-06-01T12:29:00Z</dcterms:created>
  <dcterms:modified xsi:type="dcterms:W3CDTF">2017-06-01T13:26:00Z</dcterms:modified>
</cp:coreProperties>
</file>