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149" w:type="dxa"/>
        <w:tblInd w:w="392" w:type="dxa"/>
        <w:tblLook w:val="04A0" w:firstRow="1" w:lastRow="0" w:firstColumn="1" w:lastColumn="0" w:noHBand="0" w:noVBand="1"/>
      </w:tblPr>
      <w:tblGrid>
        <w:gridCol w:w="573"/>
        <w:gridCol w:w="252"/>
        <w:gridCol w:w="1472"/>
        <w:gridCol w:w="7540"/>
      </w:tblGrid>
      <w:tr w:rsidR="001949EA" w:rsidRPr="00D22D73" w:rsidTr="0044572F">
        <w:tc>
          <w:tcPr>
            <w:tcW w:w="2297" w:type="dxa"/>
            <w:gridSpan w:val="3"/>
          </w:tcPr>
          <w:p w:rsidR="001949EA" w:rsidRPr="00D22D73" w:rsidRDefault="001949EA" w:rsidP="001949EA">
            <w:pPr>
              <w:ind w:left="142"/>
              <w:rPr>
                <w:b/>
              </w:rPr>
            </w:pPr>
            <w:r w:rsidRPr="00D22D73">
              <w:rPr>
                <w:b/>
              </w:rPr>
              <w:t>Indicator name</w:t>
            </w:r>
          </w:p>
        </w:tc>
        <w:tc>
          <w:tcPr>
            <w:tcW w:w="6852" w:type="dxa"/>
          </w:tcPr>
          <w:p w:rsidR="001949EA" w:rsidRPr="00D22D73" w:rsidRDefault="00EF0AE4" w:rsidP="00DE5BE3">
            <w:pPr>
              <w:ind w:left="142"/>
            </w:pPr>
            <w:r>
              <w:t>Tourism flows (3.</w:t>
            </w:r>
            <w:r w:rsidR="00106813" w:rsidRPr="00D22D73">
              <w:t xml:space="preserve"> </w:t>
            </w:r>
            <w:r w:rsidR="00841521" w:rsidRPr="00D22D73">
              <w:t>Seasonality of tourism</w:t>
            </w:r>
            <w:r>
              <w:t>)</w:t>
            </w:r>
          </w:p>
        </w:tc>
      </w:tr>
      <w:tr w:rsidR="001949EA" w:rsidRPr="00D22D73" w:rsidTr="0044572F">
        <w:tc>
          <w:tcPr>
            <w:tcW w:w="2297" w:type="dxa"/>
            <w:gridSpan w:val="3"/>
          </w:tcPr>
          <w:p w:rsidR="001949EA" w:rsidRPr="00D22D73" w:rsidRDefault="001949EA" w:rsidP="001949EA">
            <w:pPr>
              <w:ind w:left="142"/>
              <w:rPr>
                <w:b/>
              </w:rPr>
            </w:pPr>
            <w:r w:rsidRPr="00D22D73">
              <w:rPr>
                <w:b/>
              </w:rPr>
              <w:t>ASSESSMENT</w:t>
            </w:r>
          </w:p>
        </w:tc>
        <w:tc>
          <w:tcPr>
            <w:tcW w:w="6852" w:type="dxa"/>
          </w:tcPr>
          <w:p w:rsidR="001949EA" w:rsidRPr="00D22D73" w:rsidRDefault="001949EA" w:rsidP="001949EA">
            <w:pPr>
              <w:ind w:left="142"/>
            </w:pPr>
          </w:p>
        </w:tc>
      </w:tr>
      <w:tr w:rsidR="001949EA" w:rsidRPr="00D22D73" w:rsidTr="0044572F">
        <w:tc>
          <w:tcPr>
            <w:tcW w:w="2297" w:type="dxa"/>
            <w:gridSpan w:val="3"/>
          </w:tcPr>
          <w:p w:rsidR="001949EA" w:rsidRPr="00D22D73" w:rsidRDefault="001949EA" w:rsidP="001949EA">
            <w:pPr>
              <w:ind w:left="142"/>
            </w:pPr>
            <w:r w:rsidRPr="00D22D73">
              <w:t>Indicator Name</w:t>
            </w:r>
          </w:p>
        </w:tc>
        <w:tc>
          <w:tcPr>
            <w:tcW w:w="6852" w:type="dxa"/>
          </w:tcPr>
          <w:p w:rsidR="001949EA" w:rsidRDefault="00EF0AE4" w:rsidP="00EF0AE4">
            <w:pPr>
              <w:ind w:left="142"/>
              <w:rPr>
                <w:lang w:val="en-US"/>
              </w:rPr>
            </w:pPr>
            <w:r>
              <w:rPr>
                <w:lang w:val="en-US"/>
              </w:rPr>
              <w:t xml:space="preserve">TOUR001g – Monthly distribution of </w:t>
            </w:r>
            <w:r w:rsidR="004E034F">
              <w:rPr>
                <w:lang w:val="en-US"/>
              </w:rPr>
              <w:t>nights spent at EU-28 level</w:t>
            </w:r>
          </w:p>
          <w:p w:rsidR="00EF0AE4" w:rsidRPr="00D22D73" w:rsidRDefault="00EF0AE4" w:rsidP="00EF0AE4">
            <w:pPr>
              <w:ind w:left="142"/>
              <w:rPr>
                <w:lang w:val="en-US"/>
              </w:rPr>
            </w:pPr>
            <w:r>
              <w:rPr>
                <w:lang w:val="en-US"/>
              </w:rPr>
              <w:t>TOUR001h – Seasonal distribution of nights spent</w:t>
            </w:r>
            <w:r w:rsidR="004E034F">
              <w:rPr>
                <w:lang w:val="en-US"/>
              </w:rPr>
              <w:t xml:space="preserve"> at country level</w:t>
            </w:r>
            <w:bookmarkStart w:id="0" w:name="_GoBack"/>
            <w:bookmarkEnd w:id="0"/>
          </w:p>
        </w:tc>
      </w:tr>
      <w:tr w:rsidR="001949EA" w:rsidRPr="00D22D73" w:rsidTr="0044572F">
        <w:tc>
          <w:tcPr>
            <w:tcW w:w="2297" w:type="dxa"/>
            <w:gridSpan w:val="3"/>
          </w:tcPr>
          <w:p w:rsidR="001949EA" w:rsidRPr="00D22D73" w:rsidRDefault="001949EA" w:rsidP="001949EA">
            <w:pPr>
              <w:ind w:left="142"/>
            </w:pPr>
            <w:r w:rsidRPr="00D22D73">
              <w:t>Key policy question</w:t>
            </w:r>
          </w:p>
        </w:tc>
        <w:tc>
          <w:tcPr>
            <w:tcW w:w="6852" w:type="dxa"/>
          </w:tcPr>
          <w:p w:rsidR="007F218A" w:rsidRPr="00D22D73" w:rsidRDefault="00841521" w:rsidP="00A23B1F">
            <w:pPr>
              <w:spacing w:line="276" w:lineRule="auto"/>
              <w:ind w:left="142"/>
              <w:rPr>
                <w:lang w:val="en-US"/>
              </w:rPr>
            </w:pPr>
            <w:r w:rsidRPr="00D22D73">
              <w:rPr>
                <w:lang w:val="en-US"/>
              </w:rPr>
              <w:t>Do we better spread the tourism season over the year?</w:t>
            </w:r>
          </w:p>
        </w:tc>
      </w:tr>
      <w:tr w:rsidR="001949EA" w:rsidRPr="00D22D73" w:rsidTr="0044572F">
        <w:tc>
          <w:tcPr>
            <w:tcW w:w="2297" w:type="dxa"/>
            <w:gridSpan w:val="3"/>
          </w:tcPr>
          <w:p w:rsidR="001949EA" w:rsidRPr="00D22D73" w:rsidRDefault="001949EA" w:rsidP="001949EA">
            <w:pPr>
              <w:ind w:left="142"/>
            </w:pPr>
            <w:r w:rsidRPr="00D22D73">
              <w:t>Key message</w:t>
            </w:r>
          </w:p>
        </w:tc>
        <w:tc>
          <w:tcPr>
            <w:tcW w:w="6852" w:type="dxa"/>
          </w:tcPr>
          <w:p w:rsidR="005F7A13" w:rsidRPr="00D22D73" w:rsidRDefault="00CD6D78" w:rsidP="005F7A13">
            <w:pPr>
              <w:ind w:left="142"/>
              <w:rPr>
                <w:lang w:val="sk-SK"/>
              </w:rPr>
            </w:pPr>
            <w:r w:rsidRPr="00D22D73">
              <w:t>One of the key</w:t>
            </w:r>
            <w:r w:rsidR="00BA6C71" w:rsidRPr="00D22D73">
              <w:t xml:space="preserve"> problems that tourism has to face </w:t>
            </w:r>
            <w:r w:rsidR="00040F85" w:rsidRPr="00D22D73">
              <w:t>-</w:t>
            </w:r>
            <w:r w:rsidR="00BA6C71" w:rsidRPr="00D22D73">
              <w:t>in sustainability terms</w:t>
            </w:r>
            <w:r w:rsidR="00040F85" w:rsidRPr="00D22D73">
              <w:t>-</w:t>
            </w:r>
            <w:r w:rsidR="00BA6C71" w:rsidRPr="00D22D73">
              <w:t xml:space="preserve"> is its seasonality. Most countries and their tourism destinations suffer this problem. Seasonality of demand makes it very difficult to plan and manage the provision of </w:t>
            </w:r>
            <w:r w:rsidR="00B84AD2" w:rsidRPr="00D22D73">
              <w:t xml:space="preserve">tourism facilities efficiently. For a short </w:t>
            </w:r>
            <w:proofErr w:type="gramStart"/>
            <w:r w:rsidR="00B84AD2" w:rsidRPr="00D22D73">
              <w:t>period of time</w:t>
            </w:r>
            <w:proofErr w:type="gramEnd"/>
            <w:r w:rsidR="00B84AD2" w:rsidRPr="00D22D73">
              <w:t xml:space="preserve"> there is a need for additional infrastructures at the destination level (i.e. roads, parking spaces, etc.) that use more land. Moreover, to avoid environmental damages the waste and water management systems are under pressure to respond the higher demand during high season. </w:t>
            </w:r>
            <w:r w:rsidR="00BA6C71" w:rsidRPr="00D22D73">
              <w:t>A process of stimulating demand and use in less busy seasons, taking up existing capacity, would enable revenue from tourism to grow while putting less pressure on the environment and community than would result from a growth in peak demand.</w:t>
            </w:r>
            <w:r w:rsidR="005F7A13" w:rsidRPr="00D22D73">
              <w:rPr>
                <w:rFonts w:asciiTheme="minorHAnsi" w:eastAsiaTheme="minorHAnsi" w:hAnsiTheme="minorHAnsi" w:cstheme="minorBidi"/>
                <w:color w:val="auto"/>
                <w:sz w:val="22"/>
                <w:szCs w:val="22"/>
                <w:lang w:val="sk-SK"/>
              </w:rPr>
              <w:t xml:space="preserve"> </w:t>
            </w:r>
          </w:p>
          <w:p w:rsidR="00BA6C71" w:rsidRPr="00D22D73" w:rsidRDefault="005F7A13" w:rsidP="005F7A13">
            <w:pPr>
              <w:ind w:left="142"/>
            </w:pPr>
            <w:r w:rsidRPr="00D22D73">
              <w:rPr>
                <w:lang w:val="sk-SK"/>
              </w:rPr>
              <w:t>However, from an environmental sustainability perspective, seasonality can also be seen as a positive issue, since during some parts of the year wildlife is not under tourism pressure (i.e. some mountain</w:t>
            </w:r>
            <w:r w:rsidRPr="00D22D73">
              <w:rPr>
                <w:lang w:val="en-US"/>
              </w:rPr>
              <w:t xml:space="preserve"> areas are closed to tourists during some part of the year, and this is crucial for some animal species reproduction).</w:t>
            </w:r>
          </w:p>
        </w:tc>
      </w:tr>
      <w:tr w:rsidR="001949EA" w:rsidRPr="00D22D73" w:rsidTr="0044572F">
        <w:tc>
          <w:tcPr>
            <w:tcW w:w="2297" w:type="dxa"/>
            <w:gridSpan w:val="3"/>
          </w:tcPr>
          <w:p w:rsidR="001949EA" w:rsidRPr="00D22D73" w:rsidRDefault="001949EA" w:rsidP="001949EA">
            <w:pPr>
              <w:ind w:left="142"/>
            </w:pPr>
            <w:r w:rsidRPr="00D22D73">
              <w:t xml:space="preserve">Key assessment </w:t>
            </w:r>
          </w:p>
        </w:tc>
        <w:tc>
          <w:tcPr>
            <w:tcW w:w="6852" w:type="dxa"/>
          </w:tcPr>
          <w:p w:rsidR="00A55453" w:rsidRPr="00D22D73" w:rsidRDefault="00CD6D78" w:rsidP="003864FF">
            <w:pPr>
              <w:spacing w:before="120" w:after="120"/>
              <w:ind w:left="198"/>
            </w:pPr>
            <w:r w:rsidRPr="00D22D73">
              <w:t xml:space="preserve">Data from Eurostat show that, taking Europe </w:t>
            </w:r>
            <w:r w:rsidR="00872021" w:rsidRPr="00D22D73">
              <w:t xml:space="preserve">(EU-28) </w:t>
            </w:r>
            <w:r w:rsidRPr="00D22D73">
              <w:t xml:space="preserve">as a whole, tourist </w:t>
            </w:r>
            <w:r w:rsidR="00EF0AE4">
              <w:t>over</w:t>
            </w:r>
            <w:r w:rsidRPr="00D22D73">
              <w:t>nights</w:t>
            </w:r>
            <w:r w:rsidR="00EF0AE4">
              <w:t xml:space="preserve"> spent (by residents and non-residents)</w:t>
            </w:r>
            <w:r w:rsidRPr="00D22D73">
              <w:t xml:space="preserve"> in August are on average four times higher than in the </w:t>
            </w:r>
            <w:r w:rsidR="00EF0AE4">
              <w:t>lowest</w:t>
            </w:r>
            <w:r w:rsidR="00872021" w:rsidRPr="00D22D73">
              <w:t xml:space="preserve"> month (January)</w:t>
            </w:r>
            <w:r w:rsidRPr="00D22D73">
              <w:t>.</w:t>
            </w:r>
            <w:r w:rsidR="00872021" w:rsidRPr="00D22D73">
              <w:t xml:space="preserve"> July and August</w:t>
            </w:r>
            <w:r w:rsidRPr="00D22D73">
              <w:t xml:space="preserve"> </w:t>
            </w:r>
            <w:r w:rsidR="00872021" w:rsidRPr="00D22D73">
              <w:t xml:space="preserve">accounted for </w:t>
            </w:r>
            <w:proofErr w:type="gramStart"/>
            <w:r w:rsidR="00872021" w:rsidRPr="00D22D73">
              <w:t>one third</w:t>
            </w:r>
            <w:proofErr w:type="gramEnd"/>
            <w:r w:rsidR="00872021" w:rsidRPr="00D22D73">
              <w:t xml:space="preserve"> (33.0 %) of all nights spent in tourist accommodation in 201</w:t>
            </w:r>
            <w:r w:rsidR="00EF0AE4">
              <w:t>5</w:t>
            </w:r>
            <w:r w:rsidR="00872021" w:rsidRPr="00D22D73">
              <w:t>. The period from June to September represented more than half (53.7 %) of all nights spent during the year.</w:t>
            </w:r>
          </w:p>
          <w:p w:rsidR="003864FF" w:rsidRPr="00D22D73" w:rsidRDefault="003864FF" w:rsidP="00872021">
            <w:pPr>
              <w:spacing w:before="120"/>
              <w:ind w:left="196"/>
            </w:pPr>
            <w:r w:rsidRPr="00D22D73">
              <w:t>Fig</w:t>
            </w:r>
            <w:r w:rsidR="00EF0AE4">
              <w:t xml:space="preserve">ure: Monthly share (%) of </w:t>
            </w:r>
            <w:r w:rsidRPr="00D22D73">
              <w:t>ni</w:t>
            </w:r>
            <w:r w:rsidR="00EF0AE4">
              <w:t>ghts spent at EU-28 (2015</w:t>
            </w:r>
            <w:r w:rsidRPr="00D22D73">
              <w:t>)</w:t>
            </w:r>
          </w:p>
          <w:p w:rsidR="003864FF" w:rsidRPr="00D22D73" w:rsidRDefault="00EF0AE4" w:rsidP="00872021">
            <w:pPr>
              <w:spacing w:before="120"/>
              <w:ind w:left="196"/>
            </w:pPr>
            <w:r w:rsidRPr="00EF0AE4">
              <w:drawing>
                <wp:inline distT="0" distB="0" distL="0" distR="0" wp14:anchorId="61610476" wp14:editId="1349A6FC">
                  <wp:extent cx="4584589" cy="2755631"/>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84589" cy="2755631"/>
                          </a:xfrm>
                          <a:prstGeom prst="rect">
                            <a:avLst/>
                          </a:prstGeom>
                        </pic:spPr>
                      </pic:pic>
                    </a:graphicData>
                  </a:graphic>
                </wp:inline>
              </w:drawing>
            </w:r>
          </w:p>
          <w:p w:rsidR="00872021" w:rsidRPr="00D22D73" w:rsidRDefault="00872021" w:rsidP="00872021">
            <w:pPr>
              <w:spacing w:before="120"/>
              <w:ind w:left="196"/>
            </w:pPr>
            <w:r w:rsidRPr="00D22D73">
              <w:lastRenderedPageBreak/>
              <w:t>Data at country level show how in eight countries the seasonal variation in 201</w:t>
            </w:r>
            <w:r w:rsidR="004E034F">
              <w:t>5</w:t>
            </w:r>
            <w:r w:rsidRPr="00D22D73">
              <w:t xml:space="preserve"> was above the EU average. This group included typical Mediterranean destinations (Croatia, Greece, Cyprus, Italy and France) but also Bulgaria, Denmark and Macedonia. However, there was no absolute geographical rule since other countries located in this region showed a much lower seasonal variation.</w:t>
            </w:r>
            <w:r w:rsidR="00005AE7" w:rsidRPr="00D22D73">
              <w:t xml:space="preserve"> Countries showing lower levels of seasonality are Hungary, Poland, Estonia,</w:t>
            </w:r>
            <w:r w:rsidR="00E864FA" w:rsidRPr="00D22D73">
              <w:t xml:space="preserve"> Latvia, Lithuania,</w:t>
            </w:r>
            <w:r w:rsidR="00005AE7" w:rsidRPr="00D22D73">
              <w:t xml:space="preserve"> Finland, Belgium, Germany, Czech Republic, </w:t>
            </w:r>
            <w:r w:rsidR="00E864FA" w:rsidRPr="00D22D73">
              <w:t xml:space="preserve">and Slovenia. </w:t>
            </w:r>
            <w:r w:rsidR="00B84AD2" w:rsidRPr="00D22D73">
              <w:t xml:space="preserve">This does not mean, though, that those countries do not have regions with high seasonality. </w:t>
            </w:r>
            <w:r w:rsidR="00E864FA" w:rsidRPr="00D22D73">
              <w:t>Finally, the Alpine countries of Austria and Liechtenstein show a false low seasonality, since in fact they have two high seasons clearly marked (winter and summer).</w:t>
            </w:r>
            <w:r w:rsidR="0048512D" w:rsidRPr="00D22D73">
              <w:t xml:space="preserve"> When analysing the ratio between peak and bottom month, it can be seen how the EU average is 4.0 (the nights spent in the peak month of the year use to be 4 times the number of the bottom month). However, there are some countries that have a much higher ratio (especially Croatia, but also Greece, Cyprus, and Bulgaria). In the other extreme, countries like Slovakia, Finland, Serbia, Czech Republic, Germany, Estonia, and Poland, have a ratio below 3.0. </w:t>
            </w:r>
          </w:p>
          <w:p w:rsidR="00A55453" w:rsidRPr="00D22D73" w:rsidRDefault="00A55453" w:rsidP="004E034F">
            <w:pPr>
              <w:spacing w:before="120"/>
            </w:pPr>
          </w:p>
          <w:p w:rsidR="00C20B79" w:rsidRPr="00D22D73" w:rsidRDefault="00C20B79" w:rsidP="004E034F">
            <w:r w:rsidRPr="00D22D73">
              <w:t>Figure: Nights spent at tourist accommodation establishments, distribution per season (2015)</w:t>
            </w:r>
          </w:p>
          <w:p w:rsidR="00C20B79" w:rsidRPr="00D22D73" w:rsidRDefault="004E034F" w:rsidP="003864FF">
            <w:pPr>
              <w:spacing w:before="120"/>
              <w:ind w:left="196"/>
            </w:pPr>
            <w:r>
              <w:rPr>
                <w:noProof/>
                <w:lang w:val="ca-ES" w:eastAsia="ca-ES"/>
              </w:rPr>
              <w:drawing>
                <wp:inline distT="0" distB="0" distL="0" distR="0" wp14:anchorId="4F290351">
                  <wp:extent cx="4520452" cy="28619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1223" cy="2862441"/>
                          </a:xfrm>
                          <a:prstGeom prst="rect">
                            <a:avLst/>
                          </a:prstGeom>
                          <a:noFill/>
                        </pic:spPr>
                      </pic:pic>
                    </a:graphicData>
                  </a:graphic>
                </wp:inline>
              </w:drawing>
            </w:r>
          </w:p>
          <w:p w:rsidR="00005AE7" w:rsidRPr="00D22D73" w:rsidRDefault="00005AE7" w:rsidP="004E034F">
            <w:pPr>
              <w:spacing w:before="120"/>
              <w:ind w:left="196"/>
            </w:pPr>
          </w:p>
        </w:tc>
      </w:tr>
      <w:tr w:rsidR="001949EA" w:rsidRPr="00D22D73" w:rsidTr="0044572F">
        <w:tc>
          <w:tcPr>
            <w:tcW w:w="2297" w:type="dxa"/>
            <w:gridSpan w:val="3"/>
          </w:tcPr>
          <w:p w:rsidR="001949EA" w:rsidRPr="00D22D73" w:rsidRDefault="001949EA" w:rsidP="00841521">
            <w:pPr>
              <w:ind w:left="142"/>
              <w:jc w:val="left"/>
            </w:pPr>
            <w:r w:rsidRPr="00D22D73">
              <w:lastRenderedPageBreak/>
              <w:t>Specific policy question</w:t>
            </w:r>
          </w:p>
        </w:tc>
        <w:tc>
          <w:tcPr>
            <w:tcW w:w="6852" w:type="dxa"/>
          </w:tcPr>
          <w:p w:rsidR="001949EA" w:rsidRPr="00D22D73" w:rsidRDefault="001949EA" w:rsidP="001949EA">
            <w:pPr>
              <w:ind w:left="142"/>
            </w:pPr>
          </w:p>
        </w:tc>
      </w:tr>
      <w:tr w:rsidR="001949EA" w:rsidRPr="00D22D73" w:rsidTr="0044572F">
        <w:tc>
          <w:tcPr>
            <w:tcW w:w="2297" w:type="dxa"/>
            <w:gridSpan w:val="3"/>
          </w:tcPr>
          <w:p w:rsidR="001949EA" w:rsidRPr="00D22D73" w:rsidRDefault="001949EA" w:rsidP="001949EA">
            <w:pPr>
              <w:ind w:left="142"/>
            </w:pPr>
            <w:r w:rsidRPr="00D22D73">
              <w:t xml:space="preserve">Specific assessment </w:t>
            </w:r>
          </w:p>
        </w:tc>
        <w:tc>
          <w:tcPr>
            <w:tcW w:w="6852" w:type="dxa"/>
          </w:tcPr>
          <w:p w:rsidR="001949EA" w:rsidRPr="00D22D73" w:rsidRDefault="001949EA" w:rsidP="001949EA">
            <w:pPr>
              <w:ind w:left="142"/>
            </w:pPr>
          </w:p>
        </w:tc>
      </w:tr>
      <w:tr w:rsidR="001949EA" w:rsidRPr="00D22D73" w:rsidTr="0044572F">
        <w:tc>
          <w:tcPr>
            <w:tcW w:w="2297" w:type="dxa"/>
            <w:gridSpan w:val="3"/>
          </w:tcPr>
          <w:p w:rsidR="001949EA" w:rsidRPr="00D22D73" w:rsidRDefault="001949EA" w:rsidP="001949EA">
            <w:pPr>
              <w:ind w:left="142"/>
            </w:pPr>
            <w:r w:rsidRPr="00D22D73">
              <w:t>Examples</w:t>
            </w:r>
          </w:p>
        </w:tc>
        <w:tc>
          <w:tcPr>
            <w:tcW w:w="6852" w:type="dxa"/>
          </w:tcPr>
          <w:p w:rsidR="001949EA" w:rsidRPr="00D22D73" w:rsidRDefault="001949EA" w:rsidP="001949EA">
            <w:pPr>
              <w:ind w:left="142"/>
            </w:pPr>
          </w:p>
        </w:tc>
      </w:tr>
      <w:tr w:rsidR="001949EA" w:rsidRPr="00D22D73" w:rsidTr="0044572F">
        <w:tc>
          <w:tcPr>
            <w:tcW w:w="2297" w:type="dxa"/>
            <w:gridSpan w:val="3"/>
          </w:tcPr>
          <w:p w:rsidR="001949EA" w:rsidRPr="00D22D73" w:rsidRDefault="001949EA" w:rsidP="001949EA">
            <w:pPr>
              <w:ind w:left="142"/>
              <w:rPr>
                <w:b/>
              </w:rPr>
            </w:pPr>
            <w:r w:rsidRPr="00D22D73">
              <w:rPr>
                <w:b/>
              </w:rPr>
              <w:t>SPECIFICATIONS</w:t>
            </w:r>
          </w:p>
        </w:tc>
        <w:tc>
          <w:tcPr>
            <w:tcW w:w="6852" w:type="dxa"/>
          </w:tcPr>
          <w:p w:rsidR="001949EA" w:rsidRPr="00D22D73" w:rsidRDefault="001949EA" w:rsidP="001949EA">
            <w:pPr>
              <w:ind w:left="142"/>
            </w:pPr>
          </w:p>
        </w:tc>
      </w:tr>
      <w:tr w:rsidR="001949EA" w:rsidRPr="00D22D73" w:rsidTr="0044572F">
        <w:tc>
          <w:tcPr>
            <w:tcW w:w="2297" w:type="dxa"/>
            <w:gridSpan w:val="3"/>
          </w:tcPr>
          <w:p w:rsidR="001949EA" w:rsidRPr="00D22D73" w:rsidRDefault="001949EA" w:rsidP="001949EA">
            <w:pPr>
              <w:ind w:left="142"/>
              <w:rPr>
                <w:b/>
              </w:rPr>
            </w:pPr>
            <w:r w:rsidRPr="00D22D73">
              <w:t>Indicator definition</w:t>
            </w:r>
          </w:p>
        </w:tc>
        <w:tc>
          <w:tcPr>
            <w:tcW w:w="6852" w:type="dxa"/>
          </w:tcPr>
          <w:p w:rsidR="001949EA" w:rsidRPr="00D22D73" w:rsidRDefault="00040F85" w:rsidP="004E034F">
            <w:pPr>
              <w:ind w:left="142"/>
              <w:rPr>
                <w:lang w:val="en-US"/>
              </w:rPr>
            </w:pPr>
            <w:r w:rsidRPr="00D22D73">
              <w:t>Data show</w:t>
            </w:r>
            <w:r w:rsidR="005D65E7" w:rsidRPr="00D22D73">
              <w:t xml:space="preserve"> monthly </w:t>
            </w:r>
            <w:r w:rsidR="004E034F" w:rsidRPr="00D22D73">
              <w:t>nights spent at tourism a</w:t>
            </w:r>
            <w:r w:rsidR="004E034F">
              <w:t>ccommodation establishments at EU-28 level, and</w:t>
            </w:r>
            <w:r w:rsidR="005D65E7" w:rsidRPr="00D22D73">
              <w:t xml:space="preserve"> quarterly nights spent at tourism accommodation </w:t>
            </w:r>
            <w:r w:rsidR="005D65E7" w:rsidRPr="00D22D73">
              <w:lastRenderedPageBreak/>
              <w:t>establishments per country.</w:t>
            </w:r>
          </w:p>
        </w:tc>
      </w:tr>
      <w:tr w:rsidR="001949EA" w:rsidRPr="00D22D73" w:rsidTr="0044572F">
        <w:tc>
          <w:tcPr>
            <w:tcW w:w="2297" w:type="dxa"/>
            <w:gridSpan w:val="3"/>
            <w:tcBorders>
              <w:bottom w:val="single" w:sz="4" w:space="0" w:color="auto"/>
            </w:tcBorders>
          </w:tcPr>
          <w:p w:rsidR="001949EA" w:rsidRPr="00D22D73" w:rsidRDefault="001949EA" w:rsidP="001949EA">
            <w:pPr>
              <w:ind w:left="142"/>
            </w:pPr>
            <w:r w:rsidRPr="00D22D73">
              <w:lastRenderedPageBreak/>
              <w:t>DPSIR</w:t>
            </w:r>
          </w:p>
        </w:tc>
        <w:tc>
          <w:tcPr>
            <w:tcW w:w="6852" w:type="dxa"/>
            <w:tcBorders>
              <w:bottom w:val="single" w:sz="4" w:space="0" w:color="auto"/>
            </w:tcBorders>
          </w:tcPr>
          <w:p w:rsidR="001949EA" w:rsidRPr="00D22D73" w:rsidRDefault="001949EA" w:rsidP="001949EA">
            <w:pPr>
              <w:ind w:left="142"/>
            </w:pPr>
            <w:r w:rsidRPr="00D22D73">
              <w:t>D</w:t>
            </w:r>
          </w:p>
        </w:tc>
      </w:tr>
      <w:tr w:rsidR="001949EA" w:rsidRPr="00D22D73" w:rsidTr="0044572F">
        <w:tc>
          <w:tcPr>
            <w:tcW w:w="2297" w:type="dxa"/>
            <w:gridSpan w:val="3"/>
            <w:tcBorders>
              <w:bottom w:val="single" w:sz="4" w:space="0" w:color="C4BC96" w:themeColor="background2" w:themeShade="BF"/>
            </w:tcBorders>
          </w:tcPr>
          <w:p w:rsidR="001949EA" w:rsidRPr="00D22D73" w:rsidRDefault="001949EA" w:rsidP="001949EA">
            <w:pPr>
              <w:ind w:left="142"/>
            </w:pPr>
            <w:r w:rsidRPr="00D22D73">
              <w:t>Justification</w:t>
            </w:r>
          </w:p>
        </w:tc>
        <w:tc>
          <w:tcPr>
            <w:tcW w:w="6852" w:type="dxa"/>
            <w:tcBorders>
              <w:bottom w:val="single" w:sz="4" w:space="0" w:color="C4BC96" w:themeColor="background2" w:themeShade="BF"/>
            </w:tcBorders>
          </w:tcPr>
          <w:p w:rsidR="001949EA" w:rsidRPr="00D22D73" w:rsidRDefault="001949EA" w:rsidP="001949EA">
            <w:pPr>
              <w:ind w:left="142"/>
            </w:pPr>
          </w:p>
        </w:tc>
      </w:tr>
      <w:tr w:rsidR="001949EA" w:rsidRPr="00D22D73" w:rsidTr="0044572F">
        <w:tc>
          <w:tcPr>
            <w:tcW w:w="825" w:type="dxa"/>
            <w:gridSpan w:val="2"/>
            <w:tcBorders>
              <w:top w:val="single" w:sz="4" w:space="0" w:color="C4BC96" w:themeColor="background2" w:themeShade="BF"/>
              <w:bottom w:val="nil"/>
              <w:right w:val="nil"/>
            </w:tcBorders>
          </w:tcPr>
          <w:p w:rsidR="001949EA" w:rsidRPr="00D22D73" w:rsidRDefault="001949EA" w:rsidP="001949EA">
            <w:pPr>
              <w:ind w:left="142"/>
            </w:pPr>
          </w:p>
        </w:tc>
        <w:tc>
          <w:tcPr>
            <w:tcW w:w="1472" w:type="dxa"/>
            <w:tcBorders>
              <w:top w:val="single" w:sz="4" w:space="0" w:color="C4BC96" w:themeColor="background2" w:themeShade="BF"/>
              <w:left w:val="nil"/>
            </w:tcBorders>
          </w:tcPr>
          <w:p w:rsidR="001949EA" w:rsidRPr="00D22D73" w:rsidRDefault="001949EA" w:rsidP="001949EA">
            <w:pPr>
              <w:ind w:left="142"/>
            </w:pPr>
            <w:r w:rsidRPr="00D22D73">
              <w:t>Rationale</w:t>
            </w:r>
          </w:p>
        </w:tc>
        <w:tc>
          <w:tcPr>
            <w:tcW w:w="6852" w:type="dxa"/>
            <w:tcBorders>
              <w:top w:val="single" w:sz="4" w:space="0" w:color="C4BC96" w:themeColor="background2" w:themeShade="BF"/>
            </w:tcBorders>
          </w:tcPr>
          <w:p w:rsidR="001949EA" w:rsidRPr="00D22D73" w:rsidRDefault="00CD6D78" w:rsidP="00CD6D78">
            <w:pPr>
              <w:ind w:left="142"/>
              <w:rPr>
                <w:lang w:val="en-US"/>
              </w:rPr>
            </w:pPr>
            <w:r w:rsidRPr="00D22D73">
              <w:rPr>
                <w:lang w:val="en-US"/>
              </w:rPr>
              <w:t xml:space="preserve">The concentration of tourism trips into certain periods of the year has a major effect on sustainability. Not only does it seriously reduce the viability of enterprises and their ability to offer year round employment, it can also place severe pressure on communities and natural resources at certain times while leaving surplus capacity at others. It is important to </w:t>
            </w:r>
            <w:r w:rsidR="00BA6C71" w:rsidRPr="00D22D73">
              <w:rPr>
                <w:lang w:val="en-US"/>
              </w:rPr>
              <w:t>know the distribution of overnight stays all over the year in each destination, region and country, in order to promote, if necessary, actions to reduce seasonality and spread tourism activity over the year.</w:t>
            </w:r>
          </w:p>
        </w:tc>
      </w:tr>
      <w:tr w:rsidR="001949EA" w:rsidRPr="00D22D73" w:rsidTr="0044572F">
        <w:tc>
          <w:tcPr>
            <w:tcW w:w="825" w:type="dxa"/>
            <w:gridSpan w:val="2"/>
            <w:tcBorders>
              <w:top w:val="nil"/>
              <w:right w:val="nil"/>
            </w:tcBorders>
          </w:tcPr>
          <w:p w:rsidR="001949EA" w:rsidRPr="00D22D73" w:rsidRDefault="001949EA" w:rsidP="001949EA">
            <w:pPr>
              <w:ind w:left="142"/>
              <w:rPr>
                <w:lang w:val="en-US"/>
              </w:rPr>
            </w:pPr>
          </w:p>
        </w:tc>
        <w:tc>
          <w:tcPr>
            <w:tcW w:w="1472" w:type="dxa"/>
            <w:tcBorders>
              <w:left w:val="nil"/>
            </w:tcBorders>
          </w:tcPr>
          <w:p w:rsidR="001949EA" w:rsidRPr="00D22D73" w:rsidRDefault="001949EA" w:rsidP="001949EA">
            <w:pPr>
              <w:ind w:left="142"/>
            </w:pPr>
            <w:r w:rsidRPr="00D22D73">
              <w:t>References</w:t>
            </w:r>
          </w:p>
        </w:tc>
        <w:tc>
          <w:tcPr>
            <w:tcW w:w="6852" w:type="dxa"/>
          </w:tcPr>
          <w:p w:rsidR="001949EA" w:rsidRPr="00D22D73" w:rsidRDefault="00BA6C71" w:rsidP="00E80A5C">
            <w:pPr>
              <w:ind w:left="142"/>
            </w:pPr>
            <w:r w:rsidRPr="00D22D73">
              <w:t xml:space="preserve">Tourism Sustainability Group (2007). </w:t>
            </w:r>
            <w:r w:rsidRPr="00D22D73">
              <w:rPr>
                <w:i/>
              </w:rPr>
              <w:t>Action for more sustainable European tourism</w:t>
            </w:r>
            <w:r w:rsidRPr="00D22D73">
              <w:t>. Brussels.</w:t>
            </w:r>
          </w:p>
        </w:tc>
      </w:tr>
      <w:tr w:rsidR="001949EA" w:rsidRPr="00D22D73" w:rsidTr="0044572F">
        <w:tc>
          <w:tcPr>
            <w:tcW w:w="2297" w:type="dxa"/>
            <w:gridSpan w:val="3"/>
            <w:tcBorders>
              <w:bottom w:val="single" w:sz="4" w:space="0" w:color="C4BC96" w:themeColor="background2" w:themeShade="BF"/>
            </w:tcBorders>
          </w:tcPr>
          <w:p w:rsidR="001949EA" w:rsidRPr="00D22D73" w:rsidRDefault="001949EA" w:rsidP="001949EA">
            <w:pPr>
              <w:ind w:left="142"/>
            </w:pPr>
            <w:r w:rsidRPr="00D22D73">
              <w:t>Policy context</w:t>
            </w:r>
          </w:p>
        </w:tc>
        <w:tc>
          <w:tcPr>
            <w:tcW w:w="6852" w:type="dxa"/>
            <w:tcBorders>
              <w:bottom w:val="single" w:sz="4" w:space="0" w:color="C4BC96" w:themeColor="background2" w:themeShade="BF"/>
            </w:tcBorders>
          </w:tcPr>
          <w:p w:rsidR="001949EA" w:rsidRPr="00D22D73" w:rsidRDefault="001949EA" w:rsidP="001949EA">
            <w:pPr>
              <w:ind w:left="142"/>
            </w:pPr>
          </w:p>
        </w:tc>
      </w:tr>
      <w:tr w:rsidR="001949EA" w:rsidRPr="00D22D73" w:rsidTr="0044572F">
        <w:tc>
          <w:tcPr>
            <w:tcW w:w="825" w:type="dxa"/>
            <w:gridSpan w:val="2"/>
            <w:tcBorders>
              <w:top w:val="single" w:sz="4" w:space="0" w:color="C4BC96" w:themeColor="background2" w:themeShade="BF"/>
              <w:bottom w:val="nil"/>
              <w:right w:val="nil"/>
            </w:tcBorders>
          </w:tcPr>
          <w:p w:rsidR="001949EA" w:rsidRPr="00D22D73" w:rsidRDefault="001949EA" w:rsidP="001949EA">
            <w:pPr>
              <w:ind w:left="142"/>
            </w:pPr>
          </w:p>
        </w:tc>
        <w:tc>
          <w:tcPr>
            <w:tcW w:w="1472" w:type="dxa"/>
            <w:tcBorders>
              <w:top w:val="single" w:sz="4" w:space="0" w:color="C4BC96" w:themeColor="background2" w:themeShade="BF"/>
              <w:left w:val="nil"/>
            </w:tcBorders>
          </w:tcPr>
          <w:p w:rsidR="001949EA" w:rsidRPr="00D22D73" w:rsidRDefault="001949EA" w:rsidP="001949EA">
            <w:pPr>
              <w:ind w:left="142"/>
            </w:pPr>
            <w:r w:rsidRPr="00D22D73">
              <w:t>Policy context</w:t>
            </w:r>
          </w:p>
        </w:tc>
        <w:tc>
          <w:tcPr>
            <w:tcW w:w="6852" w:type="dxa"/>
            <w:tcBorders>
              <w:top w:val="single" w:sz="4" w:space="0" w:color="C4BC96" w:themeColor="background2" w:themeShade="BF"/>
            </w:tcBorders>
          </w:tcPr>
          <w:p w:rsidR="001949EA" w:rsidRPr="00D22D73" w:rsidRDefault="001949EA" w:rsidP="001949EA">
            <w:pPr>
              <w:ind w:left="142"/>
              <w:rPr>
                <w:lang w:val="en-US"/>
              </w:rPr>
            </w:pPr>
            <w:r w:rsidRPr="00D22D73">
              <w:rPr>
                <w:lang w:val="en-US"/>
              </w:rPr>
              <w:t>EC and national policies on tourism and sustainable tourism.</w:t>
            </w:r>
          </w:p>
        </w:tc>
      </w:tr>
      <w:tr w:rsidR="001949EA" w:rsidRPr="00D22D73" w:rsidTr="0044572F">
        <w:tc>
          <w:tcPr>
            <w:tcW w:w="825" w:type="dxa"/>
            <w:gridSpan w:val="2"/>
            <w:tcBorders>
              <w:top w:val="nil"/>
              <w:bottom w:val="nil"/>
              <w:right w:val="nil"/>
            </w:tcBorders>
          </w:tcPr>
          <w:p w:rsidR="001949EA" w:rsidRPr="00D22D73" w:rsidRDefault="001949EA" w:rsidP="001949EA">
            <w:pPr>
              <w:ind w:left="142"/>
              <w:rPr>
                <w:lang w:val="en-US"/>
              </w:rPr>
            </w:pPr>
          </w:p>
        </w:tc>
        <w:tc>
          <w:tcPr>
            <w:tcW w:w="1472" w:type="dxa"/>
            <w:tcBorders>
              <w:left w:val="nil"/>
            </w:tcBorders>
          </w:tcPr>
          <w:p w:rsidR="001949EA" w:rsidRPr="00D22D73" w:rsidRDefault="001949EA" w:rsidP="001949EA">
            <w:pPr>
              <w:ind w:left="142"/>
            </w:pPr>
            <w:r w:rsidRPr="00D22D73">
              <w:t>Targets</w:t>
            </w:r>
          </w:p>
        </w:tc>
        <w:tc>
          <w:tcPr>
            <w:tcW w:w="6852" w:type="dxa"/>
          </w:tcPr>
          <w:p w:rsidR="001949EA" w:rsidRPr="00D22D73" w:rsidRDefault="001949EA" w:rsidP="00E80A5C">
            <w:pPr>
              <w:ind w:left="142"/>
              <w:rPr>
                <w:lang w:val="en-US"/>
              </w:rPr>
            </w:pPr>
          </w:p>
        </w:tc>
      </w:tr>
      <w:tr w:rsidR="001949EA" w:rsidRPr="00D22D73" w:rsidTr="0044572F">
        <w:tc>
          <w:tcPr>
            <w:tcW w:w="825" w:type="dxa"/>
            <w:gridSpan w:val="2"/>
            <w:tcBorders>
              <w:top w:val="nil"/>
              <w:bottom w:val="single" w:sz="4" w:space="0" w:color="auto"/>
              <w:right w:val="nil"/>
            </w:tcBorders>
          </w:tcPr>
          <w:p w:rsidR="001949EA" w:rsidRPr="00D22D73" w:rsidRDefault="001949EA" w:rsidP="001949EA">
            <w:pPr>
              <w:ind w:left="142"/>
              <w:rPr>
                <w:lang w:val="en-US"/>
              </w:rPr>
            </w:pPr>
          </w:p>
        </w:tc>
        <w:tc>
          <w:tcPr>
            <w:tcW w:w="1472" w:type="dxa"/>
            <w:tcBorders>
              <w:left w:val="nil"/>
              <w:bottom w:val="single" w:sz="4" w:space="0" w:color="auto"/>
            </w:tcBorders>
          </w:tcPr>
          <w:p w:rsidR="001949EA" w:rsidRPr="00D22D73" w:rsidRDefault="001949EA" w:rsidP="001949EA">
            <w:pPr>
              <w:ind w:left="142"/>
            </w:pPr>
            <w:r w:rsidRPr="00D22D73">
              <w:t>Related policy documents</w:t>
            </w:r>
          </w:p>
        </w:tc>
        <w:tc>
          <w:tcPr>
            <w:tcW w:w="6852" w:type="dxa"/>
            <w:tcBorders>
              <w:bottom w:val="single" w:sz="4" w:space="0" w:color="auto"/>
            </w:tcBorders>
          </w:tcPr>
          <w:p w:rsidR="001949EA" w:rsidRPr="00D22D73" w:rsidRDefault="001949EA" w:rsidP="001949EA">
            <w:pPr>
              <w:ind w:left="142"/>
            </w:pPr>
          </w:p>
        </w:tc>
      </w:tr>
      <w:tr w:rsidR="001949EA" w:rsidRPr="00D22D73" w:rsidTr="0044572F">
        <w:tc>
          <w:tcPr>
            <w:tcW w:w="2297" w:type="dxa"/>
            <w:gridSpan w:val="3"/>
            <w:tcBorders>
              <w:bottom w:val="single" w:sz="4" w:space="0" w:color="C4BC96" w:themeColor="background2" w:themeShade="BF"/>
            </w:tcBorders>
          </w:tcPr>
          <w:p w:rsidR="001949EA" w:rsidRPr="00D22D73" w:rsidRDefault="001949EA" w:rsidP="001949EA">
            <w:pPr>
              <w:ind w:left="142"/>
            </w:pPr>
            <w:r w:rsidRPr="00D22D73">
              <w:t xml:space="preserve"> Methodology</w:t>
            </w:r>
          </w:p>
        </w:tc>
        <w:tc>
          <w:tcPr>
            <w:tcW w:w="6852" w:type="dxa"/>
            <w:tcBorders>
              <w:bottom w:val="single" w:sz="4" w:space="0" w:color="C4BC96" w:themeColor="background2" w:themeShade="BF"/>
            </w:tcBorders>
          </w:tcPr>
          <w:p w:rsidR="001949EA" w:rsidRPr="00D22D73" w:rsidRDefault="001949EA" w:rsidP="001949EA">
            <w:pPr>
              <w:ind w:left="142"/>
            </w:pPr>
          </w:p>
        </w:tc>
      </w:tr>
      <w:tr w:rsidR="001949EA" w:rsidRPr="00D22D73" w:rsidTr="0044572F">
        <w:tc>
          <w:tcPr>
            <w:tcW w:w="573" w:type="dxa"/>
            <w:tcBorders>
              <w:top w:val="single" w:sz="4" w:space="0" w:color="C4BC96" w:themeColor="background2" w:themeShade="BF"/>
              <w:bottom w:val="nil"/>
              <w:right w:val="nil"/>
            </w:tcBorders>
          </w:tcPr>
          <w:p w:rsidR="001949EA" w:rsidRPr="00D22D73" w:rsidRDefault="001949EA" w:rsidP="001949EA">
            <w:pPr>
              <w:ind w:left="142"/>
            </w:pPr>
          </w:p>
        </w:tc>
        <w:tc>
          <w:tcPr>
            <w:tcW w:w="1724" w:type="dxa"/>
            <w:gridSpan w:val="2"/>
            <w:tcBorders>
              <w:top w:val="single" w:sz="4" w:space="0" w:color="C4BC96" w:themeColor="background2" w:themeShade="BF"/>
              <w:left w:val="nil"/>
            </w:tcBorders>
          </w:tcPr>
          <w:p w:rsidR="001949EA" w:rsidRPr="00D22D73" w:rsidRDefault="001949EA" w:rsidP="001949EA">
            <w:pPr>
              <w:ind w:left="142"/>
              <w:jc w:val="left"/>
            </w:pPr>
            <w:r w:rsidRPr="00D22D73">
              <w:t>Methodology for indicator calculation</w:t>
            </w:r>
          </w:p>
        </w:tc>
        <w:tc>
          <w:tcPr>
            <w:tcW w:w="6852" w:type="dxa"/>
            <w:tcBorders>
              <w:top w:val="single" w:sz="4" w:space="0" w:color="C4BC96" w:themeColor="background2" w:themeShade="BF"/>
            </w:tcBorders>
          </w:tcPr>
          <w:p w:rsidR="00C91D75" w:rsidRPr="00D22D73" w:rsidRDefault="00456402" w:rsidP="005D65E7">
            <w:pPr>
              <w:ind w:left="142"/>
            </w:pPr>
            <w:r w:rsidRPr="00D22D73">
              <w:t xml:space="preserve">Data </w:t>
            </w:r>
            <w:proofErr w:type="gramStart"/>
            <w:r w:rsidRPr="00D22D73">
              <w:t>is directly provided</w:t>
            </w:r>
            <w:proofErr w:type="gramEnd"/>
            <w:r w:rsidRPr="00D22D73">
              <w:t xml:space="preserve"> by EUROSTAT statistics</w:t>
            </w:r>
            <w:r w:rsidR="00A634DA" w:rsidRPr="00D22D73">
              <w:t xml:space="preserve"> (</w:t>
            </w:r>
            <w:proofErr w:type="spellStart"/>
            <w:r w:rsidR="004E034F" w:rsidRPr="004E034F">
              <w:t>tour_occ_nim</w:t>
            </w:r>
            <w:proofErr w:type="spellEnd"/>
            <w:r w:rsidR="00A634DA" w:rsidRPr="00D22D73">
              <w:t>)</w:t>
            </w:r>
            <w:r w:rsidRPr="00D22D73">
              <w:t>.</w:t>
            </w:r>
            <w:r w:rsidR="009A2080" w:rsidRPr="00D22D73">
              <w:t xml:space="preserve"> </w:t>
            </w:r>
          </w:p>
        </w:tc>
      </w:tr>
      <w:tr w:rsidR="001949EA" w:rsidRPr="00D22D73" w:rsidTr="0044572F">
        <w:trPr>
          <w:cantSplit/>
        </w:trPr>
        <w:tc>
          <w:tcPr>
            <w:tcW w:w="573" w:type="dxa"/>
            <w:tcBorders>
              <w:top w:val="nil"/>
              <w:bottom w:val="nil"/>
              <w:right w:val="nil"/>
            </w:tcBorders>
          </w:tcPr>
          <w:p w:rsidR="001949EA" w:rsidRPr="00D22D73" w:rsidRDefault="001949EA" w:rsidP="001949EA">
            <w:pPr>
              <w:ind w:left="142"/>
            </w:pPr>
          </w:p>
        </w:tc>
        <w:tc>
          <w:tcPr>
            <w:tcW w:w="1724" w:type="dxa"/>
            <w:gridSpan w:val="2"/>
            <w:tcBorders>
              <w:left w:val="nil"/>
            </w:tcBorders>
          </w:tcPr>
          <w:p w:rsidR="001949EA" w:rsidRPr="00D22D73" w:rsidRDefault="001949EA" w:rsidP="001949EA">
            <w:pPr>
              <w:ind w:left="142"/>
            </w:pPr>
            <w:r w:rsidRPr="00D22D73">
              <w:t>Methodology for gap filling</w:t>
            </w:r>
          </w:p>
        </w:tc>
        <w:tc>
          <w:tcPr>
            <w:tcW w:w="6852" w:type="dxa"/>
          </w:tcPr>
          <w:p w:rsidR="001949EA" w:rsidRPr="00D22D73" w:rsidRDefault="001949EA" w:rsidP="001949EA">
            <w:pPr>
              <w:ind w:left="142"/>
            </w:pPr>
          </w:p>
        </w:tc>
      </w:tr>
      <w:tr w:rsidR="001949EA" w:rsidRPr="00D22D73" w:rsidTr="0044572F">
        <w:tc>
          <w:tcPr>
            <w:tcW w:w="573" w:type="dxa"/>
            <w:tcBorders>
              <w:top w:val="nil"/>
              <w:right w:val="nil"/>
            </w:tcBorders>
          </w:tcPr>
          <w:p w:rsidR="001949EA" w:rsidRPr="00D22D73" w:rsidRDefault="001949EA" w:rsidP="001949EA">
            <w:pPr>
              <w:ind w:left="142"/>
            </w:pPr>
          </w:p>
        </w:tc>
        <w:tc>
          <w:tcPr>
            <w:tcW w:w="1724" w:type="dxa"/>
            <w:gridSpan w:val="2"/>
            <w:tcBorders>
              <w:left w:val="nil"/>
            </w:tcBorders>
          </w:tcPr>
          <w:p w:rsidR="001949EA" w:rsidRPr="00D22D73" w:rsidRDefault="001949EA" w:rsidP="001949EA">
            <w:pPr>
              <w:ind w:left="142"/>
            </w:pPr>
            <w:r w:rsidRPr="00D22D73">
              <w:t>References</w:t>
            </w:r>
          </w:p>
        </w:tc>
        <w:tc>
          <w:tcPr>
            <w:tcW w:w="6852" w:type="dxa"/>
          </w:tcPr>
          <w:p w:rsidR="001949EA" w:rsidRPr="00D22D73" w:rsidRDefault="001949EA" w:rsidP="001949EA">
            <w:pPr>
              <w:ind w:left="142"/>
            </w:pPr>
          </w:p>
        </w:tc>
      </w:tr>
      <w:tr w:rsidR="001949EA" w:rsidRPr="00D22D73" w:rsidTr="0044572F">
        <w:tc>
          <w:tcPr>
            <w:tcW w:w="2297" w:type="dxa"/>
            <w:gridSpan w:val="3"/>
            <w:tcBorders>
              <w:bottom w:val="single" w:sz="4" w:space="0" w:color="auto"/>
            </w:tcBorders>
          </w:tcPr>
          <w:p w:rsidR="001949EA" w:rsidRPr="00D22D73" w:rsidRDefault="001949EA" w:rsidP="001949EA">
            <w:pPr>
              <w:ind w:left="142"/>
            </w:pPr>
            <w:r w:rsidRPr="00D22D73">
              <w:t>Data specifications</w:t>
            </w:r>
          </w:p>
        </w:tc>
        <w:tc>
          <w:tcPr>
            <w:tcW w:w="6852" w:type="dxa"/>
            <w:tcBorders>
              <w:bottom w:val="single" w:sz="4" w:space="0" w:color="auto"/>
            </w:tcBorders>
          </w:tcPr>
          <w:p w:rsidR="001949EA" w:rsidRPr="00D22D73" w:rsidRDefault="001949EA" w:rsidP="001949EA">
            <w:pPr>
              <w:ind w:left="142"/>
            </w:pPr>
            <w:r w:rsidRPr="00D22D73">
              <w:t>Data comes from EUROSTAT.</w:t>
            </w:r>
          </w:p>
        </w:tc>
      </w:tr>
      <w:tr w:rsidR="001949EA" w:rsidRPr="00D22D73" w:rsidTr="0044572F">
        <w:tc>
          <w:tcPr>
            <w:tcW w:w="2297" w:type="dxa"/>
            <w:gridSpan w:val="3"/>
            <w:tcBorders>
              <w:bottom w:val="single" w:sz="4" w:space="0" w:color="C4BC96" w:themeColor="background2" w:themeShade="BF"/>
            </w:tcBorders>
          </w:tcPr>
          <w:p w:rsidR="001949EA" w:rsidRPr="00D22D73" w:rsidRDefault="001949EA" w:rsidP="001949EA">
            <w:pPr>
              <w:ind w:left="142"/>
            </w:pPr>
            <w:r w:rsidRPr="00D22D73">
              <w:t xml:space="preserve"> Uncertainties</w:t>
            </w:r>
          </w:p>
        </w:tc>
        <w:tc>
          <w:tcPr>
            <w:tcW w:w="6852" w:type="dxa"/>
            <w:tcBorders>
              <w:bottom w:val="single" w:sz="4" w:space="0" w:color="C4BC96" w:themeColor="background2" w:themeShade="BF"/>
            </w:tcBorders>
          </w:tcPr>
          <w:p w:rsidR="001949EA" w:rsidRPr="00D22D73" w:rsidRDefault="001949EA" w:rsidP="001949EA">
            <w:pPr>
              <w:ind w:left="142"/>
            </w:pPr>
          </w:p>
        </w:tc>
      </w:tr>
      <w:tr w:rsidR="001949EA" w:rsidRPr="00D22D73" w:rsidTr="0044572F">
        <w:tc>
          <w:tcPr>
            <w:tcW w:w="573" w:type="dxa"/>
            <w:tcBorders>
              <w:top w:val="single" w:sz="4" w:space="0" w:color="C4BC96" w:themeColor="background2" w:themeShade="BF"/>
              <w:bottom w:val="nil"/>
              <w:right w:val="nil"/>
            </w:tcBorders>
          </w:tcPr>
          <w:p w:rsidR="001949EA" w:rsidRPr="00D22D73" w:rsidRDefault="001949EA" w:rsidP="001949EA">
            <w:pPr>
              <w:ind w:left="142"/>
            </w:pPr>
          </w:p>
        </w:tc>
        <w:tc>
          <w:tcPr>
            <w:tcW w:w="1724" w:type="dxa"/>
            <w:gridSpan w:val="2"/>
            <w:tcBorders>
              <w:top w:val="single" w:sz="4" w:space="0" w:color="C4BC96" w:themeColor="background2" w:themeShade="BF"/>
              <w:left w:val="nil"/>
            </w:tcBorders>
          </w:tcPr>
          <w:p w:rsidR="001949EA" w:rsidRPr="00D22D73" w:rsidRDefault="001949EA" w:rsidP="001949EA">
            <w:pPr>
              <w:ind w:left="142"/>
            </w:pPr>
            <w:r w:rsidRPr="00D22D73">
              <w:t>Methodology uncertainty</w:t>
            </w:r>
          </w:p>
        </w:tc>
        <w:tc>
          <w:tcPr>
            <w:tcW w:w="6852" w:type="dxa"/>
            <w:tcBorders>
              <w:top w:val="single" w:sz="4" w:space="0" w:color="C4BC96" w:themeColor="background2" w:themeShade="BF"/>
            </w:tcBorders>
          </w:tcPr>
          <w:p w:rsidR="001949EA" w:rsidRPr="00D22D73" w:rsidRDefault="001949EA" w:rsidP="001949EA">
            <w:pPr>
              <w:ind w:left="142"/>
            </w:pPr>
          </w:p>
        </w:tc>
      </w:tr>
      <w:tr w:rsidR="0044572F" w:rsidRPr="00D22D73" w:rsidTr="0044572F">
        <w:tc>
          <w:tcPr>
            <w:tcW w:w="573" w:type="dxa"/>
            <w:tcBorders>
              <w:top w:val="nil"/>
              <w:bottom w:val="nil"/>
              <w:right w:val="nil"/>
            </w:tcBorders>
          </w:tcPr>
          <w:p w:rsidR="0044572F" w:rsidRPr="00D22D73" w:rsidRDefault="0044572F" w:rsidP="001949EA">
            <w:pPr>
              <w:ind w:left="142"/>
            </w:pPr>
          </w:p>
        </w:tc>
        <w:tc>
          <w:tcPr>
            <w:tcW w:w="1724" w:type="dxa"/>
            <w:gridSpan w:val="2"/>
            <w:tcBorders>
              <w:left w:val="nil"/>
            </w:tcBorders>
          </w:tcPr>
          <w:p w:rsidR="0044572F" w:rsidRPr="00D22D73" w:rsidRDefault="0044572F" w:rsidP="001949EA">
            <w:pPr>
              <w:ind w:left="142"/>
              <w:jc w:val="left"/>
            </w:pPr>
            <w:r w:rsidRPr="00D22D73">
              <w:t>Data sets uncertainties</w:t>
            </w:r>
          </w:p>
        </w:tc>
        <w:tc>
          <w:tcPr>
            <w:tcW w:w="6852" w:type="dxa"/>
          </w:tcPr>
          <w:p w:rsidR="0044572F" w:rsidRPr="00D22D73" w:rsidRDefault="0044572F" w:rsidP="006E0EC4">
            <w:pPr>
              <w:pStyle w:val="Textocomentario"/>
              <w:ind w:left="142"/>
              <w:jc w:val="both"/>
              <w:rPr>
                <w:rFonts w:ascii="Times New Roman" w:hAnsi="Times New Roman"/>
                <w:sz w:val="24"/>
                <w:szCs w:val="24"/>
              </w:rPr>
            </w:pPr>
            <w:r w:rsidRPr="00D22D73">
              <w:rPr>
                <w:rFonts w:ascii="Times New Roman" w:hAnsi="Times New Roman"/>
                <w:sz w:val="24"/>
                <w:szCs w:val="24"/>
                <w:lang w:val="sk-SK"/>
              </w:rPr>
              <w:t>Data only takes in consideration official commercial establishments</w:t>
            </w:r>
            <w:r w:rsidRPr="00D22D73">
              <w:rPr>
                <w:rFonts w:ascii="Times New Roman" w:hAnsi="Times New Roman"/>
                <w:b/>
                <w:sz w:val="24"/>
                <w:szCs w:val="24"/>
                <w:lang w:val="sk-SK"/>
              </w:rPr>
              <w:t xml:space="preserve">. </w:t>
            </w:r>
            <w:r w:rsidRPr="00D22D73">
              <w:rPr>
                <w:rFonts w:ascii="Times New Roman" w:hAnsi="Times New Roman"/>
                <w:sz w:val="24"/>
                <w:szCs w:val="24"/>
                <w:lang w:val="sk-SK"/>
              </w:rPr>
              <w:t>It does not cover other types of tourism accomodation (B&amp;B, sharing economy establishments, second homes, etc.).</w:t>
            </w:r>
          </w:p>
        </w:tc>
      </w:tr>
      <w:tr w:rsidR="0044572F" w:rsidRPr="00D22D73" w:rsidTr="0044572F">
        <w:tc>
          <w:tcPr>
            <w:tcW w:w="573" w:type="dxa"/>
            <w:tcBorders>
              <w:top w:val="nil"/>
              <w:right w:val="nil"/>
            </w:tcBorders>
          </w:tcPr>
          <w:p w:rsidR="0044572F" w:rsidRPr="00D22D73" w:rsidRDefault="0044572F" w:rsidP="001949EA">
            <w:pPr>
              <w:ind w:left="142"/>
              <w:rPr>
                <w:lang w:val="en-US"/>
              </w:rPr>
            </w:pPr>
          </w:p>
        </w:tc>
        <w:tc>
          <w:tcPr>
            <w:tcW w:w="1724" w:type="dxa"/>
            <w:gridSpan w:val="2"/>
            <w:tcBorders>
              <w:left w:val="nil"/>
            </w:tcBorders>
          </w:tcPr>
          <w:p w:rsidR="0044572F" w:rsidRPr="00D22D73" w:rsidRDefault="0044572F" w:rsidP="001949EA">
            <w:pPr>
              <w:ind w:left="142"/>
            </w:pPr>
            <w:r w:rsidRPr="00D22D73">
              <w:t>Rationale uncertainty</w:t>
            </w:r>
          </w:p>
        </w:tc>
        <w:tc>
          <w:tcPr>
            <w:tcW w:w="6852" w:type="dxa"/>
          </w:tcPr>
          <w:p w:rsidR="0044572F" w:rsidRPr="00D22D73" w:rsidRDefault="0044572F" w:rsidP="006E0EC4">
            <w:pPr>
              <w:ind w:left="142"/>
              <w:rPr>
                <w:lang w:val="en-US"/>
              </w:rPr>
            </w:pPr>
            <w:r w:rsidRPr="00D22D73">
              <w:rPr>
                <w:lang w:val="en-US"/>
              </w:rPr>
              <w:t>Same comment as data sets uncertainties.</w:t>
            </w:r>
          </w:p>
        </w:tc>
      </w:tr>
      <w:tr w:rsidR="001949EA" w:rsidRPr="00D22D73" w:rsidTr="0044572F">
        <w:tc>
          <w:tcPr>
            <w:tcW w:w="2297" w:type="dxa"/>
            <w:gridSpan w:val="3"/>
          </w:tcPr>
          <w:p w:rsidR="001949EA" w:rsidRPr="00D22D73" w:rsidRDefault="001949EA" w:rsidP="001949EA">
            <w:pPr>
              <w:ind w:left="142"/>
            </w:pPr>
            <w:r w:rsidRPr="00D22D73">
              <w:t>Further work</w:t>
            </w:r>
          </w:p>
        </w:tc>
        <w:tc>
          <w:tcPr>
            <w:tcW w:w="6852" w:type="dxa"/>
          </w:tcPr>
          <w:p w:rsidR="001949EA" w:rsidRPr="00D22D73" w:rsidRDefault="001949EA" w:rsidP="00E80A5C">
            <w:pPr>
              <w:ind w:left="142"/>
              <w:rPr>
                <w:lang w:val="en-US"/>
              </w:rPr>
            </w:pPr>
            <w:r w:rsidRPr="00D22D73">
              <w:rPr>
                <w:lang w:val="en-US"/>
              </w:rPr>
              <w:t>Data needs to be regularly updated</w:t>
            </w:r>
            <w:r w:rsidR="00E80A5C" w:rsidRPr="00D22D73">
              <w:rPr>
                <w:lang w:val="en-US"/>
              </w:rPr>
              <w:t>. This will allow analyzing trends</w:t>
            </w:r>
            <w:r w:rsidRPr="00D22D73">
              <w:rPr>
                <w:lang w:val="en-US"/>
              </w:rPr>
              <w:t xml:space="preserve">. </w:t>
            </w:r>
          </w:p>
        </w:tc>
      </w:tr>
      <w:tr w:rsidR="001949EA" w:rsidRPr="0011039F" w:rsidTr="0044572F">
        <w:tc>
          <w:tcPr>
            <w:tcW w:w="2297" w:type="dxa"/>
            <w:gridSpan w:val="3"/>
          </w:tcPr>
          <w:p w:rsidR="001949EA" w:rsidRPr="00D22D73" w:rsidRDefault="001949EA" w:rsidP="001949EA">
            <w:pPr>
              <w:ind w:left="142"/>
              <w:jc w:val="left"/>
            </w:pPr>
            <w:r w:rsidRPr="00D22D73">
              <w:t xml:space="preserve">Ownership and contacts </w:t>
            </w:r>
          </w:p>
        </w:tc>
        <w:tc>
          <w:tcPr>
            <w:tcW w:w="6852" w:type="dxa"/>
          </w:tcPr>
          <w:p w:rsidR="001949EA" w:rsidRPr="0011039F" w:rsidRDefault="001949EA" w:rsidP="001949EA">
            <w:pPr>
              <w:ind w:left="142"/>
            </w:pPr>
            <w:r w:rsidRPr="00D22D73">
              <w:t>ETC – ULS</w:t>
            </w:r>
          </w:p>
        </w:tc>
      </w:tr>
    </w:tbl>
    <w:p w:rsidR="001949EA" w:rsidRDefault="001949EA" w:rsidP="00C91D75">
      <w:pPr>
        <w:jc w:val="left"/>
        <w:rPr>
          <w:lang w:val="en-US"/>
        </w:rPr>
      </w:pPr>
    </w:p>
    <w:sectPr w:rsidR="001949EA"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5AE7"/>
    <w:rsid w:val="00040F85"/>
    <w:rsid w:val="000906B0"/>
    <w:rsid w:val="00093E7D"/>
    <w:rsid w:val="000C6C72"/>
    <w:rsid w:val="00106813"/>
    <w:rsid w:val="00127B8D"/>
    <w:rsid w:val="001949EA"/>
    <w:rsid w:val="002426E7"/>
    <w:rsid w:val="00253668"/>
    <w:rsid w:val="002741B5"/>
    <w:rsid w:val="0029618D"/>
    <w:rsid w:val="003864FF"/>
    <w:rsid w:val="0044572F"/>
    <w:rsid w:val="00447F24"/>
    <w:rsid w:val="00456402"/>
    <w:rsid w:val="0048512D"/>
    <w:rsid w:val="004A215D"/>
    <w:rsid w:val="004E034F"/>
    <w:rsid w:val="005D65E7"/>
    <w:rsid w:val="005F7A13"/>
    <w:rsid w:val="00634341"/>
    <w:rsid w:val="00734956"/>
    <w:rsid w:val="007F0071"/>
    <w:rsid w:val="007F218A"/>
    <w:rsid w:val="00814E30"/>
    <w:rsid w:val="00832718"/>
    <w:rsid w:val="00841521"/>
    <w:rsid w:val="00865B4B"/>
    <w:rsid w:val="00872021"/>
    <w:rsid w:val="008927B4"/>
    <w:rsid w:val="00892EC7"/>
    <w:rsid w:val="008A19C6"/>
    <w:rsid w:val="008A6F13"/>
    <w:rsid w:val="009A2080"/>
    <w:rsid w:val="009C6C56"/>
    <w:rsid w:val="009F267D"/>
    <w:rsid w:val="00A23B1F"/>
    <w:rsid w:val="00A55453"/>
    <w:rsid w:val="00A634DA"/>
    <w:rsid w:val="00AA2357"/>
    <w:rsid w:val="00B26116"/>
    <w:rsid w:val="00B621BD"/>
    <w:rsid w:val="00B84AD2"/>
    <w:rsid w:val="00B912A5"/>
    <w:rsid w:val="00BA6C71"/>
    <w:rsid w:val="00BD4DF7"/>
    <w:rsid w:val="00C1475F"/>
    <w:rsid w:val="00C20B79"/>
    <w:rsid w:val="00C7679E"/>
    <w:rsid w:val="00C91D75"/>
    <w:rsid w:val="00CD6D78"/>
    <w:rsid w:val="00CE0832"/>
    <w:rsid w:val="00D22D73"/>
    <w:rsid w:val="00D32C89"/>
    <w:rsid w:val="00D6314E"/>
    <w:rsid w:val="00D970BF"/>
    <w:rsid w:val="00DA02F3"/>
    <w:rsid w:val="00DE5BE3"/>
    <w:rsid w:val="00E55AE6"/>
    <w:rsid w:val="00E80A5C"/>
    <w:rsid w:val="00E864FA"/>
    <w:rsid w:val="00EA07CE"/>
    <w:rsid w:val="00EF0AE4"/>
    <w:rsid w:val="00EF7796"/>
    <w:rsid w:val="00F321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paragraph" w:styleId="Ttulo1">
    <w:name w:val="heading 1"/>
    <w:basedOn w:val="Normal"/>
    <w:next w:val="Normal"/>
    <w:link w:val="Ttulo1Car"/>
    <w:uiPriority w:val="9"/>
    <w:qFormat/>
    <w:rsid w:val="00386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 w:type="character" w:customStyle="1" w:styleId="Ttulo1Car">
    <w:name w:val="Título 1 Car"/>
    <w:basedOn w:val="Fuentedeprrafopredeter"/>
    <w:link w:val="Ttulo1"/>
    <w:uiPriority w:val="9"/>
    <w:rsid w:val="003864FF"/>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paragraph" w:styleId="Ttulo1">
    <w:name w:val="heading 1"/>
    <w:basedOn w:val="Normal"/>
    <w:next w:val="Normal"/>
    <w:link w:val="Ttulo1Car"/>
    <w:uiPriority w:val="9"/>
    <w:qFormat/>
    <w:rsid w:val="00386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 w:type="character" w:customStyle="1" w:styleId="Ttulo1Car">
    <w:name w:val="Título 1 Car"/>
    <w:basedOn w:val="Fuentedeprrafopredeter"/>
    <w:link w:val="Ttulo1"/>
    <w:uiPriority w:val="9"/>
    <w:rsid w:val="003864F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8287-C917-43A9-9827-B310EDE5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2</cp:revision>
  <dcterms:created xsi:type="dcterms:W3CDTF">2017-06-01T13:56:00Z</dcterms:created>
  <dcterms:modified xsi:type="dcterms:W3CDTF">2017-06-01T13:56:00Z</dcterms:modified>
</cp:coreProperties>
</file>