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614" w:type="dxa"/>
        <w:tblLook w:val="04A0" w:firstRow="1" w:lastRow="0" w:firstColumn="1" w:lastColumn="0" w:noHBand="0" w:noVBand="1"/>
      </w:tblPr>
      <w:tblGrid>
        <w:gridCol w:w="277"/>
        <w:gridCol w:w="25"/>
        <w:gridCol w:w="1955"/>
        <w:gridCol w:w="7425"/>
      </w:tblGrid>
      <w:tr w:rsidR="005018E7" w:rsidRPr="00111539" w:rsidTr="00963625">
        <w:tc>
          <w:tcPr>
            <w:tcW w:w="2257" w:type="dxa"/>
            <w:gridSpan w:val="3"/>
            <w:tcMar>
              <w:top w:w="57" w:type="dxa"/>
              <w:bottom w:w="57" w:type="dxa"/>
            </w:tcMar>
          </w:tcPr>
          <w:p w:rsidR="005018E7" w:rsidRPr="00F26D10" w:rsidRDefault="00EE3150" w:rsidP="00DF1F72">
            <w:pPr>
              <w:rPr>
                <w:rFonts w:ascii="Times New Roman" w:hAnsi="Times New Roman" w:cs="Times New Roman"/>
                <w:b/>
                <w:sz w:val="24"/>
                <w:szCs w:val="24"/>
                <w:lang w:val="en-GB"/>
              </w:rPr>
            </w:pPr>
            <w:r w:rsidRPr="00F26D10">
              <w:rPr>
                <w:rFonts w:ascii="Times New Roman" w:hAnsi="Times New Roman" w:cs="Times New Roman"/>
                <w:b/>
                <w:sz w:val="24"/>
                <w:szCs w:val="24"/>
                <w:lang w:val="en-GB"/>
              </w:rPr>
              <w:t xml:space="preserve">Indicator name </w:t>
            </w:r>
          </w:p>
        </w:tc>
        <w:tc>
          <w:tcPr>
            <w:tcW w:w="7357" w:type="dxa"/>
            <w:tcMar>
              <w:top w:w="57" w:type="dxa"/>
              <w:bottom w:w="57" w:type="dxa"/>
            </w:tcMar>
          </w:tcPr>
          <w:p w:rsidR="005018E7" w:rsidRPr="00F26D10" w:rsidRDefault="00383CC4" w:rsidP="006D4C67">
            <w:pPr>
              <w:rPr>
                <w:rFonts w:ascii="Times New Roman" w:hAnsi="Times New Roman" w:cs="Times New Roman"/>
                <w:sz w:val="24"/>
                <w:szCs w:val="24"/>
                <w:lang w:val="en-GB"/>
              </w:rPr>
            </w:pPr>
            <w:r w:rsidRPr="00F26D10">
              <w:rPr>
                <w:rFonts w:ascii="Times New Roman" w:hAnsi="Times New Roman" w:cs="Times New Roman"/>
                <w:sz w:val="24"/>
                <w:szCs w:val="24"/>
                <w:lang w:val="en-GB"/>
              </w:rPr>
              <w:t>Tourism</w:t>
            </w:r>
            <w:r w:rsidR="00665722" w:rsidRPr="00F26D10">
              <w:rPr>
                <w:rFonts w:ascii="Times New Roman" w:hAnsi="Times New Roman" w:cs="Times New Roman"/>
                <w:sz w:val="24"/>
                <w:szCs w:val="24"/>
                <w:lang w:val="en-GB"/>
              </w:rPr>
              <w:t xml:space="preserve"> </w:t>
            </w:r>
            <w:r w:rsidRPr="00F26D10">
              <w:rPr>
                <w:rFonts w:ascii="Times New Roman" w:hAnsi="Times New Roman" w:cs="Times New Roman"/>
                <w:sz w:val="24"/>
                <w:szCs w:val="24"/>
                <w:lang w:val="en-GB"/>
              </w:rPr>
              <w:t>related modes of transport</w:t>
            </w:r>
            <w:r w:rsidR="00111539">
              <w:rPr>
                <w:rFonts w:ascii="Times New Roman" w:hAnsi="Times New Roman" w:cs="Times New Roman"/>
                <w:sz w:val="24"/>
                <w:szCs w:val="24"/>
                <w:lang w:val="en-GB"/>
              </w:rPr>
              <w:t xml:space="preserve"> (3. </w:t>
            </w:r>
            <w:r w:rsidR="00665722" w:rsidRPr="00F26D10">
              <w:rPr>
                <w:rFonts w:ascii="Times New Roman" w:hAnsi="Times New Roman" w:cs="Times New Roman"/>
                <w:sz w:val="24"/>
                <w:szCs w:val="24"/>
                <w:lang w:val="en-GB"/>
              </w:rPr>
              <w:t>Cruise</w:t>
            </w:r>
            <w:r w:rsidR="005378A0" w:rsidRPr="00F26D10">
              <w:rPr>
                <w:rFonts w:ascii="Times New Roman" w:hAnsi="Times New Roman" w:cs="Times New Roman"/>
                <w:sz w:val="24"/>
                <w:szCs w:val="24"/>
                <w:lang w:val="en-GB"/>
              </w:rPr>
              <w:t>s</w:t>
            </w:r>
            <w:r w:rsidR="00111539">
              <w:rPr>
                <w:rFonts w:ascii="Times New Roman" w:hAnsi="Times New Roman" w:cs="Times New Roman"/>
                <w:sz w:val="24"/>
                <w:szCs w:val="24"/>
                <w:lang w:val="en-GB"/>
              </w:rPr>
              <w:t>)</w:t>
            </w:r>
          </w:p>
        </w:tc>
      </w:tr>
      <w:tr w:rsidR="000B6BC7" w:rsidRPr="00111539" w:rsidTr="00963625">
        <w:tc>
          <w:tcPr>
            <w:tcW w:w="2257" w:type="dxa"/>
            <w:gridSpan w:val="3"/>
            <w:tcMar>
              <w:top w:w="57" w:type="dxa"/>
              <w:bottom w:w="57" w:type="dxa"/>
            </w:tcMar>
          </w:tcPr>
          <w:p w:rsidR="000B6BC7" w:rsidRPr="00F26D10" w:rsidRDefault="000B6BC7">
            <w:pPr>
              <w:rPr>
                <w:rFonts w:ascii="Times New Roman" w:hAnsi="Times New Roman" w:cs="Times New Roman"/>
                <w:b/>
                <w:sz w:val="24"/>
                <w:szCs w:val="24"/>
                <w:lang w:val="en-GB"/>
              </w:rPr>
            </w:pPr>
            <w:r w:rsidRPr="00F26D10">
              <w:rPr>
                <w:rFonts w:ascii="Times New Roman" w:hAnsi="Times New Roman" w:cs="Times New Roman"/>
                <w:b/>
                <w:sz w:val="24"/>
                <w:szCs w:val="24"/>
                <w:lang w:val="en-GB"/>
              </w:rPr>
              <w:t>ASSESSMENT</w:t>
            </w:r>
          </w:p>
        </w:tc>
        <w:tc>
          <w:tcPr>
            <w:tcW w:w="7357" w:type="dxa"/>
            <w:tcMar>
              <w:top w:w="57" w:type="dxa"/>
              <w:bottom w:w="57" w:type="dxa"/>
            </w:tcMar>
          </w:tcPr>
          <w:p w:rsidR="000B6BC7" w:rsidRPr="00F26D10" w:rsidRDefault="000B6BC7">
            <w:pPr>
              <w:rPr>
                <w:rFonts w:ascii="Times New Roman" w:hAnsi="Times New Roman" w:cs="Times New Roman"/>
                <w:sz w:val="24"/>
                <w:szCs w:val="24"/>
                <w:lang w:val="en-GB"/>
              </w:rPr>
            </w:pPr>
          </w:p>
        </w:tc>
      </w:tr>
      <w:tr w:rsidR="00376871" w:rsidRPr="00111539" w:rsidTr="00963625">
        <w:tc>
          <w:tcPr>
            <w:tcW w:w="2257" w:type="dxa"/>
            <w:gridSpan w:val="3"/>
            <w:tcMar>
              <w:top w:w="57" w:type="dxa"/>
              <w:bottom w:w="57" w:type="dxa"/>
            </w:tcMar>
          </w:tcPr>
          <w:p w:rsidR="00376871" w:rsidRPr="00F26D10" w:rsidRDefault="00376871" w:rsidP="000D72D1">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Indicator Name</w:t>
            </w:r>
          </w:p>
        </w:tc>
        <w:tc>
          <w:tcPr>
            <w:tcW w:w="7357" w:type="dxa"/>
            <w:tcMar>
              <w:top w:w="57" w:type="dxa"/>
              <w:bottom w:w="57" w:type="dxa"/>
            </w:tcMar>
          </w:tcPr>
          <w:p w:rsidR="00795E2F" w:rsidRPr="00F26D10" w:rsidRDefault="00111539" w:rsidP="00111539">
            <w:pPr>
              <w:tabs>
                <w:tab w:val="left" w:pos="1095"/>
              </w:tabs>
              <w:rPr>
                <w:rFonts w:ascii="Times New Roman" w:hAnsi="Times New Roman" w:cs="Times New Roman"/>
                <w:sz w:val="24"/>
                <w:szCs w:val="24"/>
                <w:lang w:val="en-GB"/>
              </w:rPr>
            </w:pPr>
            <w:r>
              <w:rPr>
                <w:rFonts w:ascii="Times New Roman" w:hAnsi="Times New Roman" w:cs="Times New Roman"/>
                <w:sz w:val="24"/>
                <w:szCs w:val="24"/>
                <w:lang w:val="en-GB"/>
              </w:rPr>
              <w:t>TOUR002d – Number of</w:t>
            </w:r>
            <w:r w:rsidR="006D4C67" w:rsidRPr="00F26D10">
              <w:rPr>
                <w:rFonts w:ascii="Times New Roman" w:hAnsi="Times New Roman" w:cs="Times New Roman"/>
                <w:sz w:val="24"/>
                <w:szCs w:val="24"/>
                <w:lang w:val="en-GB"/>
              </w:rPr>
              <w:t xml:space="preserve"> cruise </w:t>
            </w:r>
            <w:r>
              <w:rPr>
                <w:rFonts w:ascii="Times New Roman" w:hAnsi="Times New Roman" w:cs="Times New Roman"/>
                <w:sz w:val="24"/>
                <w:szCs w:val="24"/>
                <w:lang w:val="en-GB"/>
              </w:rPr>
              <w:t xml:space="preserve">port </w:t>
            </w:r>
            <w:r w:rsidR="006D4C67" w:rsidRPr="00F26D10">
              <w:rPr>
                <w:rFonts w:ascii="Times New Roman" w:hAnsi="Times New Roman" w:cs="Times New Roman"/>
                <w:sz w:val="24"/>
                <w:szCs w:val="24"/>
                <w:lang w:val="en-GB"/>
              </w:rPr>
              <w:t xml:space="preserve">passengers </w:t>
            </w:r>
            <w:bookmarkStart w:id="0" w:name="_GoBack"/>
            <w:bookmarkEnd w:id="0"/>
          </w:p>
        </w:tc>
      </w:tr>
      <w:tr w:rsidR="00376871" w:rsidRPr="00111539" w:rsidTr="00963625">
        <w:tc>
          <w:tcPr>
            <w:tcW w:w="2257" w:type="dxa"/>
            <w:gridSpan w:val="3"/>
            <w:tcMar>
              <w:top w:w="57" w:type="dxa"/>
              <w:bottom w:w="57" w:type="dxa"/>
            </w:tcMar>
          </w:tcPr>
          <w:p w:rsidR="00376871" w:rsidRPr="00F26D10" w:rsidRDefault="00376871" w:rsidP="004408E0">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Key policy question</w:t>
            </w:r>
          </w:p>
        </w:tc>
        <w:tc>
          <w:tcPr>
            <w:tcW w:w="7357" w:type="dxa"/>
            <w:tcMar>
              <w:top w:w="57" w:type="dxa"/>
              <w:bottom w:w="57" w:type="dxa"/>
            </w:tcMar>
          </w:tcPr>
          <w:p w:rsidR="00376871" w:rsidRPr="00F26D10" w:rsidRDefault="006D4C67" w:rsidP="006D4C67">
            <w:pPr>
              <w:rPr>
                <w:rFonts w:ascii="Times New Roman" w:hAnsi="Times New Roman" w:cs="Times New Roman"/>
                <w:sz w:val="24"/>
                <w:szCs w:val="24"/>
                <w:lang w:val="en-US"/>
              </w:rPr>
            </w:pPr>
            <w:r w:rsidRPr="00F26D10">
              <w:rPr>
                <w:rFonts w:ascii="Times New Roman" w:hAnsi="Times New Roman" w:cs="Times New Roman"/>
                <w:sz w:val="24"/>
                <w:szCs w:val="24"/>
                <w:lang w:val="en-US"/>
              </w:rPr>
              <w:t>What are the changes in cruise passenger per port</w:t>
            </w:r>
            <w:r w:rsidR="00DE72B4" w:rsidRPr="00F26D10">
              <w:rPr>
                <w:rFonts w:ascii="Times New Roman" w:hAnsi="Times New Roman" w:cs="Times New Roman"/>
                <w:sz w:val="24"/>
                <w:szCs w:val="24"/>
                <w:lang w:val="en-US"/>
              </w:rPr>
              <w:t>?</w:t>
            </w:r>
          </w:p>
        </w:tc>
      </w:tr>
      <w:tr w:rsidR="00963625" w:rsidRPr="00111539" w:rsidTr="00963625">
        <w:tc>
          <w:tcPr>
            <w:tcW w:w="2257" w:type="dxa"/>
            <w:gridSpan w:val="3"/>
            <w:tcMar>
              <w:top w:w="57" w:type="dxa"/>
              <w:bottom w:w="57" w:type="dxa"/>
            </w:tcMar>
          </w:tcPr>
          <w:p w:rsidR="00963625" w:rsidRPr="00F26D10" w:rsidRDefault="00963625" w:rsidP="000B6BC7">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Key message</w:t>
            </w:r>
          </w:p>
        </w:tc>
        <w:tc>
          <w:tcPr>
            <w:tcW w:w="7357" w:type="dxa"/>
            <w:tcMar>
              <w:top w:w="57" w:type="dxa"/>
              <w:bottom w:w="57" w:type="dxa"/>
            </w:tcMar>
          </w:tcPr>
          <w:p w:rsidR="00963625" w:rsidRPr="00F26D10" w:rsidRDefault="0004192E" w:rsidP="00BA2294">
            <w:pPr>
              <w:jc w:val="both"/>
              <w:rPr>
                <w:rFonts w:ascii="Times New Roman" w:hAnsi="Times New Roman" w:cs="Times New Roman"/>
                <w:sz w:val="24"/>
                <w:szCs w:val="24"/>
                <w:lang w:val="en-GB"/>
              </w:rPr>
            </w:pPr>
            <w:r w:rsidRPr="00F26D10">
              <w:rPr>
                <w:rFonts w:ascii="Times New Roman" w:hAnsi="Times New Roman" w:cs="Times New Roman"/>
                <w:sz w:val="24"/>
                <w:szCs w:val="24"/>
                <w:lang w:val="en-GB"/>
              </w:rPr>
              <w:t>Being of significant economic importance, cruise tourism also leads to unwanted externalities, as cruise ships create air emissions, waste and noise in EU ports and seas. The</w:t>
            </w:r>
            <w:r w:rsidR="0010505C" w:rsidRPr="00F26D10">
              <w:rPr>
                <w:rFonts w:ascii="Times New Roman" w:hAnsi="Times New Roman" w:cs="Times New Roman"/>
                <w:sz w:val="24"/>
                <w:szCs w:val="24"/>
                <w:lang w:val="en-GB"/>
              </w:rPr>
              <w:t>se externalities are both located at the ports where cruise ships are calling and the shipping routes. Local p</w:t>
            </w:r>
            <w:r w:rsidRPr="00F26D10">
              <w:rPr>
                <w:rFonts w:ascii="Times New Roman" w:hAnsi="Times New Roman" w:cs="Times New Roman"/>
                <w:sz w:val="24"/>
                <w:szCs w:val="24"/>
                <w:lang w:val="en-GB"/>
              </w:rPr>
              <w:t>ressure</w:t>
            </w:r>
            <w:r w:rsidR="0010505C" w:rsidRPr="00F26D10">
              <w:rPr>
                <w:rFonts w:ascii="Times New Roman" w:hAnsi="Times New Roman" w:cs="Times New Roman"/>
                <w:sz w:val="24"/>
                <w:szCs w:val="24"/>
                <w:lang w:val="en-GB"/>
              </w:rPr>
              <w:t xml:space="preserve">s depend on </w:t>
            </w:r>
            <w:r w:rsidR="00BA2294" w:rsidRPr="00F26D10">
              <w:rPr>
                <w:rFonts w:ascii="Times New Roman" w:hAnsi="Times New Roman" w:cs="Times New Roman"/>
                <w:sz w:val="24"/>
                <w:szCs w:val="24"/>
                <w:lang w:val="en-GB"/>
              </w:rPr>
              <w:t>the intensity of cruise traffic that is measured by the number of passengers per port.</w:t>
            </w:r>
            <w:r w:rsidR="0010505C" w:rsidRPr="00F26D10">
              <w:rPr>
                <w:rFonts w:ascii="Times New Roman" w:hAnsi="Times New Roman" w:cs="Times New Roman"/>
                <w:sz w:val="24"/>
                <w:szCs w:val="24"/>
                <w:lang w:val="en-GB"/>
              </w:rPr>
              <w:t xml:space="preserve"> </w:t>
            </w:r>
          </w:p>
        </w:tc>
      </w:tr>
      <w:tr w:rsidR="00963625" w:rsidRPr="00111539" w:rsidTr="00963625">
        <w:tc>
          <w:tcPr>
            <w:tcW w:w="2257" w:type="dxa"/>
            <w:gridSpan w:val="3"/>
            <w:tcMar>
              <w:top w:w="57" w:type="dxa"/>
              <w:bottom w:w="57" w:type="dxa"/>
            </w:tcMar>
          </w:tcPr>
          <w:p w:rsidR="00963625" w:rsidRPr="00F26D10" w:rsidRDefault="00963625" w:rsidP="00F6425D">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 xml:space="preserve">Key assessment </w:t>
            </w:r>
          </w:p>
        </w:tc>
        <w:tc>
          <w:tcPr>
            <w:tcW w:w="7357" w:type="dxa"/>
            <w:tcMar>
              <w:top w:w="57" w:type="dxa"/>
              <w:bottom w:w="57" w:type="dxa"/>
            </w:tcMar>
          </w:tcPr>
          <w:p w:rsidR="00963625" w:rsidRPr="00F26D10" w:rsidRDefault="00BA2294" w:rsidP="00665722">
            <w:pPr>
              <w:jc w:val="both"/>
              <w:rPr>
                <w:rFonts w:ascii="Times New Roman" w:hAnsi="Times New Roman" w:cs="Times New Roman"/>
                <w:sz w:val="24"/>
                <w:szCs w:val="24"/>
                <w:lang w:val="en-GB"/>
              </w:rPr>
            </w:pPr>
            <w:r w:rsidRPr="00F26D10">
              <w:rPr>
                <w:rFonts w:ascii="Times New Roman" w:hAnsi="Times New Roman" w:cs="Times New Roman"/>
                <w:sz w:val="24"/>
                <w:szCs w:val="24"/>
                <w:lang w:val="en-GB"/>
              </w:rPr>
              <w:t xml:space="preserve">There is an uneven distribution of the more than 27 million passenger visits on one of the 313 ports that receive cruise ships. 9 out of the 10 with most cruise passengers (&gt; 900 000 </w:t>
            </w:r>
            <w:proofErr w:type="spellStart"/>
            <w:r w:rsidRPr="00F26D10">
              <w:rPr>
                <w:rFonts w:ascii="Times New Roman" w:hAnsi="Times New Roman" w:cs="Times New Roman"/>
                <w:sz w:val="24"/>
                <w:szCs w:val="24"/>
                <w:lang w:val="en-GB"/>
              </w:rPr>
              <w:t>pax</w:t>
            </w:r>
            <w:proofErr w:type="spellEnd"/>
            <w:r w:rsidRPr="00F26D10">
              <w:rPr>
                <w:rFonts w:ascii="Times New Roman" w:hAnsi="Times New Roman" w:cs="Times New Roman"/>
                <w:sz w:val="24"/>
                <w:szCs w:val="24"/>
                <w:lang w:val="en-GB"/>
              </w:rPr>
              <w:t>) are located in the Mediterranean Sea. Even</w:t>
            </w:r>
            <w:r w:rsidR="00A0160E" w:rsidRPr="00F26D10">
              <w:rPr>
                <w:rFonts w:ascii="Times New Roman" w:hAnsi="Times New Roman" w:cs="Times New Roman"/>
                <w:sz w:val="24"/>
                <w:szCs w:val="24"/>
                <w:lang w:val="en-GB"/>
              </w:rPr>
              <w:t xml:space="preserve"> under the top 20, there are only 4 Northern European ports (</w:t>
            </w:r>
            <w:proofErr w:type="spellStart"/>
            <w:r w:rsidR="00A0160E" w:rsidRPr="00F26D10">
              <w:rPr>
                <w:rFonts w:ascii="Times New Roman" w:hAnsi="Times New Roman" w:cs="Times New Roman"/>
                <w:sz w:val="24"/>
                <w:szCs w:val="24"/>
                <w:lang w:val="en-GB"/>
              </w:rPr>
              <w:t>Southhampton</w:t>
            </w:r>
            <w:proofErr w:type="spellEnd"/>
            <w:r w:rsidR="00A0160E" w:rsidRPr="00F26D10">
              <w:rPr>
                <w:rFonts w:ascii="Times New Roman" w:hAnsi="Times New Roman" w:cs="Times New Roman"/>
                <w:sz w:val="24"/>
                <w:szCs w:val="24"/>
                <w:lang w:val="en-GB"/>
              </w:rPr>
              <w:t xml:space="preserve">, Copenhagen, Hamburg and </w:t>
            </w:r>
            <w:proofErr w:type="spellStart"/>
            <w:r w:rsidR="00A0160E" w:rsidRPr="00F26D10">
              <w:rPr>
                <w:rFonts w:ascii="Times New Roman" w:hAnsi="Times New Roman" w:cs="Times New Roman"/>
                <w:sz w:val="24"/>
                <w:szCs w:val="24"/>
                <w:lang w:val="en-GB"/>
              </w:rPr>
              <w:t>Tallin</w:t>
            </w:r>
            <w:proofErr w:type="spellEnd"/>
            <w:r w:rsidR="00A0160E" w:rsidRPr="00F26D10">
              <w:rPr>
                <w:rFonts w:ascii="Times New Roman" w:hAnsi="Times New Roman" w:cs="Times New Roman"/>
                <w:sz w:val="24"/>
                <w:szCs w:val="24"/>
                <w:lang w:val="en-GB"/>
              </w:rPr>
              <w:t xml:space="preserve">). This concentration of high numbers of passengers (and calls) within relatively short distance and with the semi-closed situation of the Mediterranean Sea provides a map of potentially very high pressure on the marine and coastal ecosystems and cities. When it comes to the </w:t>
            </w:r>
            <w:r w:rsidR="005E4498" w:rsidRPr="00F26D10">
              <w:rPr>
                <w:rFonts w:ascii="Times New Roman" w:hAnsi="Times New Roman" w:cs="Times New Roman"/>
                <w:sz w:val="24"/>
                <w:szCs w:val="24"/>
                <w:lang w:val="en-GB"/>
              </w:rPr>
              <w:t>trend over the period 200</w:t>
            </w:r>
            <w:r w:rsidR="00EE2E71" w:rsidRPr="00F26D10">
              <w:rPr>
                <w:rFonts w:ascii="Times New Roman" w:hAnsi="Times New Roman" w:cs="Times New Roman"/>
                <w:sz w:val="24"/>
                <w:szCs w:val="24"/>
                <w:lang w:val="en-GB"/>
              </w:rPr>
              <w:t>9</w:t>
            </w:r>
            <w:r w:rsidR="005E4498" w:rsidRPr="00F26D10">
              <w:rPr>
                <w:rFonts w:ascii="Times New Roman" w:hAnsi="Times New Roman" w:cs="Times New Roman"/>
                <w:sz w:val="24"/>
                <w:szCs w:val="24"/>
                <w:lang w:val="en-GB"/>
              </w:rPr>
              <w:t xml:space="preserve">-2013, it becomes clear that particularly the Mediterranean ports have the highest increase in numbers of passengers visiting the port. It can also be observed that a concentration of passenger visits takes place away from smaller ports towards the ports with already the highest numbers of passenger visits, with a clear focus on the Western Mediterranean region, and some exceptions in the Adriatic Sea. </w:t>
            </w:r>
          </w:p>
        </w:tc>
      </w:tr>
      <w:tr w:rsidR="00963625" w:rsidRPr="00F26D10" w:rsidTr="00963625">
        <w:tc>
          <w:tcPr>
            <w:tcW w:w="2257" w:type="dxa"/>
            <w:gridSpan w:val="3"/>
            <w:tcMar>
              <w:top w:w="57" w:type="dxa"/>
              <w:bottom w:w="57" w:type="dxa"/>
            </w:tcMar>
          </w:tcPr>
          <w:p w:rsidR="00963625" w:rsidRPr="00F26D10" w:rsidRDefault="00963625" w:rsidP="00EE3150">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 xml:space="preserve">Specific policy question </w:t>
            </w:r>
          </w:p>
        </w:tc>
        <w:tc>
          <w:tcPr>
            <w:tcW w:w="7357" w:type="dxa"/>
            <w:tcMar>
              <w:top w:w="57" w:type="dxa"/>
              <w:bottom w:w="57" w:type="dxa"/>
            </w:tcMar>
          </w:tcPr>
          <w:p w:rsidR="00963625" w:rsidRPr="00F26D10" w:rsidRDefault="00963625" w:rsidP="00324E2D">
            <w:pPr>
              <w:rPr>
                <w:rFonts w:ascii="Times New Roman" w:hAnsi="Times New Roman" w:cs="Times New Roman"/>
                <w:sz w:val="24"/>
                <w:szCs w:val="24"/>
                <w:lang w:val="en-GB"/>
              </w:rPr>
            </w:pPr>
          </w:p>
        </w:tc>
      </w:tr>
      <w:tr w:rsidR="00963625" w:rsidRPr="00F26D10" w:rsidTr="00963625">
        <w:tc>
          <w:tcPr>
            <w:tcW w:w="2257" w:type="dxa"/>
            <w:gridSpan w:val="3"/>
            <w:tcMar>
              <w:top w:w="57" w:type="dxa"/>
              <w:bottom w:w="57" w:type="dxa"/>
            </w:tcMar>
          </w:tcPr>
          <w:p w:rsidR="00963625" w:rsidRPr="00F26D10" w:rsidRDefault="00963625" w:rsidP="00324E2D">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 xml:space="preserve">Specific assessment </w:t>
            </w:r>
          </w:p>
        </w:tc>
        <w:tc>
          <w:tcPr>
            <w:tcW w:w="7357" w:type="dxa"/>
            <w:tcMar>
              <w:top w:w="57" w:type="dxa"/>
              <w:bottom w:w="57" w:type="dxa"/>
            </w:tcMar>
          </w:tcPr>
          <w:p w:rsidR="00963625" w:rsidRPr="00F26D10" w:rsidRDefault="00963625" w:rsidP="00EE3150">
            <w:pPr>
              <w:rPr>
                <w:rFonts w:ascii="Times New Roman" w:hAnsi="Times New Roman" w:cs="Times New Roman"/>
                <w:sz w:val="24"/>
                <w:szCs w:val="24"/>
                <w:lang w:val="en-GB"/>
              </w:rPr>
            </w:pPr>
          </w:p>
        </w:tc>
      </w:tr>
      <w:tr w:rsidR="00963625" w:rsidRPr="00F26D10" w:rsidTr="00963625">
        <w:trPr>
          <w:trHeight w:val="936"/>
        </w:trPr>
        <w:tc>
          <w:tcPr>
            <w:tcW w:w="2257" w:type="dxa"/>
            <w:gridSpan w:val="3"/>
            <w:tcMar>
              <w:top w:w="57" w:type="dxa"/>
              <w:bottom w:w="57" w:type="dxa"/>
            </w:tcMar>
          </w:tcPr>
          <w:p w:rsidR="00963625" w:rsidRPr="00F26D10" w:rsidRDefault="00963625" w:rsidP="000B6BC7">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lastRenderedPageBreak/>
              <w:t>Examples</w:t>
            </w:r>
          </w:p>
        </w:tc>
        <w:tc>
          <w:tcPr>
            <w:tcW w:w="7357" w:type="dxa"/>
            <w:tcMar>
              <w:top w:w="57" w:type="dxa"/>
              <w:bottom w:w="57" w:type="dxa"/>
            </w:tcMar>
          </w:tcPr>
          <w:p w:rsidR="0071598A" w:rsidRPr="00F26D10" w:rsidRDefault="00665722">
            <w:pPr>
              <w:rPr>
                <w:rFonts w:ascii="Times New Roman" w:hAnsi="Times New Roman" w:cs="Times New Roman"/>
                <w:sz w:val="24"/>
                <w:szCs w:val="24"/>
                <w:lang w:val="en-GB"/>
              </w:rPr>
            </w:pPr>
            <w:r w:rsidRPr="00F26D10">
              <w:rPr>
                <w:rFonts w:ascii="Times New Roman" w:hAnsi="Times New Roman" w:cs="Times New Roman"/>
                <w:noProof/>
                <w:sz w:val="24"/>
                <w:szCs w:val="24"/>
                <w:lang w:val="ca-ES" w:eastAsia="ca-ES"/>
              </w:rPr>
              <w:drawing>
                <wp:inline distT="0" distB="0" distL="0" distR="0" wp14:anchorId="6A63B4C5" wp14:editId="0E1AE3ED">
                  <wp:extent cx="4577938" cy="3275095"/>
                  <wp:effectExtent l="0" t="0" r="0" b="1905"/>
                  <wp:docPr id="1" name="Imagen 1" descr="D:\EEA Turisme\Activitats 2016 - TOUERM report\Indicator fact-sheets\Maps and graphs last version 17-10-2016\cruise passengers\CruisePassen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A Turisme\Activitats 2016 - TOUERM report\Indicator fact-sheets\Maps and graphs last version 17-10-2016\cruise passengers\CruisePassenger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5911" cy="3273645"/>
                          </a:xfrm>
                          <a:prstGeom prst="rect">
                            <a:avLst/>
                          </a:prstGeom>
                          <a:noFill/>
                          <a:ln>
                            <a:noFill/>
                          </a:ln>
                        </pic:spPr>
                      </pic:pic>
                    </a:graphicData>
                  </a:graphic>
                </wp:inline>
              </w:drawing>
            </w:r>
          </w:p>
        </w:tc>
      </w:tr>
      <w:tr w:rsidR="00963625" w:rsidRPr="00F26D10" w:rsidTr="00963625">
        <w:tc>
          <w:tcPr>
            <w:tcW w:w="2257" w:type="dxa"/>
            <w:gridSpan w:val="3"/>
            <w:tcMar>
              <w:top w:w="57" w:type="dxa"/>
              <w:bottom w:w="57" w:type="dxa"/>
            </w:tcMar>
          </w:tcPr>
          <w:p w:rsidR="00963625" w:rsidRPr="00F26D10" w:rsidRDefault="00963625">
            <w:pPr>
              <w:rPr>
                <w:rFonts w:ascii="Times New Roman" w:hAnsi="Times New Roman" w:cs="Times New Roman"/>
                <w:b/>
                <w:sz w:val="24"/>
                <w:szCs w:val="24"/>
                <w:lang w:val="en-GB"/>
              </w:rPr>
            </w:pPr>
            <w:r w:rsidRPr="00F26D10">
              <w:rPr>
                <w:rFonts w:ascii="Times New Roman" w:hAnsi="Times New Roman" w:cs="Times New Roman"/>
                <w:b/>
                <w:sz w:val="24"/>
                <w:szCs w:val="24"/>
                <w:lang w:val="en-GB"/>
              </w:rPr>
              <w:t>SPECIFICATIONS</w:t>
            </w:r>
          </w:p>
        </w:tc>
        <w:tc>
          <w:tcPr>
            <w:tcW w:w="7357" w:type="dxa"/>
            <w:tcMar>
              <w:top w:w="57" w:type="dxa"/>
              <w:bottom w:w="57" w:type="dxa"/>
            </w:tcMar>
          </w:tcPr>
          <w:p w:rsidR="00963625" w:rsidRPr="00F26D10" w:rsidRDefault="00963625">
            <w:pPr>
              <w:rPr>
                <w:rFonts w:ascii="Times New Roman" w:hAnsi="Times New Roman" w:cs="Times New Roman"/>
                <w:sz w:val="24"/>
                <w:szCs w:val="24"/>
                <w:lang w:val="en-GB"/>
              </w:rPr>
            </w:pPr>
          </w:p>
        </w:tc>
      </w:tr>
      <w:tr w:rsidR="00963625" w:rsidRPr="00111539" w:rsidTr="00963625">
        <w:tc>
          <w:tcPr>
            <w:tcW w:w="2257" w:type="dxa"/>
            <w:gridSpan w:val="3"/>
            <w:tcMar>
              <w:top w:w="57" w:type="dxa"/>
              <w:bottom w:w="57" w:type="dxa"/>
            </w:tcMar>
          </w:tcPr>
          <w:p w:rsidR="00963625" w:rsidRPr="00F26D10" w:rsidRDefault="00963625">
            <w:pPr>
              <w:rPr>
                <w:rFonts w:ascii="Times New Roman" w:hAnsi="Times New Roman" w:cs="Times New Roman"/>
                <w:b/>
                <w:sz w:val="24"/>
                <w:szCs w:val="24"/>
                <w:lang w:val="en-GB"/>
              </w:rPr>
            </w:pPr>
            <w:r w:rsidRPr="00F26D10">
              <w:rPr>
                <w:rFonts w:ascii="Times New Roman" w:hAnsi="Times New Roman" w:cs="Times New Roman"/>
                <w:sz w:val="24"/>
                <w:szCs w:val="24"/>
                <w:lang w:val="en-GB"/>
              </w:rPr>
              <w:t>Indicator definition</w:t>
            </w:r>
          </w:p>
        </w:tc>
        <w:tc>
          <w:tcPr>
            <w:tcW w:w="7357" w:type="dxa"/>
            <w:tcMar>
              <w:top w:w="57" w:type="dxa"/>
              <w:bottom w:w="57" w:type="dxa"/>
            </w:tcMar>
          </w:tcPr>
          <w:p w:rsidR="00963625" w:rsidRPr="00F26D10" w:rsidRDefault="006D4C67" w:rsidP="00B06377">
            <w:pPr>
              <w:pStyle w:val="Prrafodelista"/>
              <w:numPr>
                <w:ilvl w:val="0"/>
                <w:numId w:val="7"/>
              </w:numPr>
              <w:ind w:left="437"/>
              <w:rPr>
                <w:rFonts w:ascii="Times New Roman" w:hAnsi="Times New Roman" w:cs="Times New Roman"/>
                <w:sz w:val="24"/>
                <w:szCs w:val="24"/>
                <w:lang w:val="en-GB"/>
              </w:rPr>
            </w:pPr>
            <w:r w:rsidRPr="00F26D10">
              <w:rPr>
                <w:rFonts w:ascii="Times New Roman" w:hAnsi="Times New Roman" w:cs="Times New Roman"/>
                <w:sz w:val="24"/>
                <w:szCs w:val="24"/>
                <w:lang w:val="en-GB"/>
              </w:rPr>
              <w:t>Number of cruise passenger per port</w:t>
            </w:r>
          </w:p>
          <w:p w:rsidR="006D4C67" w:rsidRPr="00F26D10" w:rsidRDefault="006D4C67" w:rsidP="00B06377">
            <w:pPr>
              <w:pStyle w:val="Prrafodelista"/>
              <w:numPr>
                <w:ilvl w:val="0"/>
                <w:numId w:val="7"/>
              </w:numPr>
              <w:ind w:left="437"/>
              <w:rPr>
                <w:rFonts w:ascii="Times New Roman" w:hAnsi="Times New Roman" w:cs="Times New Roman"/>
                <w:sz w:val="24"/>
                <w:szCs w:val="24"/>
                <w:lang w:val="en-GB"/>
              </w:rPr>
            </w:pPr>
            <w:r w:rsidRPr="00F26D10">
              <w:rPr>
                <w:rFonts w:ascii="Times New Roman" w:hAnsi="Times New Roman" w:cs="Times New Roman"/>
                <w:sz w:val="24"/>
                <w:szCs w:val="24"/>
                <w:lang w:val="en-GB"/>
              </w:rPr>
              <w:t>Trend in number of cruise passengers</w:t>
            </w:r>
          </w:p>
        </w:tc>
      </w:tr>
      <w:tr w:rsidR="00963625" w:rsidRPr="00F26D10" w:rsidTr="00963625">
        <w:tc>
          <w:tcPr>
            <w:tcW w:w="2257" w:type="dxa"/>
            <w:gridSpan w:val="3"/>
            <w:tcBorders>
              <w:bottom w:val="single" w:sz="4" w:space="0" w:color="auto"/>
            </w:tcBorders>
            <w:tcMar>
              <w:top w:w="57" w:type="dxa"/>
              <w:bottom w:w="57" w:type="dxa"/>
            </w:tcMar>
          </w:tcPr>
          <w:p w:rsidR="00963625" w:rsidRPr="00F26D10" w:rsidRDefault="00963625" w:rsidP="000B6BC7">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DPSIR</w:t>
            </w:r>
          </w:p>
        </w:tc>
        <w:tc>
          <w:tcPr>
            <w:tcW w:w="7357" w:type="dxa"/>
            <w:tcBorders>
              <w:bottom w:val="single" w:sz="4" w:space="0" w:color="auto"/>
            </w:tcBorders>
            <w:tcMar>
              <w:top w:w="57" w:type="dxa"/>
              <w:bottom w:w="57" w:type="dxa"/>
            </w:tcMar>
          </w:tcPr>
          <w:p w:rsidR="00963625" w:rsidRPr="00F26D10" w:rsidRDefault="00963625">
            <w:pPr>
              <w:rPr>
                <w:rFonts w:ascii="Times New Roman" w:hAnsi="Times New Roman" w:cs="Times New Roman"/>
                <w:sz w:val="24"/>
                <w:szCs w:val="24"/>
                <w:lang w:val="en-GB"/>
              </w:rPr>
            </w:pPr>
            <w:r w:rsidRPr="00F26D10">
              <w:rPr>
                <w:rFonts w:ascii="Times New Roman" w:hAnsi="Times New Roman" w:cs="Times New Roman"/>
                <w:sz w:val="24"/>
                <w:szCs w:val="24"/>
                <w:lang w:val="en-GB"/>
              </w:rPr>
              <w:t>P</w:t>
            </w:r>
          </w:p>
        </w:tc>
      </w:tr>
      <w:tr w:rsidR="00963625" w:rsidRPr="00F26D10" w:rsidTr="00963625">
        <w:tc>
          <w:tcPr>
            <w:tcW w:w="2257" w:type="dxa"/>
            <w:gridSpan w:val="3"/>
            <w:tcBorders>
              <w:bottom w:val="single" w:sz="4" w:space="0" w:color="C4BC96" w:themeColor="background2" w:themeShade="BF"/>
            </w:tcBorders>
            <w:tcMar>
              <w:top w:w="57" w:type="dxa"/>
              <w:bottom w:w="57" w:type="dxa"/>
            </w:tcMar>
          </w:tcPr>
          <w:p w:rsidR="00963625" w:rsidRPr="00F26D10" w:rsidRDefault="00963625" w:rsidP="00B7146A">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Justification</w:t>
            </w:r>
          </w:p>
        </w:tc>
        <w:tc>
          <w:tcPr>
            <w:tcW w:w="7357" w:type="dxa"/>
            <w:tcBorders>
              <w:bottom w:val="single" w:sz="4" w:space="0" w:color="C4BC96" w:themeColor="background2" w:themeShade="BF"/>
            </w:tcBorders>
            <w:tcMar>
              <w:top w:w="57" w:type="dxa"/>
              <w:bottom w:w="57" w:type="dxa"/>
            </w:tcMar>
          </w:tcPr>
          <w:p w:rsidR="00963625" w:rsidRPr="00F26D10" w:rsidRDefault="00963625" w:rsidP="00FA63EE">
            <w:pPr>
              <w:rPr>
                <w:rFonts w:ascii="Times New Roman" w:hAnsi="Times New Roman" w:cs="Times New Roman"/>
                <w:sz w:val="24"/>
                <w:szCs w:val="24"/>
                <w:lang w:val="en-GB"/>
              </w:rPr>
            </w:pPr>
          </w:p>
        </w:tc>
      </w:tr>
      <w:tr w:rsidR="005E4498" w:rsidRPr="00111539" w:rsidTr="00963625">
        <w:tc>
          <w:tcPr>
            <w:tcW w:w="302" w:type="dxa"/>
            <w:gridSpan w:val="2"/>
            <w:tcBorders>
              <w:top w:val="single" w:sz="4" w:space="0" w:color="C4BC96" w:themeColor="background2" w:themeShade="BF"/>
              <w:bottom w:val="nil"/>
              <w:right w:val="nil"/>
            </w:tcBorders>
            <w:tcMar>
              <w:top w:w="57" w:type="dxa"/>
              <w:bottom w:w="57" w:type="dxa"/>
            </w:tcMar>
          </w:tcPr>
          <w:p w:rsidR="005E4498" w:rsidRPr="00F26D10" w:rsidRDefault="005E4498" w:rsidP="00B7146A">
            <w:pPr>
              <w:ind w:left="284"/>
              <w:rPr>
                <w:rFonts w:ascii="Times New Roman" w:hAnsi="Times New Roman" w:cs="Times New Roman"/>
                <w:sz w:val="24"/>
                <w:szCs w:val="24"/>
                <w:lang w:val="en-GB"/>
              </w:rPr>
            </w:pPr>
          </w:p>
        </w:tc>
        <w:tc>
          <w:tcPr>
            <w:tcW w:w="1955" w:type="dxa"/>
            <w:tcBorders>
              <w:top w:val="single" w:sz="4" w:space="0" w:color="C4BC96" w:themeColor="background2" w:themeShade="BF"/>
              <w:left w:val="nil"/>
            </w:tcBorders>
          </w:tcPr>
          <w:p w:rsidR="005E4498" w:rsidRPr="00F26D10" w:rsidRDefault="005E4498" w:rsidP="009F205C">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Rationale</w:t>
            </w:r>
          </w:p>
        </w:tc>
        <w:tc>
          <w:tcPr>
            <w:tcW w:w="7357" w:type="dxa"/>
            <w:tcBorders>
              <w:top w:val="single" w:sz="4" w:space="0" w:color="C4BC96" w:themeColor="background2" w:themeShade="BF"/>
            </w:tcBorders>
            <w:tcMar>
              <w:top w:w="57" w:type="dxa"/>
              <w:bottom w:w="57" w:type="dxa"/>
            </w:tcMar>
          </w:tcPr>
          <w:p w:rsidR="005E4498" w:rsidRPr="00F26D10" w:rsidRDefault="005E4498" w:rsidP="00665722">
            <w:pPr>
              <w:jc w:val="both"/>
              <w:rPr>
                <w:rFonts w:ascii="Times New Roman" w:hAnsi="Times New Roman" w:cs="Times New Roman"/>
                <w:sz w:val="24"/>
                <w:szCs w:val="24"/>
                <w:lang w:val="en-GB"/>
              </w:rPr>
            </w:pPr>
            <w:r w:rsidRPr="00F26D10">
              <w:rPr>
                <w:rFonts w:ascii="Times New Roman" w:hAnsi="Times New Roman" w:cs="Times New Roman"/>
                <w:sz w:val="24"/>
                <w:szCs w:val="24"/>
                <w:lang w:val="en-GB"/>
              </w:rPr>
              <w:t xml:space="preserve">Since the cruise industry adds significant economic value to EU Member States, cruise tourism is an important sector for coastal regions and islands to attract. Nevertheless, it also leads to unwanted externalities, as cruise ships create air emissions, waste and noise in EU ports and seas. The Communication ‘An integrated Maritime Policy for the European Union’ (COM (2007) 575 final) stresses the importance of reconciling economic development, environmental sustainability and quality of life within coastal regions and islands. Due to the lack of accessible data on cruise ship routes, the number of passengers visiting or embarking/disembarking is a reasonable approximation of the pressure cruise tourism is exerting to the ports and the surrounding areas in terms of air pollution, waste and noise. </w:t>
            </w:r>
          </w:p>
        </w:tc>
      </w:tr>
      <w:tr w:rsidR="005E4498" w:rsidRPr="00F26D10" w:rsidTr="00963625">
        <w:tc>
          <w:tcPr>
            <w:tcW w:w="302" w:type="dxa"/>
            <w:gridSpan w:val="2"/>
            <w:tcBorders>
              <w:top w:val="nil"/>
              <w:right w:val="nil"/>
            </w:tcBorders>
            <w:tcMar>
              <w:top w:w="57" w:type="dxa"/>
              <w:bottom w:w="57" w:type="dxa"/>
            </w:tcMar>
          </w:tcPr>
          <w:p w:rsidR="005E4498" w:rsidRPr="00F26D10" w:rsidRDefault="005E4498" w:rsidP="000B6BC7">
            <w:pPr>
              <w:ind w:left="284"/>
              <w:rPr>
                <w:rFonts w:ascii="Times New Roman" w:hAnsi="Times New Roman" w:cs="Times New Roman"/>
                <w:sz w:val="24"/>
                <w:szCs w:val="24"/>
                <w:lang w:val="en-GB"/>
              </w:rPr>
            </w:pPr>
          </w:p>
        </w:tc>
        <w:tc>
          <w:tcPr>
            <w:tcW w:w="1955" w:type="dxa"/>
            <w:tcBorders>
              <w:left w:val="nil"/>
            </w:tcBorders>
          </w:tcPr>
          <w:p w:rsidR="005E4498" w:rsidRPr="00F26D10" w:rsidRDefault="005E4498" w:rsidP="009F205C">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References</w:t>
            </w:r>
          </w:p>
        </w:tc>
        <w:tc>
          <w:tcPr>
            <w:tcW w:w="7357" w:type="dxa"/>
            <w:tcMar>
              <w:top w:w="57" w:type="dxa"/>
              <w:bottom w:w="57" w:type="dxa"/>
            </w:tcMar>
          </w:tcPr>
          <w:p w:rsidR="005E4498" w:rsidRPr="00F26D10" w:rsidRDefault="005E4498" w:rsidP="00665722">
            <w:pPr>
              <w:jc w:val="both"/>
              <w:rPr>
                <w:rFonts w:ascii="Times New Roman" w:hAnsi="Times New Roman" w:cs="Times New Roman"/>
                <w:sz w:val="24"/>
                <w:szCs w:val="24"/>
                <w:lang w:val="en-US"/>
              </w:rPr>
            </w:pPr>
            <w:r w:rsidRPr="00F26D10">
              <w:rPr>
                <w:rFonts w:ascii="Times New Roman" w:hAnsi="Times New Roman" w:cs="Times New Roman"/>
                <w:sz w:val="24"/>
                <w:szCs w:val="24"/>
                <w:lang w:val="en-US"/>
              </w:rPr>
              <w:t xml:space="preserve">DG Mare (2009): Tourist facilities in ports. Growth opportunities for the European maritime economy: economic and environmentally sustainable development of tourist facilities in ports. Study report. </w:t>
            </w:r>
          </w:p>
          <w:p w:rsidR="001D55CC" w:rsidRPr="00F26D10" w:rsidRDefault="001D55CC" w:rsidP="00665722">
            <w:pPr>
              <w:jc w:val="both"/>
              <w:rPr>
                <w:rFonts w:ascii="Times New Roman" w:hAnsi="Times New Roman" w:cs="Times New Roman"/>
                <w:sz w:val="24"/>
                <w:szCs w:val="24"/>
                <w:lang w:val="en-US"/>
              </w:rPr>
            </w:pPr>
            <w:r w:rsidRPr="00F26D10">
              <w:rPr>
                <w:rFonts w:ascii="Times New Roman" w:hAnsi="Times New Roman" w:cs="Times New Roman"/>
                <w:sz w:val="24"/>
                <w:szCs w:val="24"/>
                <w:lang w:val="en-US"/>
              </w:rPr>
              <w:t>Johnson, D. (2002): Environmentally sustai</w:t>
            </w:r>
            <w:r w:rsidR="00665722" w:rsidRPr="00F26D10">
              <w:rPr>
                <w:rFonts w:ascii="Times New Roman" w:hAnsi="Times New Roman" w:cs="Times New Roman"/>
                <w:sz w:val="24"/>
                <w:szCs w:val="24"/>
                <w:lang w:val="en-US"/>
              </w:rPr>
              <w:t xml:space="preserve">nable cruise tourism: a reality </w:t>
            </w:r>
            <w:r w:rsidRPr="00F26D10">
              <w:rPr>
                <w:rFonts w:ascii="Times New Roman" w:hAnsi="Times New Roman" w:cs="Times New Roman"/>
                <w:sz w:val="24"/>
                <w:szCs w:val="24"/>
                <w:lang w:val="en-US"/>
              </w:rPr>
              <w:t>check. Marine Policy 26 (4): 261-270.</w:t>
            </w:r>
          </w:p>
          <w:p w:rsidR="001D55CC" w:rsidRPr="00F26D10" w:rsidRDefault="001D55CC" w:rsidP="00665722">
            <w:pPr>
              <w:jc w:val="both"/>
              <w:rPr>
                <w:rFonts w:ascii="Times New Roman" w:hAnsi="Times New Roman" w:cs="Times New Roman"/>
                <w:sz w:val="24"/>
                <w:szCs w:val="24"/>
                <w:lang w:val="en-US"/>
              </w:rPr>
            </w:pPr>
            <w:proofErr w:type="spellStart"/>
            <w:r w:rsidRPr="00F26D10">
              <w:rPr>
                <w:rFonts w:ascii="Times New Roman" w:hAnsi="Times New Roman" w:cs="Times New Roman"/>
                <w:sz w:val="24"/>
                <w:szCs w:val="24"/>
                <w:lang w:val="en-US"/>
              </w:rPr>
              <w:t>Maragkogianni</w:t>
            </w:r>
            <w:proofErr w:type="spellEnd"/>
            <w:r w:rsidRPr="00F26D10">
              <w:rPr>
                <w:rFonts w:ascii="Times New Roman" w:hAnsi="Times New Roman" w:cs="Times New Roman"/>
                <w:sz w:val="24"/>
                <w:szCs w:val="24"/>
                <w:lang w:val="en-US"/>
              </w:rPr>
              <w:t xml:space="preserve">, A. &amp; </w:t>
            </w:r>
            <w:proofErr w:type="spellStart"/>
            <w:r w:rsidRPr="00F26D10">
              <w:rPr>
                <w:rFonts w:ascii="Times New Roman" w:hAnsi="Times New Roman" w:cs="Times New Roman"/>
                <w:sz w:val="24"/>
                <w:szCs w:val="24"/>
                <w:lang w:val="en-US"/>
              </w:rPr>
              <w:t>Papaefthimiou</w:t>
            </w:r>
            <w:proofErr w:type="spellEnd"/>
            <w:r w:rsidRPr="00F26D10">
              <w:rPr>
                <w:rFonts w:ascii="Times New Roman" w:hAnsi="Times New Roman" w:cs="Times New Roman"/>
                <w:sz w:val="24"/>
                <w:szCs w:val="24"/>
                <w:lang w:val="en-US"/>
              </w:rPr>
              <w:t>, S. (2015): Evaluating the social cost of cruise ships air emissions in major ports of Greece. Transportation Research Part D: Transport and Environment 36: 10</w:t>
            </w:r>
            <w:r w:rsidR="006B7EB1" w:rsidRPr="00F26D10">
              <w:rPr>
                <w:rFonts w:ascii="Times New Roman" w:hAnsi="Times New Roman" w:cs="Times New Roman"/>
                <w:sz w:val="24"/>
                <w:szCs w:val="24"/>
                <w:lang w:val="en-US"/>
              </w:rPr>
              <w:t>-</w:t>
            </w:r>
            <w:r w:rsidRPr="00F26D10">
              <w:rPr>
                <w:rFonts w:ascii="Times New Roman" w:hAnsi="Times New Roman" w:cs="Times New Roman"/>
                <w:sz w:val="24"/>
                <w:szCs w:val="24"/>
                <w:lang w:val="en-US"/>
              </w:rPr>
              <w:t>17.</w:t>
            </w:r>
          </w:p>
        </w:tc>
      </w:tr>
      <w:tr w:rsidR="005E4498" w:rsidRPr="00F26D10" w:rsidTr="00963625">
        <w:tc>
          <w:tcPr>
            <w:tcW w:w="2257" w:type="dxa"/>
            <w:gridSpan w:val="3"/>
            <w:tcBorders>
              <w:bottom w:val="single" w:sz="4" w:space="0" w:color="C4BC96" w:themeColor="background2" w:themeShade="BF"/>
            </w:tcBorders>
            <w:tcMar>
              <w:top w:w="57" w:type="dxa"/>
              <w:bottom w:w="57" w:type="dxa"/>
            </w:tcMar>
          </w:tcPr>
          <w:p w:rsidR="005E4498" w:rsidRPr="00F26D10" w:rsidRDefault="005E4498" w:rsidP="000B6BC7">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Policy context</w:t>
            </w:r>
          </w:p>
        </w:tc>
        <w:tc>
          <w:tcPr>
            <w:tcW w:w="7357" w:type="dxa"/>
            <w:tcBorders>
              <w:bottom w:val="single" w:sz="4" w:space="0" w:color="C4BC96" w:themeColor="background2" w:themeShade="BF"/>
            </w:tcBorders>
            <w:tcMar>
              <w:top w:w="57" w:type="dxa"/>
              <w:bottom w:w="57" w:type="dxa"/>
            </w:tcMar>
          </w:tcPr>
          <w:p w:rsidR="005E4498" w:rsidRPr="00F26D10" w:rsidRDefault="005E4498" w:rsidP="00F000DC">
            <w:pPr>
              <w:pStyle w:val="Prrafodelista"/>
              <w:ind w:left="295"/>
              <w:rPr>
                <w:lang w:val="en-GB"/>
              </w:rPr>
            </w:pPr>
          </w:p>
        </w:tc>
      </w:tr>
      <w:tr w:rsidR="005E4498" w:rsidRPr="00111539" w:rsidTr="00963625">
        <w:tc>
          <w:tcPr>
            <w:tcW w:w="302" w:type="dxa"/>
            <w:gridSpan w:val="2"/>
            <w:tcBorders>
              <w:top w:val="single" w:sz="4" w:space="0" w:color="C4BC96" w:themeColor="background2" w:themeShade="BF"/>
              <w:bottom w:val="nil"/>
              <w:right w:val="nil"/>
            </w:tcBorders>
            <w:tcMar>
              <w:top w:w="57" w:type="dxa"/>
              <w:bottom w:w="57" w:type="dxa"/>
            </w:tcMar>
          </w:tcPr>
          <w:p w:rsidR="005E4498" w:rsidRPr="00F26D10" w:rsidRDefault="005E4498" w:rsidP="000B6BC7">
            <w:pPr>
              <w:ind w:left="284"/>
              <w:rPr>
                <w:rFonts w:ascii="Times New Roman" w:hAnsi="Times New Roman" w:cs="Times New Roman"/>
                <w:sz w:val="24"/>
                <w:szCs w:val="24"/>
                <w:lang w:val="en-GB"/>
              </w:rPr>
            </w:pPr>
          </w:p>
        </w:tc>
        <w:tc>
          <w:tcPr>
            <w:tcW w:w="1955" w:type="dxa"/>
            <w:tcBorders>
              <w:top w:val="single" w:sz="4" w:space="0" w:color="C4BC96" w:themeColor="background2" w:themeShade="BF"/>
              <w:left w:val="nil"/>
            </w:tcBorders>
          </w:tcPr>
          <w:p w:rsidR="005E4498" w:rsidRPr="00F26D10" w:rsidRDefault="005E4498" w:rsidP="00FA63EE">
            <w:pPr>
              <w:ind w:left="59"/>
              <w:rPr>
                <w:rFonts w:ascii="Times New Roman" w:hAnsi="Times New Roman" w:cs="Times New Roman"/>
                <w:sz w:val="24"/>
                <w:szCs w:val="24"/>
                <w:lang w:val="en-GB"/>
              </w:rPr>
            </w:pPr>
            <w:r w:rsidRPr="00F26D10">
              <w:rPr>
                <w:rFonts w:ascii="Times New Roman" w:hAnsi="Times New Roman" w:cs="Times New Roman"/>
                <w:sz w:val="24"/>
                <w:szCs w:val="24"/>
                <w:lang w:val="en-GB"/>
              </w:rPr>
              <w:t>Policy context</w:t>
            </w:r>
          </w:p>
        </w:tc>
        <w:tc>
          <w:tcPr>
            <w:tcW w:w="7357" w:type="dxa"/>
            <w:tcBorders>
              <w:top w:val="single" w:sz="4" w:space="0" w:color="C4BC96" w:themeColor="background2" w:themeShade="BF"/>
            </w:tcBorders>
            <w:tcMar>
              <w:top w:w="57" w:type="dxa"/>
              <w:bottom w:w="57" w:type="dxa"/>
            </w:tcMar>
          </w:tcPr>
          <w:p w:rsidR="00365DD2" w:rsidRPr="00F26D10" w:rsidRDefault="00365DD2" w:rsidP="00365DD2">
            <w:pPr>
              <w:pStyle w:val="Prrafodelista"/>
              <w:numPr>
                <w:ilvl w:val="0"/>
                <w:numId w:val="5"/>
              </w:numPr>
              <w:ind w:left="295" w:hanging="284"/>
              <w:rPr>
                <w:rFonts w:ascii="Times New Roman" w:hAnsi="Times New Roman" w:cs="Times New Roman"/>
                <w:sz w:val="24"/>
                <w:szCs w:val="24"/>
                <w:lang w:val="en-GB"/>
              </w:rPr>
            </w:pPr>
            <w:r w:rsidRPr="00F26D10">
              <w:rPr>
                <w:rFonts w:ascii="Times New Roman" w:hAnsi="Times New Roman" w:cs="Times New Roman"/>
                <w:sz w:val="24"/>
                <w:szCs w:val="24"/>
                <w:lang w:val="en-GB"/>
              </w:rPr>
              <w:t xml:space="preserve">European maritime policy to reconcile economic growth and </w:t>
            </w:r>
            <w:r w:rsidRPr="00F26D10">
              <w:rPr>
                <w:rFonts w:ascii="Times New Roman" w:hAnsi="Times New Roman" w:cs="Times New Roman"/>
                <w:sz w:val="24"/>
                <w:szCs w:val="24"/>
                <w:lang w:val="en-GB"/>
              </w:rPr>
              <w:lastRenderedPageBreak/>
              <w:t>environmental sustainability (Blue Growth)</w:t>
            </w:r>
          </w:p>
          <w:p w:rsidR="00365DD2" w:rsidRPr="00F26D10" w:rsidRDefault="00365DD2" w:rsidP="00365DD2">
            <w:pPr>
              <w:pStyle w:val="Prrafodelista"/>
              <w:numPr>
                <w:ilvl w:val="0"/>
                <w:numId w:val="5"/>
              </w:numPr>
              <w:ind w:left="295" w:hanging="284"/>
              <w:rPr>
                <w:rFonts w:ascii="Times New Roman" w:hAnsi="Times New Roman" w:cs="Times New Roman"/>
                <w:sz w:val="24"/>
                <w:szCs w:val="24"/>
                <w:lang w:val="en-GB"/>
              </w:rPr>
            </w:pPr>
            <w:r w:rsidRPr="00F26D10">
              <w:rPr>
                <w:rFonts w:ascii="Times New Roman" w:hAnsi="Times New Roman" w:cs="Times New Roman"/>
                <w:sz w:val="24"/>
                <w:szCs w:val="24"/>
                <w:lang w:val="en-GB"/>
              </w:rPr>
              <w:t xml:space="preserve">International efforts to reduce air emissions and improve waste treatment for cruise ships. </w:t>
            </w:r>
          </w:p>
        </w:tc>
      </w:tr>
      <w:tr w:rsidR="005E4498" w:rsidRPr="00111539" w:rsidTr="00963625">
        <w:tc>
          <w:tcPr>
            <w:tcW w:w="302" w:type="dxa"/>
            <w:gridSpan w:val="2"/>
            <w:tcBorders>
              <w:top w:val="nil"/>
              <w:bottom w:val="nil"/>
              <w:right w:val="nil"/>
            </w:tcBorders>
            <w:tcMar>
              <w:top w:w="57" w:type="dxa"/>
              <w:bottom w:w="57" w:type="dxa"/>
            </w:tcMar>
          </w:tcPr>
          <w:p w:rsidR="005E4498" w:rsidRPr="00F26D10" w:rsidRDefault="005E4498" w:rsidP="000B6BC7">
            <w:pPr>
              <w:ind w:left="284"/>
              <w:rPr>
                <w:rFonts w:ascii="Times New Roman" w:hAnsi="Times New Roman" w:cs="Times New Roman"/>
                <w:sz w:val="24"/>
                <w:szCs w:val="24"/>
                <w:lang w:val="en-GB"/>
              </w:rPr>
            </w:pPr>
          </w:p>
        </w:tc>
        <w:tc>
          <w:tcPr>
            <w:tcW w:w="1955" w:type="dxa"/>
            <w:tcBorders>
              <w:left w:val="nil"/>
            </w:tcBorders>
          </w:tcPr>
          <w:p w:rsidR="005E4498" w:rsidRPr="00F26D10" w:rsidRDefault="005E4498" w:rsidP="00FA63EE">
            <w:pPr>
              <w:ind w:left="59"/>
              <w:rPr>
                <w:rFonts w:ascii="Times New Roman" w:hAnsi="Times New Roman" w:cs="Times New Roman"/>
                <w:sz w:val="24"/>
                <w:szCs w:val="24"/>
                <w:lang w:val="en-GB"/>
              </w:rPr>
            </w:pPr>
            <w:r w:rsidRPr="00F26D10">
              <w:rPr>
                <w:rFonts w:ascii="Times New Roman" w:hAnsi="Times New Roman" w:cs="Times New Roman"/>
                <w:sz w:val="24"/>
                <w:szCs w:val="24"/>
                <w:lang w:val="en-GB"/>
              </w:rPr>
              <w:t>Targets</w:t>
            </w:r>
          </w:p>
        </w:tc>
        <w:tc>
          <w:tcPr>
            <w:tcW w:w="7357" w:type="dxa"/>
            <w:tcMar>
              <w:top w:w="57" w:type="dxa"/>
              <w:bottom w:w="57" w:type="dxa"/>
            </w:tcMar>
          </w:tcPr>
          <w:p w:rsidR="00365DD2" w:rsidRPr="00F26D10" w:rsidRDefault="00365DD2" w:rsidP="00365DD2">
            <w:pPr>
              <w:pStyle w:val="Prrafodelista"/>
              <w:numPr>
                <w:ilvl w:val="0"/>
                <w:numId w:val="5"/>
              </w:numPr>
              <w:ind w:left="295" w:hanging="284"/>
              <w:rPr>
                <w:rFonts w:ascii="Times New Roman" w:hAnsi="Times New Roman" w:cs="Times New Roman"/>
                <w:sz w:val="24"/>
                <w:szCs w:val="24"/>
                <w:lang w:val="en-GB"/>
              </w:rPr>
            </w:pPr>
            <w:r w:rsidRPr="00F26D10">
              <w:rPr>
                <w:rFonts w:ascii="Times New Roman" w:hAnsi="Times New Roman" w:cs="Times New Roman"/>
                <w:sz w:val="24"/>
                <w:szCs w:val="24"/>
                <w:lang w:val="en-GB"/>
              </w:rPr>
              <w:t>ships must use 0.1% sulphurous fuel at berth</w:t>
            </w:r>
          </w:p>
          <w:p w:rsidR="00365DD2" w:rsidRPr="00F26D10" w:rsidRDefault="00365DD2" w:rsidP="00365DD2">
            <w:pPr>
              <w:pStyle w:val="Prrafodelista"/>
              <w:numPr>
                <w:ilvl w:val="0"/>
                <w:numId w:val="5"/>
              </w:numPr>
              <w:ind w:left="295" w:hanging="284"/>
              <w:rPr>
                <w:rFonts w:ascii="Times New Roman" w:hAnsi="Times New Roman" w:cs="Times New Roman"/>
                <w:sz w:val="24"/>
                <w:szCs w:val="24"/>
                <w:lang w:val="en-GB"/>
              </w:rPr>
            </w:pPr>
            <w:r w:rsidRPr="00F26D10">
              <w:rPr>
                <w:rFonts w:ascii="Times New Roman" w:hAnsi="Times New Roman" w:cs="Times New Roman"/>
                <w:sz w:val="24"/>
                <w:szCs w:val="24"/>
                <w:lang w:val="en-GB"/>
              </w:rPr>
              <w:t>minimize airborne emissions from ships (</w:t>
            </w:r>
            <w:proofErr w:type="spellStart"/>
            <w:r w:rsidRPr="00F26D10">
              <w:rPr>
                <w:rFonts w:ascii="Times New Roman" w:hAnsi="Times New Roman" w:cs="Times New Roman"/>
                <w:sz w:val="24"/>
                <w:szCs w:val="24"/>
                <w:lang w:val="en-GB"/>
              </w:rPr>
              <w:t>SOx</w:t>
            </w:r>
            <w:proofErr w:type="spellEnd"/>
            <w:r w:rsidRPr="00F26D10">
              <w:rPr>
                <w:rFonts w:ascii="Times New Roman" w:hAnsi="Times New Roman" w:cs="Times New Roman"/>
                <w:sz w:val="24"/>
                <w:szCs w:val="24"/>
                <w:lang w:val="en-GB"/>
              </w:rPr>
              <w:t>, NOx, ODS, VOC shipboard incineration</w:t>
            </w:r>
          </w:p>
        </w:tc>
      </w:tr>
      <w:tr w:rsidR="005E4498" w:rsidRPr="00111539" w:rsidTr="00963625">
        <w:tc>
          <w:tcPr>
            <w:tcW w:w="302" w:type="dxa"/>
            <w:gridSpan w:val="2"/>
            <w:tcBorders>
              <w:top w:val="nil"/>
              <w:bottom w:val="single" w:sz="4" w:space="0" w:color="auto"/>
              <w:right w:val="nil"/>
            </w:tcBorders>
            <w:tcMar>
              <w:top w:w="57" w:type="dxa"/>
              <w:bottom w:w="57" w:type="dxa"/>
            </w:tcMar>
          </w:tcPr>
          <w:p w:rsidR="005E4498" w:rsidRPr="00F26D10" w:rsidRDefault="005E4498" w:rsidP="000B6BC7">
            <w:pPr>
              <w:ind w:left="284"/>
              <w:rPr>
                <w:rFonts w:ascii="Times New Roman" w:hAnsi="Times New Roman" w:cs="Times New Roman"/>
                <w:sz w:val="24"/>
                <w:szCs w:val="24"/>
                <w:lang w:val="en-GB"/>
              </w:rPr>
            </w:pPr>
          </w:p>
        </w:tc>
        <w:tc>
          <w:tcPr>
            <w:tcW w:w="1955" w:type="dxa"/>
            <w:tcBorders>
              <w:left w:val="nil"/>
              <w:bottom w:val="single" w:sz="4" w:space="0" w:color="auto"/>
            </w:tcBorders>
          </w:tcPr>
          <w:p w:rsidR="005E4498" w:rsidRPr="00F26D10" w:rsidRDefault="005E4498" w:rsidP="00FA63EE">
            <w:pPr>
              <w:ind w:left="59"/>
              <w:rPr>
                <w:rFonts w:ascii="Times New Roman" w:hAnsi="Times New Roman" w:cs="Times New Roman"/>
                <w:sz w:val="24"/>
                <w:szCs w:val="24"/>
                <w:lang w:val="en-GB"/>
              </w:rPr>
            </w:pPr>
            <w:r w:rsidRPr="00F26D10">
              <w:rPr>
                <w:rFonts w:ascii="Times New Roman" w:hAnsi="Times New Roman" w:cs="Times New Roman"/>
                <w:sz w:val="24"/>
                <w:szCs w:val="24"/>
                <w:lang w:val="en-GB"/>
              </w:rPr>
              <w:t>Related policy documents</w:t>
            </w:r>
          </w:p>
        </w:tc>
        <w:tc>
          <w:tcPr>
            <w:tcW w:w="7357" w:type="dxa"/>
            <w:tcBorders>
              <w:bottom w:val="single" w:sz="4" w:space="0" w:color="auto"/>
            </w:tcBorders>
            <w:tcMar>
              <w:top w:w="57" w:type="dxa"/>
              <w:bottom w:w="57" w:type="dxa"/>
            </w:tcMar>
          </w:tcPr>
          <w:p w:rsidR="00365DD2" w:rsidRPr="00F26D10" w:rsidRDefault="00365DD2" w:rsidP="00365DD2">
            <w:pPr>
              <w:pStyle w:val="Prrafodelista"/>
              <w:numPr>
                <w:ilvl w:val="0"/>
                <w:numId w:val="5"/>
              </w:numPr>
              <w:ind w:left="295" w:hanging="284"/>
              <w:rPr>
                <w:rFonts w:ascii="Times New Roman" w:hAnsi="Times New Roman" w:cs="Times New Roman"/>
                <w:sz w:val="24"/>
                <w:szCs w:val="24"/>
                <w:lang w:val="en-GB"/>
              </w:rPr>
            </w:pPr>
            <w:r w:rsidRPr="00F26D10">
              <w:rPr>
                <w:rFonts w:ascii="Times New Roman" w:hAnsi="Times New Roman" w:cs="Times New Roman"/>
                <w:sz w:val="24"/>
                <w:szCs w:val="24"/>
                <w:lang w:val="en-GB"/>
              </w:rPr>
              <w:t>Communication ‘An integrated Maritime Policy for the European Union’ (COM (2007) 575 final)</w:t>
            </w:r>
          </w:p>
          <w:p w:rsidR="00365DD2" w:rsidRPr="00F26D10" w:rsidRDefault="00365DD2" w:rsidP="00365DD2">
            <w:pPr>
              <w:pStyle w:val="Prrafodelista"/>
              <w:numPr>
                <w:ilvl w:val="0"/>
                <w:numId w:val="5"/>
              </w:numPr>
              <w:ind w:left="295" w:hanging="284"/>
              <w:rPr>
                <w:rFonts w:ascii="Times New Roman" w:hAnsi="Times New Roman" w:cs="Times New Roman"/>
                <w:sz w:val="24"/>
                <w:szCs w:val="24"/>
                <w:lang w:val="en-GB"/>
              </w:rPr>
            </w:pPr>
            <w:r w:rsidRPr="00F26D10">
              <w:rPr>
                <w:rFonts w:ascii="Times New Roman" w:hAnsi="Times New Roman" w:cs="Times New Roman"/>
                <w:sz w:val="24"/>
                <w:szCs w:val="24"/>
                <w:lang w:val="en-GB"/>
              </w:rPr>
              <w:t xml:space="preserve">EC Directive 2005/33/EC “Sulphur content of marine fuels” </w:t>
            </w:r>
          </w:p>
          <w:p w:rsidR="005E4498" w:rsidRPr="00F26D10" w:rsidRDefault="00365DD2" w:rsidP="00365DD2">
            <w:pPr>
              <w:pStyle w:val="Prrafodelista"/>
              <w:numPr>
                <w:ilvl w:val="0"/>
                <w:numId w:val="5"/>
              </w:numPr>
              <w:ind w:left="295" w:hanging="284"/>
              <w:rPr>
                <w:rFonts w:ascii="Times New Roman" w:hAnsi="Times New Roman" w:cs="Times New Roman"/>
                <w:sz w:val="24"/>
                <w:szCs w:val="24"/>
                <w:lang w:val="en-GB"/>
              </w:rPr>
            </w:pPr>
            <w:r w:rsidRPr="00F26D10">
              <w:rPr>
                <w:rFonts w:ascii="Times New Roman" w:hAnsi="Times New Roman" w:cs="Times New Roman"/>
                <w:sz w:val="24"/>
                <w:szCs w:val="24"/>
                <w:lang w:val="en-GB"/>
              </w:rPr>
              <w:t>IMO regulations for the Prevention of Air Pollution from Ships”</w:t>
            </w:r>
          </w:p>
        </w:tc>
      </w:tr>
      <w:tr w:rsidR="005E4498" w:rsidRPr="00F26D10" w:rsidTr="00963625">
        <w:tc>
          <w:tcPr>
            <w:tcW w:w="2257" w:type="dxa"/>
            <w:gridSpan w:val="3"/>
            <w:tcBorders>
              <w:bottom w:val="single" w:sz="4" w:space="0" w:color="C4BC96" w:themeColor="background2" w:themeShade="BF"/>
            </w:tcBorders>
            <w:tcMar>
              <w:top w:w="57" w:type="dxa"/>
              <w:bottom w:w="57" w:type="dxa"/>
            </w:tcMar>
          </w:tcPr>
          <w:p w:rsidR="005E4498" w:rsidRPr="00F26D10" w:rsidRDefault="005E4498" w:rsidP="000B6BC7">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 xml:space="preserve"> Methodology</w:t>
            </w:r>
          </w:p>
        </w:tc>
        <w:tc>
          <w:tcPr>
            <w:tcW w:w="7357" w:type="dxa"/>
            <w:tcBorders>
              <w:bottom w:val="single" w:sz="4" w:space="0" w:color="C4BC96" w:themeColor="background2" w:themeShade="BF"/>
            </w:tcBorders>
            <w:tcMar>
              <w:top w:w="57" w:type="dxa"/>
              <w:bottom w:w="57" w:type="dxa"/>
            </w:tcMar>
          </w:tcPr>
          <w:p w:rsidR="005E4498" w:rsidRPr="00F26D10" w:rsidRDefault="005E4498">
            <w:pPr>
              <w:rPr>
                <w:rFonts w:ascii="Times New Roman" w:hAnsi="Times New Roman" w:cs="Times New Roman"/>
                <w:sz w:val="24"/>
                <w:szCs w:val="24"/>
                <w:lang w:val="en-GB"/>
              </w:rPr>
            </w:pPr>
          </w:p>
        </w:tc>
      </w:tr>
      <w:tr w:rsidR="005E4498" w:rsidRPr="00111539" w:rsidTr="00963625">
        <w:tc>
          <w:tcPr>
            <w:tcW w:w="277" w:type="dxa"/>
            <w:tcBorders>
              <w:top w:val="single" w:sz="4" w:space="0" w:color="C4BC96" w:themeColor="background2" w:themeShade="BF"/>
              <w:bottom w:val="nil"/>
              <w:right w:val="nil"/>
            </w:tcBorders>
            <w:tcMar>
              <w:top w:w="57" w:type="dxa"/>
              <w:bottom w:w="57" w:type="dxa"/>
            </w:tcMar>
          </w:tcPr>
          <w:p w:rsidR="005E4498" w:rsidRPr="00F26D10" w:rsidRDefault="005E4498" w:rsidP="000B6BC7">
            <w:pPr>
              <w:ind w:left="284"/>
              <w:rPr>
                <w:rFonts w:ascii="Times New Roman" w:hAnsi="Times New Roman" w:cs="Times New Roman"/>
                <w:sz w:val="24"/>
                <w:szCs w:val="24"/>
                <w:lang w:val="en-GB"/>
              </w:rPr>
            </w:pPr>
          </w:p>
        </w:tc>
        <w:tc>
          <w:tcPr>
            <w:tcW w:w="1980" w:type="dxa"/>
            <w:gridSpan w:val="2"/>
            <w:tcBorders>
              <w:top w:val="single" w:sz="4" w:space="0" w:color="C4BC96" w:themeColor="background2" w:themeShade="BF"/>
              <w:left w:val="nil"/>
            </w:tcBorders>
          </w:tcPr>
          <w:p w:rsidR="005E4498" w:rsidRPr="00F26D10" w:rsidRDefault="005E4498" w:rsidP="000B6BC7">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Methodology for indicator calculation</w:t>
            </w:r>
          </w:p>
        </w:tc>
        <w:tc>
          <w:tcPr>
            <w:tcW w:w="7357" w:type="dxa"/>
            <w:tcBorders>
              <w:top w:val="single" w:sz="4" w:space="0" w:color="C4BC96" w:themeColor="background2" w:themeShade="BF"/>
            </w:tcBorders>
            <w:tcMar>
              <w:top w:w="57" w:type="dxa"/>
              <w:bottom w:w="57" w:type="dxa"/>
            </w:tcMar>
          </w:tcPr>
          <w:p w:rsidR="005E4498" w:rsidRPr="00F26D10" w:rsidRDefault="00DC5B69" w:rsidP="00DC5B69">
            <w:pPr>
              <w:jc w:val="both"/>
              <w:rPr>
                <w:rFonts w:ascii="Times New Roman" w:hAnsi="Times New Roman" w:cs="Times New Roman"/>
                <w:sz w:val="24"/>
                <w:szCs w:val="24"/>
                <w:lang w:val="en-GB"/>
              </w:rPr>
            </w:pPr>
            <w:r w:rsidRPr="00F26D10">
              <w:rPr>
                <w:rFonts w:ascii="Times New Roman" w:hAnsi="Times New Roman" w:cs="Times New Roman"/>
                <w:sz w:val="24"/>
                <w:szCs w:val="24"/>
                <w:lang w:val="en-GB"/>
              </w:rPr>
              <w:t xml:space="preserve">Annual passenger data per port were downloaded from Eurostat database and linked to port layer acquired from the Geographical information system of the Commission (GISCO). </w:t>
            </w:r>
          </w:p>
        </w:tc>
      </w:tr>
      <w:tr w:rsidR="005E4498" w:rsidRPr="00111539" w:rsidTr="00963625">
        <w:trPr>
          <w:cantSplit/>
        </w:trPr>
        <w:tc>
          <w:tcPr>
            <w:tcW w:w="277" w:type="dxa"/>
            <w:tcBorders>
              <w:top w:val="nil"/>
              <w:bottom w:val="nil"/>
              <w:right w:val="nil"/>
            </w:tcBorders>
            <w:tcMar>
              <w:top w:w="57" w:type="dxa"/>
              <w:bottom w:w="57" w:type="dxa"/>
            </w:tcMar>
          </w:tcPr>
          <w:p w:rsidR="005E4498" w:rsidRPr="00F26D10" w:rsidRDefault="005E4498" w:rsidP="004408E0">
            <w:pPr>
              <w:ind w:left="284"/>
              <w:rPr>
                <w:rFonts w:ascii="Times New Roman" w:hAnsi="Times New Roman" w:cs="Times New Roman"/>
                <w:sz w:val="24"/>
                <w:szCs w:val="24"/>
                <w:lang w:val="en-US"/>
              </w:rPr>
            </w:pPr>
          </w:p>
        </w:tc>
        <w:tc>
          <w:tcPr>
            <w:tcW w:w="1980" w:type="dxa"/>
            <w:gridSpan w:val="2"/>
            <w:tcBorders>
              <w:left w:val="nil"/>
            </w:tcBorders>
          </w:tcPr>
          <w:p w:rsidR="005E4498" w:rsidRPr="00F26D10" w:rsidRDefault="005E4498" w:rsidP="004408E0">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Methodology for gap filling</w:t>
            </w:r>
          </w:p>
        </w:tc>
        <w:tc>
          <w:tcPr>
            <w:tcW w:w="7357" w:type="dxa"/>
            <w:tcMar>
              <w:top w:w="57" w:type="dxa"/>
              <w:bottom w:w="57" w:type="dxa"/>
            </w:tcMar>
          </w:tcPr>
          <w:p w:rsidR="005E4498" w:rsidRPr="00F26D10" w:rsidRDefault="00DC5B69" w:rsidP="00272D02">
            <w:pPr>
              <w:rPr>
                <w:rFonts w:ascii="Times New Roman" w:hAnsi="Times New Roman" w:cs="Times New Roman"/>
                <w:sz w:val="24"/>
                <w:szCs w:val="24"/>
                <w:lang w:val="en-GB"/>
              </w:rPr>
            </w:pPr>
            <w:r w:rsidRPr="00F26D10">
              <w:rPr>
                <w:rFonts w:ascii="Times New Roman" w:hAnsi="Times New Roman" w:cs="Times New Roman"/>
                <w:sz w:val="24"/>
                <w:szCs w:val="24"/>
                <w:lang w:val="en-GB"/>
              </w:rPr>
              <w:t xml:space="preserve">Missing values were taken from </w:t>
            </w:r>
            <w:proofErr w:type="spellStart"/>
            <w:r w:rsidRPr="00F26D10">
              <w:rPr>
                <w:rFonts w:ascii="Times New Roman" w:hAnsi="Times New Roman" w:cs="Times New Roman"/>
                <w:sz w:val="24"/>
                <w:szCs w:val="24"/>
                <w:lang w:val="en-GB"/>
              </w:rPr>
              <w:t>MedCruise</w:t>
            </w:r>
            <w:proofErr w:type="spellEnd"/>
            <w:r w:rsidRPr="00F26D10">
              <w:rPr>
                <w:rFonts w:ascii="Times New Roman" w:hAnsi="Times New Roman" w:cs="Times New Roman"/>
                <w:sz w:val="24"/>
                <w:szCs w:val="24"/>
                <w:lang w:val="en-GB"/>
              </w:rPr>
              <w:t xml:space="preserve"> yearly statistics</w:t>
            </w:r>
          </w:p>
        </w:tc>
      </w:tr>
      <w:tr w:rsidR="005E4498" w:rsidRPr="00F26D10" w:rsidTr="00963625">
        <w:tc>
          <w:tcPr>
            <w:tcW w:w="277" w:type="dxa"/>
            <w:tcBorders>
              <w:top w:val="nil"/>
              <w:right w:val="nil"/>
            </w:tcBorders>
            <w:tcMar>
              <w:top w:w="57" w:type="dxa"/>
              <w:bottom w:w="57" w:type="dxa"/>
            </w:tcMar>
          </w:tcPr>
          <w:p w:rsidR="005E4498" w:rsidRPr="00F26D10" w:rsidRDefault="005E4498" w:rsidP="004408E0">
            <w:pPr>
              <w:ind w:left="284"/>
              <w:rPr>
                <w:rFonts w:ascii="Times New Roman" w:hAnsi="Times New Roman" w:cs="Times New Roman"/>
                <w:sz w:val="24"/>
                <w:szCs w:val="24"/>
                <w:lang w:val="en-GB"/>
              </w:rPr>
            </w:pPr>
          </w:p>
        </w:tc>
        <w:tc>
          <w:tcPr>
            <w:tcW w:w="1980" w:type="dxa"/>
            <w:gridSpan w:val="2"/>
            <w:tcBorders>
              <w:left w:val="nil"/>
            </w:tcBorders>
          </w:tcPr>
          <w:p w:rsidR="005E4498" w:rsidRPr="00F26D10" w:rsidRDefault="005E4498" w:rsidP="004408E0">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References</w:t>
            </w:r>
          </w:p>
        </w:tc>
        <w:tc>
          <w:tcPr>
            <w:tcW w:w="7357" w:type="dxa"/>
            <w:tcMar>
              <w:top w:w="57" w:type="dxa"/>
              <w:bottom w:w="57" w:type="dxa"/>
            </w:tcMar>
          </w:tcPr>
          <w:p w:rsidR="005E4498" w:rsidRPr="00F26D10" w:rsidRDefault="00DC5B69" w:rsidP="00701AA3">
            <w:pPr>
              <w:jc w:val="both"/>
              <w:rPr>
                <w:rFonts w:ascii="Times New Roman" w:hAnsi="Times New Roman" w:cs="Times New Roman"/>
                <w:sz w:val="24"/>
                <w:szCs w:val="24"/>
                <w:lang w:val="en-US"/>
              </w:rPr>
            </w:pPr>
            <w:r w:rsidRPr="00F26D10">
              <w:rPr>
                <w:rFonts w:ascii="Times New Roman" w:hAnsi="Times New Roman" w:cs="Times New Roman"/>
                <w:sz w:val="24"/>
                <w:szCs w:val="24"/>
                <w:lang w:val="en-US"/>
              </w:rPr>
              <w:t xml:space="preserve">Med Cruise (2014): Cruise activities in </w:t>
            </w:r>
            <w:proofErr w:type="spellStart"/>
            <w:r w:rsidRPr="00F26D10">
              <w:rPr>
                <w:rFonts w:ascii="Times New Roman" w:hAnsi="Times New Roman" w:cs="Times New Roman"/>
                <w:sz w:val="24"/>
                <w:szCs w:val="24"/>
                <w:lang w:val="en-US"/>
              </w:rPr>
              <w:t>MedCruise</w:t>
            </w:r>
            <w:proofErr w:type="spellEnd"/>
            <w:r w:rsidRPr="00F26D10">
              <w:rPr>
                <w:rFonts w:ascii="Times New Roman" w:hAnsi="Times New Roman" w:cs="Times New Roman"/>
                <w:sz w:val="24"/>
                <w:szCs w:val="24"/>
                <w:lang w:val="en-US"/>
              </w:rPr>
              <w:t xml:space="preserve"> ports: Statistics 2013.</w:t>
            </w:r>
          </w:p>
        </w:tc>
      </w:tr>
      <w:tr w:rsidR="005E4498" w:rsidRPr="00F26D10" w:rsidTr="00963625">
        <w:tc>
          <w:tcPr>
            <w:tcW w:w="2257" w:type="dxa"/>
            <w:gridSpan w:val="3"/>
            <w:tcBorders>
              <w:bottom w:val="single" w:sz="4" w:space="0" w:color="auto"/>
            </w:tcBorders>
            <w:tcMar>
              <w:top w:w="57" w:type="dxa"/>
              <w:bottom w:w="57" w:type="dxa"/>
            </w:tcMar>
          </w:tcPr>
          <w:p w:rsidR="005E4498" w:rsidRPr="00F26D10" w:rsidRDefault="005E4498" w:rsidP="00272D02">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Data specifications</w:t>
            </w:r>
          </w:p>
        </w:tc>
        <w:tc>
          <w:tcPr>
            <w:tcW w:w="7357" w:type="dxa"/>
            <w:tcBorders>
              <w:bottom w:val="single" w:sz="4" w:space="0" w:color="auto"/>
            </w:tcBorders>
            <w:tcMar>
              <w:top w:w="57" w:type="dxa"/>
              <w:bottom w:w="57" w:type="dxa"/>
            </w:tcMar>
          </w:tcPr>
          <w:p w:rsidR="00ED18B5" w:rsidRPr="00F26D10" w:rsidRDefault="005E4498" w:rsidP="006D4C67">
            <w:pPr>
              <w:rPr>
                <w:rFonts w:ascii="Times New Roman" w:hAnsi="Times New Roman" w:cs="Times New Roman"/>
                <w:sz w:val="24"/>
                <w:szCs w:val="24"/>
                <w:lang w:val="en-US"/>
              </w:rPr>
            </w:pPr>
            <w:r w:rsidRPr="00F26D10">
              <w:rPr>
                <w:rFonts w:ascii="Times New Roman" w:hAnsi="Times New Roman" w:cs="Times New Roman"/>
                <w:sz w:val="24"/>
                <w:szCs w:val="24"/>
                <w:lang w:val="en-US"/>
              </w:rPr>
              <w:t>Data source: Eurostat (Maritime transport - Passengers - Annual data - All ports - by direction [</w:t>
            </w:r>
            <w:proofErr w:type="spellStart"/>
            <w:r w:rsidRPr="00F26D10">
              <w:rPr>
                <w:rFonts w:ascii="Times New Roman" w:hAnsi="Times New Roman" w:cs="Times New Roman"/>
                <w:sz w:val="24"/>
                <w:szCs w:val="24"/>
                <w:lang w:val="en-US"/>
              </w:rPr>
              <w:t>mar_pa_aa</w:t>
            </w:r>
            <w:proofErr w:type="spellEnd"/>
            <w:r w:rsidRPr="00F26D10">
              <w:rPr>
                <w:rFonts w:ascii="Times New Roman" w:hAnsi="Times New Roman" w:cs="Times New Roman"/>
                <w:sz w:val="24"/>
                <w:szCs w:val="24"/>
                <w:lang w:val="en-US"/>
              </w:rPr>
              <w:t>]</w:t>
            </w:r>
            <w:r w:rsidR="00DC5B69" w:rsidRPr="00F26D10">
              <w:rPr>
                <w:rFonts w:ascii="Times New Roman" w:hAnsi="Times New Roman" w:cs="Times New Roman"/>
                <w:sz w:val="24"/>
                <w:szCs w:val="24"/>
                <w:lang w:val="en-US"/>
              </w:rPr>
              <w:t>)</w:t>
            </w:r>
            <w:r w:rsidR="00ED18B5" w:rsidRPr="00F26D10">
              <w:rPr>
                <w:rFonts w:ascii="Times New Roman" w:hAnsi="Times New Roman" w:cs="Times New Roman"/>
                <w:sz w:val="24"/>
                <w:szCs w:val="24"/>
                <w:lang w:val="en-US"/>
              </w:rPr>
              <w:t>, Does not include Gibraltar, Monaco,</w:t>
            </w:r>
          </w:p>
          <w:p w:rsidR="005E4498" w:rsidRPr="00F26D10" w:rsidRDefault="00ED18B5" w:rsidP="00ED18B5">
            <w:pPr>
              <w:rPr>
                <w:rFonts w:ascii="Times New Roman" w:hAnsi="Times New Roman" w:cs="Times New Roman"/>
                <w:sz w:val="24"/>
                <w:szCs w:val="24"/>
                <w:lang w:val="en-US"/>
              </w:rPr>
            </w:pPr>
            <w:proofErr w:type="spellStart"/>
            <w:r w:rsidRPr="00F26D10">
              <w:rPr>
                <w:rFonts w:ascii="Times New Roman" w:hAnsi="Times New Roman" w:cs="Times New Roman"/>
                <w:sz w:val="24"/>
                <w:szCs w:val="24"/>
                <w:lang w:val="en-US"/>
              </w:rPr>
              <w:t>MedC</w:t>
            </w:r>
            <w:r w:rsidR="00F26D10">
              <w:rPr>
                <w:rFonts w:ascii="Times New Roman" w:hAnsi="Times New Roman" w:cs="Times New Roman"/>
                <w:sz w:val="24"/>
                <w:szCs w:val="24"/>
                <w:lang w:val="en-US"/>
              </w:rPr>
              <w:t>ruise</w:t>
            </w:r>
            <w:proofErr w:type="spellEnd"/>
            <w:r w:rsidR="00F26D10">
              <w:rPr>
                <w:rFonts w:ascii="Times New Roman" w:hAnsi="Times New Roman" w:cs="Times New Roman"/>
                <w:sz w:val="24"/>
                <w:szCs w:val="24"/>
                <w:lang w:val="en-US"/>
              </w:rPr>
              <w:t xml:space="preserve"> Statistical Yearbook 2013.</w:t>
            </w:r>
            <w:r w:rsidRPr="00F26D10">
              <w:rPr>
                <w:rFonts w:ascii="Times New Roman" w:hAnsi="Times New Roman" w:cs="Times New Roman"/>
                <w:sz w:val="24"/>
                <w:szCs w:val="24"/>
                <w:lang w:val="en-US"/>
              </w:rPr>
              <w:t xml:space="preserve"> </w:t>
            </w:r>
          </w:p>
        </w:tc>
      </w:tr>
      <w:tr w:rsidR="005E4498" w:rsidRPr="00F26D10" w:rsidTr="00963625">
        <w:tc>
          <w:tcPr>
            <w:tcW w:w="2257" w:type="dxa"/>
            <w:gridSpan w:val="3"/>
            <w:tcBorders>
              <w:bottom w:val="single" w:sz="4" w:space="0" w:color="C4BC96" w:themeColor="background2" w:themeShade="BF"/>
            </w:tcBorders>
            <w:tcMar>
              <w:top w:w="57" w:type="dxa"/>
              <w:bottom w:w="57" w:type="dxa"/>
            </w:tcMar>
          </w:tcPr>
          <w:p w:rsidR="005E4498" w:rsidRPr="00F26D10" w:rsidRDefault="005E4498" w:rsidP="00272D02">
            <w:pPr>
              <w:ind w:left="284"/>
              <w:rPr>
                <w:rFonts w:ascii="Times New Roman" w:hAnsi="Times New Roman" w:cs="Times New Roman"/>
                <w:sz w:val="24"/>
                <w:szCs w:val="24"/>
                <w:lang w:val="en-GB"/>
              </w:rPr>
            </w:pPr>
            <w:r w:rsidRPr="00F26D10">
              <w:rPr>
                <w:rFonts w:ascii="Times New Roman" w:hAnsi="Times New Roman" w:cs="Times New Roman"/>
                <w:sz w:val="24"/>
                <w:szCs w:val="24"/>
                <w:lang w:val="en-US"/>
              </w:rPr>
              <w:t xml:space="preserve"> </w:t>
            </w:r>
            <w:r w:rsidRPr="00F26D10">
              <w:rPr>
                <w:rFonts w:ascii="Times New Roman" w:hAnsi="Times New Roman" w:cs="Times New Roman"/>
                <w:sz w:val="24"/>
                <w:szCs w:val="24"/>
                <w:lang w:val="en-GB"/>
              </w:rPr>
              <w:t>Uncertainties</w:t>
            </w:r>
          </w:p>
        </w:tc>
        <w:tc>
          <w:tcPr>
            <w:tcW w:w="7357" w:type="dxa"/>
            <w:tcBorders>
              <w:bottom w:val="single" w:sz="4" w:space="0" w:color="C4BC96" w:themeColor="background2" w:themeShade="BF"/>
            </w:tcBorders>
            <w:tcMar>
              <w:top w:w="57" w:type="dxa"/>
              <w:bottom w:w="57" w:type="dxa"/>
            </w:tcMar>
          </w:tcPr>
          <w:p w:rsidR="005E4498" w:rsidRPr="00F26D10" w:rsidRDefault="005E4498" w:rsidP="004408E0">
            <w:pPr>
              <w:rPr>
                <w:rFonts w:ascii="Times New Roman" w:hAnsi="Times New Roman" w:cs="Times New Roman"/>
                <w:sz w:val="24"/>
                <w:szCs w:val="24"/>
                <w:lang w:val="en-GB"/>
              </w:rPr>
            </w:pPr>
          </w:p>
        </w:tc>
      </w:tr>
      <w:tr w:rsidR="005E4498" w:rsidRPr="00F26D10" w:rsidTr="00963625">
        <w:tc>
          <w:tcPr>
            <w:tcW w:w="277" w:type="dxa"/>
            <w:tcBorders>
              <w:top w:val="single" w:sz="4" w:space="0" w:color="C4BC96" w:themeColor="background2" w:themeShade="BF"/>
              <w:bottom w:val="nil"/>
              <w:right w:val="nil"/>
            </w:tcBorders>
            <w:tcMar>
              <w:top w:w="57" w:type="dxa"/>
              <w:bottom w:w="57" w:type="dxa"/>
            </w:tcMar>
          </w:tcPr>
          <w:p w:rsidR="005E4498" w:rsidRPr="00F26D10" w:rsidRDefault="005E4498" w:rsidP="004408E0">
            <w:pPr>
              <w:ind w:left="284"/>
              <w:rPr>
                <w:rFonts w:ascii="Times New Roman" w:hAnsi="Times New Roman" w:cs="Times New Roman"/>
                <w:sz w:val="24"/>
                <w:szCs w:val="24"/>
                <w:lang w:val="en-GB"/>
              </w:rPr>
            </w:pPr>
          </w:p>
        </w:tc>
        <w:tc>
          <w:tcPr>
            <w:tcW w:w="1980" w:type="dxa"/>
            <w:gridSpan w:val="2"/>
            <w:tcBorders>
              <w:top w:val="single" w:sz="4" w:space="0" w:color="C4BC96" w:themeColor="background2" w:themeShade="BF"/>
              <w:left w:val="nil"/>
            </w:tcBorders>
          </w:tcPr>
          <w:p w:rsidR="005E4498" w:rsidRPr="00F26D10" w:rsidRDefault="005E4498" w:rsidP="00272D02">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Methodology uncertainty</w:t>
            </w:r>
          </w:p>
        </w:tc>
        <w:tc>
          <w:tcPr>
            <w:tcW w:w="7357" w:type="dxa"/>
            <w:tcBorders>
              <w:top w:val="single" w:sz="4" w:space="0" w:color="C4BC96" w:themeColor="background2" w:themeShade="BF"/>
            </w:tcBorders>
            <w:tcMar>
              <w:top w:w="57" w:type="dxa"/>
              <w:bottom w:w="57" w:type="dxa"/>
            </w:tcMar>
          </w:tcPr>
          <w:p w:rsidR="005E4498" w:rsidRPr="00F26D10" w:rsidRDefault="005E4498" w:rsidP="00760290">
            <w:pPr>
              <w:jc w:val="both"/>
              <w:rPr>
                <w:rFonts w:ascii="Times New Roman" w:hAnsi="Times New Roman" w:cs="Times New Roman"/>
                <w:sz w:val="24"/>
                <w:szCs w:val="24"/>
                <w:lang w:val="en-GB"/>
              </w:rPr>
            </w:pPr>
          </w:p>
        </w:tc>
      </w:tr>
      <w:tr w:rsidR="005E4498" w:rsidRPr="00111539" w:rsidTr="00963625">
        <w:tc>
          <w:tcPr>
            <w:tcW w:w="277" w:type="dxa"/>
            <w:tcBorders>
              <w:top w:val="nil"/>
              <w:bottom w:val="nil"/>
              <w:right w:val="nil"/>
            </w:tcBorders>
            <w:tcMar>
              <w:top w:w="57" w:type="dxa"/>
              <w:bottom w:w="57" w:type="dxa"/>
            </w:tcMar>
          </w:tcPr>
          <w:p w:rsidR="005E4498" w:rsidRPr="00F26D10" w:rsidRDefault="005E4498" w:rsidP="004408E0">
            <w:pPr>
              <w:ind w:left="284"/>
              <w:rPr>
                <w:rFonts w:ascii="Times New Roman" w:hAnsi="Times New Roman" w:cs="Times New Roman"/>
                <w:sz w:val="24"/>
                <w:szCs w:val="24"/>
                <w:lang w:val="en-US"/>
              </w:rPr>
            </w:pPr>
          </w:p>
        </w:tc>
        <w:tc>
          <w:tcPr>
            <w:tcW w:w="1980" w:type="dxa"/>
            <w:gridSpan w:val="2"/>
            <w:tcBorders>
              <w:left w:val="nil"/>
            </w:tcBorders>
          </w:tcPr>
          <w:p w:rsidR="005E4498" w:rsidRPr="00F26D10" w:rsidRDefault="005E4498" w:rsidP="004408E0">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Data sets uncertainties</w:t>
            </w:r>
          </w:p>
        </w:tc>
        <w:tc>
          <w:tcPr>
            <w:tcW w:w="7357" w:type="dxa"/>
            <w:tcMar>
              <w:top w:w="57" w:type="dxa"/>
              <w:bottom w:w="57" w:type="dxa"/>
            </w:tcMar>
          </w:tcPr>
          <w:p w:rsidR="005E4498" w:rsidRPr="00F26D10" w:rsidRDefault="00DC5B69" w:rsidP="00701AA3">
            <w:pPr>
              <w:rPr>
                <w:rFonts w:ascii="Times New Roman" w:hAnsi="Times New Roman" w:cs="Times New Roman"/>
                <w:sz w:val="24"/>
                <w:szCs w:val="24"/>
                <w:lang w:val="en-GB"/>
              </w:rPr>
            </w:pPr>
            <w:r w:rsidRPr="00F26D10">
              <w:rPr>
                <w:rFonts w:ascii="Times New Roman" w:hAnsi="Times New Roman" w:cs="Times New Roman"/>
                <w:sz w:val="24"/>
                <w:szCs w:val="24"/>
                <w:lang w:val="en-GB"/>
              </w:rPr>
              <w:t xml:space="preserve">Still missing values due to lacking reporting may occur. </w:t>
            </w:r>
          </w:p>
        </w:tc>
      </w:tr>
      <w:tr w:rsidR="005E4498" w:rsidRPr="00F26D10" w:rsidTr="00963625">
        <w:tc>
          <w:tcPr>
            <w:tcW w:w="277" w:type="dxa"/>
            <w:tcBorders>
              <w:top w:val="nil"/>
              <w:right w:val="nil"/>
            </w:tcBorders>
            <w:tcMar>
              <w:top w:w="57" w:type="dxa"/>
              <w:bottom w:w="57" w:type="dxa"/>
            </w:tcMar>
          </w:tcPr>
          <w:p w:rsidR="005E4498" w:rsidRPr="00F26D10" w:rsidRDefault="005E4498" w:rsidP="004408E0">
            <w:pPr>
              <w:ind w:left="284"/>
              <w:rPr>
                <w:rFonts w:ascii="Times New Roman" w:hAnsi="Times New Roman" w:cs="Times New Roman"/>
                <w:sz w:val="24"/>
                <w:szCs w:val="24"/>
                <w:lang w:val="en-US"/>
              </w:rPr>
            </w:pPr>
          </w:p>
        </w:tc>
        <w:tc>
          <w:tcPr>
            <w:tcW w:w="1980" w:type="dxa"/>
            <w:gridSpan w:val="2"/>
            <w:tcBorders>
              <w:left w:val="nil"/>
            </w:tcBorders>
          </w:tcPr>
          <w:p w:rsidR="005E4498" w:rsidRPr="00F26D10" w:rsidRDefault="005E4498" w:rsidP="004408E0">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Rationale uncertainty</w:t>
            </w:r>
          </w:p>
        </w:tc>
        <w:tc>
          <w:tcPr>
            <w:tcW w:w="7357" w:type="dxa"/>
            <w:tcMar>
              <w:top w:w="57" w:type="dxa"/>
              <w:bottom w:w="57" w:type="dxa"/>
            </w:tcMar>
          </w:tcPr>
          <w:p w:rsidR="005E4498" w:rsidRPr="00F26D10" w:rsidRDefault="005E4498" w:rsidP="00376871">
            <w:pPr>
              <w:rPr>
                <w:rFonts w:ascii="Times New Roman" w:hAnsi="Times New Roman" w:cs="Times New Roman"/>
                <w:sz w:val="24"/>
                <w:szCs w:val="24"/>
                <w:lang w:val="en-GB"/>
              </w:rPr>
            </w:pPr>
          </w:p>
        </w:tc>
      </w:tr>
      <w:tr w:rsidR="005E4498" w:rsidRPr="00F26D10" w:rsidTr="00963625">
        <w:tc>
          <w:tcPr>
            <w:tcW w:w="2257" w:type="dxa"/>
            <w:gridSpan w:val="3"/>
            <w:tcMar>
              <w:top w:w="57" w:type="dxa"/>
              <w:bottom w:w="57" w:type="dxa"/>
            </w:tcMar>
          </w:tcPr>
          <w:p w:rsidR="005E4498" w:rsidRPr="00F26D10" w:rsidRDefault="005E4498" w:rsidP="000B6BC7">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Further work</w:t>
            </w:r>
          </w:p>
        </w:tc>
        <w:tc>
          <w:tcPr>
            <w:tcW w:w="7357" w:type="dxa"/>
            <w:tcMar>
              <w:top w:w="57" w:type="dxa"/>
              <w:bottom w:w="57" w:type="dxa"/>
            </w:tcMar>
          </w:tcPr>
          <w:p w:rsidR="005E4498" w:rsidRPr="00F26D10" w:rsidRDefault="005E4498" w:rsidP="00C05489">
            <w:pPr>
              <w:rPr>
                <w:rFonts w:ascii="Times New Roman" w:hAnsi="Times New Roman" w:cs="Times New Roman"/>
                <w:sz w:val="24"/>
                <w:szCs w:val="24"/>
                <w:lang w:val="en-GB"/>
              </w:rPr>
            </w:pPr>
          </w:p>
        </w:tc>
      </w:tr>
      <w:tr w:rsidR="005E4498" w:rsidRPr="00111539" w:rsidTr="00963625">
        <w:tc>
          <w:tcPr>
            <w:tcW w:w="2257" w:type="dxa"/>
            <w:gridSpan w:val="3"/>
            <w:tcMar>
              <w:top w:w="57" w:type="dxa"/>
              <w:bottom w:w="57" w:type="dxa"/>
            </w:tcMar>
          </w:tcPr>
          <w:p w:rsidR="005E4498" w:rsidRPr="00F26D10" w:rsidRDefault="005E4498" w:rsidP="000B6BC7">
            <w:pPr>
              <w:ind w:left="284"/>
              <w:rPr>
                <w:rFonts w:ascii="Times New Roman" w:hAnsi="Times New Roman" w:cs="Times New Roman"/>
                <w:sz w:val="24"/>
                <w:szCs w:val="24"/>
                <w:lang w:val="en-GB"/>
              </w:rPr>
            </w:pPr>
            <w:r w:rsidRPr="00F26D10">
              <w:rPr>
                <w:rFonts w:ascii="Times New Roman" w:hAnsi="Times New Roman" w:cs="Times New Roman"/>
                <w:sz w:val="24"/>
                <w:szCs w:val="24"/>
                <w:lang w:val="en-GB"/>
              </w:rPr>
              <w:t xml:space="preserve">Ownership and contacts </w:t>
            </w:r>
          </w:p>
        </w:tc>
        <w:tc>
          <w:tcPr>
            <w:tcW w:w="7357" w:type="dxa"/>
            <w:tcMar>
              <w:top w:w="57" w:type="dxa"/>
              <w:bottom w:w="57" w:type="dxa"/>
            </w:tcMar>
          </w:tcPr>
          <w:p w:rsidR="00ED18B5" w:rsidRPr="00F26D10" w:rsidRDefault="00ED18B5" w:rsidP="00ED18B5">
            <w:pPr>
              <w:rPr>
                <w:rFonts w:ascii="Times New Roman" w:hAnsi="Times New Roman" w:cs="Times New Roman"/>
                <w:sz w:val="24"/>
                <w:szCs w:val="24"/>
                <w:lang w:val="fr-FR"/>
              </w:rPr>
            </w:pPr>
            <w:r w:rsidRPr="00F26D10">
              <w:rPr>
                <w:rFonts w:ascii="Times New Roman" w:hAnsi="Times New Roman" w:cs="Times New Roman"/>
                <w:sz w:val="24"/>
                <w:szCs w:val="24"/>
                <w:lang w:val="fr-FR"/>
              </w:rPr>
              <w:t>ETC-ULS</w:t>
            </w:r>
          </w:p>
          <w:p w:rsidR="005E4498" w:rsidRPr="00111539" w:rsidRDefault="00ED18B5" w:rsidP="00ED18B5">
            <w:pPr>
              <w:rPr>
                <w:rFonts w:ascii="Times New Roman" w:hAnsi="Times New Roman" w:cs="Times New Roman"/>
                <w:sz w:val="24"/>
                <w:szCs w:val="24"/>
                <w:lang w:val="fr-FR"/>
              </w:rPr>
            </w:pPr>
            <w:r w:rsidRPr="00111539">
              <w:rPr>
                <w:rFonts w:ascii="Times New Roman" w:hAnsi="Times New Roman" w:cs="Times New Roman"/>
                <w:sz w:val="24"/>
                <w:szCs w:val="24"/>
                <w:lang w:val="fr-FR"/>
              </w:rPr>
              <w:t>Christoph Schröder: christoph.schroder@uma.es</w:t>
            </w:r>
          </w:p>
        </w:tc>
      </w:tr>
    </w:tbl>
    <w:p w:rsidR="000135C1" w:rsidRPr="00111539" w:rsidRDefault="000135C1">
      <w:pPr>
        <w:rPr>
          <w:lang w:val="fr-FR"/>
        </w:rPr>
      </w:pPr>
    </w:p>
    <w:sectPr w:rsidR="000135C1" w:rsidRPr="00111539" w:rsidSect="003D70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C8" w:rsidRDefault="004A2EC8" w:rsidP="005018E7">
      <w:pPr>
        <w:spacing w:after="0" w:line="240" w:lineRule="auto"/>
      </w:pPr>
      <w:r>
        <w:separator/>
      </w:r>
    </w:p>
  </w:endnote>
  <w:endnote w:type="continuationSeparator" w:id="0">
    <w:p w:rsidR="004A2EC8" w:rsidRDefault="004A2EC8" w:rsidP="0050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C8" w:rsidRDefault="004A2EC8" w:rsidP="005018E7">
      <w:pPr>
        <w:spacing w:after="0" w:line="240" w:lineRule="auto"/>
      </w:pPr>
      <w:r>
        <w:separator/>
      </w:r>
    </w:p>
  </w:footnote>
  <w:footnote w:type="continuationSeparator" w:id="0">
    <w:p w:rsidR="004A2EC8" w:rsidRDefault="004A2EC8" w:rsidP="00501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1EC"/>
    <w:multiLevelType w:val="hybridMultilevel"/>
    <w:tmpl w:val="149C2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E12F7F"/>
    <w:multiLevelType w:val="hybridMultilevel"/>
    <w:tmpl w:val="86DC3924"/>
    <w:lvl w:ilvl="0" w:tplc="89EE07A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6F518B"/>
    <w:multiLevelType w:val="hybridMultilevel"/>
    <w:tmpl w:val="B448A440"/>
    <w:lvl w:ilvl="0" w:tplc="00BC7A28">
      <w:numFmt w:val="bullet"/>
      <w:lvlText w:val="-"/>
      <w:lvlJc w:val="left"/>
      <w:pPr>
        <w:ind w:left="720" w:hanging="360"/>
      </w:pPr>
      <w:rPr>
        <w:rFonts w:ascii="Calibri" w:eastAsiaTheme="minorHAnsi" w:hAnsi="Calibri"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AB20F7"/>
    <w:multiLevelType w:val="hybridMultilevel"/>
    <w:tmpl w:val="82B626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A81F8C"/>
    <w:multiLevelType w:val="hybridMultilevel"/>
    <w:tmpl w:val="81F63B2C"/>
    <w:lvl w:ilvl="0" w:tplc="5CD010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F07CC2"/>
    <w:multiLevelType w:val="hybridMultilevel"/>
    <w:tmpl w:val="0E1213B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85A758C"/>
    <w:multiLevelType w:val="hybridMultilevel"/>
    <w:tmpl w:val="3990C112"/>
    <w:lvl w:ilvl="0" w:tplc="5A98DFB8">
      <w:numFmt w:val="bullet"/>
      <w:lvlText w:val="-"/>
      <w:lvlJc w:val="left"/>
      <w:pPr>
        <w:ind w:left="655" w:hanging="360"/>
      </w:pPr>
      <w:rPr>
        <w:rFonts w:ascii="Times New Roman" w:eastAsiaTheme="minorHAnsi" w:hAnsi="Times New Roman" w:cs="Times New Roman" w:hint="default"/>
      </w:rPr>
    </w:lvl>
    <w:lvl w:ilvl="1" w:tplc="0C0A0003" w:tentative="1">
      <w:start w:val="1"/>
      <w:numFmt w:val="bullet"/>
      <w:lvlText w:val="o"/>
      <w:lvlJc w:val="left"/>
      <w:pPr>
        <w:ind w:left="1375" w:hanging="360"/>
      </w:pPr>
      <w:rPr>
        <w:rFonts w:ascii="Courier New" w:hAnsi="Courier New" w:cs="Courier New" w:hint="default"/>
      </w:rPr>
    </w:lvl>
    <w:lvl w:ilvl="2" w:tplc="0C0A0005" w:tentative="1">
      <w:start w:val="1"/>
      <w:numFmt w:val="bullet"/>
      <w:lvlText w:val=""/>
      <w:lvlJc w:val="left"/>
      <w:pPr>
        <w:ind w:left="2095" w:hanging="360"/>
      </w:pPr>
      <w:rPr>
        <w:rFonts w:ascii="Wingdings" w:hAnsi="Wingdings" w:hint="default"/>
      </w:rPr>
    </w:lvl>
    <w:lvl w:ilvl="3" w:tplc="0C0A0001" w:tentative="1">
      <w:start w:val="1"/>
      <w:numFmt w:val="bullet"/>
      <w:lvlText w:val=""/>
      <w:lvlJc w:val="left"/>
      <w:pPr>
        <w:ind w:left="2815" w:hanging="360"/>
      </w:pPr>
      <w:rPr>
        <w:rFonts w:ascii="Symbol" w:hAnsi="Symbol" w:hint="default"/>
      </w:rPr>
    </w:lvl>
    <w:lvl w:ilvl="4" w:tplc="0C0A0003" w:tentative="1">
      <w:start w:val="1"/>
      <w:numFmt w:val="bullet"/>
      <w:lvlText w:val="o"/>
      <w:lvlJc w:val="left"/>
      <w:pPr>
        <w:ind w:left="3535" w:hanging="360"/>
      </w:pPr>
      <w:rPr>
        <w:rFonts w:ascii="Courier New" w:hAnsi="Courier New" w:cs="Courier New" w:hint="default"/>
      </w:rPr>
    </w:lvl>
    <w:lvl w:ilvl="5" w:tplc="0C0A0005" w:tentative="1">
      <w:start w:val="1"/>
      <w:numFmt w:val="bullet"/>
      <w:lvlText w:val=""/>
      <w:lvlJc w:val="left"/>
      <w:pPr>
        <w:ind w:left="4255" w:hanging="360"/>
      </w:pPr>
      <w:rPr>
        <w:rFonts w:ascii="Wingdings" w:hAnsi="Wingdings" w:hint="default"/>
      </w:rPr>
    </w:lvl>
    <w:lvl w:ilvl="6" w:tplc="0C0A0001" w:tentative="1">
      <w:start w:val="1"/>
      <w:numFmt w:val="bullet"/>
      <w:lvlText w:val=""/>
      <w:lvlJc w:val="left"/>
      <w:pPr>
        <w:ind w:left="4975" w:hanging="360"/>
      </w:pPr>
      <w:rPr>
        <w:rFonts w:ascii="Symbol" w:hAnsi="Symbol" w:hint="default"/>
      </w:rPr>
    </w:lvl>
    <w:lvl w:ilvl="7" w:tplc="0C0A0003" w:tentative="1">
      <w:start w:val="1"/>
      <w:numFmt w:val="bullet"/>
      <w:lvlText w:val="o"/>
      <w:lvlJc w:val="left"/>
      <w:pPr>
        <w:ind w:left="5695" w:hanging="360"/>
      </w:pPr>
      <w:rPr>
        <w:rFonts w:ascii="Courier New" w:hAnsi="Courier New" w:cs="Courier New" w:hint="default"/>
      </w:rPr>
    </w:lvl>
    <w:lvl w:ilvl="8" w:tplc="0C0A0005" w:tentative="1">
      <w:start w:val="1"/>
      <w:numFmt w:val="bullet"/>
      <w:lvlText w:val=""/>
      <w:lvlJc w:val="left"/>
      <w:pPr>
        <w:ind w:left="6415" w:hanging="360"/>
      </w:pPr>
      <w:rPr>
        <w:rFonts w:ascii="Wingdings" w:hAnsi="Wingdings" w:hint="default"/>
      </w:rPr>
    </w:lvl>
  </w:abstractNum>
  <w:abstractNum w:abstractNumId="7">
    <w:nsid w:val="59C773C0"/>
    <w:multiLevelType w:val="hybridMultilevel"/>
    <w:tmpl w:val="98C43C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38"/>
    <w:rsid w:val="000135C1"/>
    <w:rsid w:val="000207E9"/>
    <w:rsid w:val="0004192E"/>
    <w:rsid w:val="0006446C"/>
    <w:rsid w:val="00096741"/>
    <w:rsid w:val="000B09FC"/>
    <w:rsid w:val="000B6BC7"/>
    <w:rsid w:val="000F7A52"/>
    <w:rsid w:val="0010505C"/>
    <w:rsid w:val="00111539"/>
    <w:rsid w:val="00120B74"/>
    <w:rsid w:val="001539F7"/>
    <w:rsid w:val="00155CED"/>
    <w:rsid w:val="001D55CC"/>
    <w:rsid w:val="00207446"/>
    <w:rsid w:val="00234EE7"/>
    <w:rsid w:val="002728ED"/>
    <w:rsid w:val="00272D02"/>
    <w:rsid w:val="00280DBE"/>
    <w:rsid w:val="00365DD2"/>
    <w:rsid w:val="00376871"/>
    <w:rsid w:val="00383CC4"/>
    <w:rsid w:val="003D70AC"/>
    <w:rsid w:val="003D7900"/>
    <w:rsid w:val="0045617F"/>
    <w:rsid w:val="004A2EC8"/>
    <w:rsid w:val="005018E7"/>
    <w:rsid w:val="00525EBA"/>
    <w:rsid w:val="005378A0"/>
    <w:rsid w:val="005722DC"/>
    <w:rsid w:val="005D59D0"/>
    <w:rsid w:val="005E4498"/>
    <w:rsid w:val="005F4C51"/>
    <w:rsid w:val="00665722"/>
    <w:rsid w:val="006B7EB1"/>
    <w:rsid w:val="006D4C67"/>
    <w:rsid w:val="00701AA3"/>
    <w:rsid w:val="0071598A"/>
    <w:rsid w:val="00760290"/>
    <w:rsid w:val="00795E2F"/>
    <w:rsid w:val="007A5943"/>
    <w:rsid w:val="007E1763"/>
    <w:rsid w:val="008B5F7A"/>
    <w:rsid w:val="008E2A4B"/>
    <w:rsid w:val="00940E41"/>
    <w:rsid w:val="00963625"/>
    <w:rsid w:val="00965C2E"/>
    <w:rsid w:val="00991BAB"/>
    <w:rsid w:val="009C62B5"/>
    <w:rsid w:val="00A0160E"/>
    <w:rsid w:val="00A531EC"/>
    <w:rsid w:val="00AD1C72"/>
    <w:rsid w:val="00AD5A9C"/>
    <w:rsid w:val="00B042BF"/>
    <w:rsid w:val="00B06377"/>
    <w:rsid w:val="00B63FC9"/>
    <w:rsid w:val="00B908C1"/>
    <w:rsid w:val="00B95902"/>
    <w:rsid w:val="00BA2294"/>
    <w:rsid w:val="00BB54EB"/>
    <w:rsid w:val="00BC4483"/>
    <w:rsid w:val="00BD4938"/>
    <w:rsid w:val="00BF0534"/>
    <w:rsid w:val="00C05489"/>
    <w:rsid w:val="00C064F8"/>
    <w:rsid w:val="00C25445"/>
    <w:rsid w:val="00C8408B"/>
    <w:rsid w:val="00CE090A"/>
    <w:rsid w:val="00D04747"/>
    <w:rsid w:val="00D75153"/>
    <w:rsid w:val="00D9138A"/>
    <w:rsid w:val="00DC5B69"/>
    <w:rsid w:val="00DE72B4"/>
    <w:rsid w:val="00DF1F72"/>
    <w:rsid w:val="00DF7264"/>
    <w:rsid w:val="00E05CFD"/>
    <w:rsid w:val="00E23286"/>
    <w:rsid w:val="00E70B79"/>
    <w:rsid w:val="00EA072E"/>
    <w:rsid w:val="00EC486B"/>
    <w:rsid w:val="00ED18B5"/>
    <w:rsid w:val="00EE2E71"/>
    <w:rsid w:val="00EE3150"/>
    <w:rsid w:val="00F000DC"/>
    <w:rsid w:val="00F26D10"/>
    <w:rsid w:val="00F453F5"/>
    <w:rsid w:val="00F46783"/>
    <w:rsid w:val="00F6425D"/>
    <w:rsid w:val="00F66385"/>
    <w:rsid w:val="00FA0D6F"/>
    <w:rsid w:val="00FA6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6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3EE"/>
    <w:rPr>
      <w:rFonts w:ascii="Tahoma" w:hAnsi="Tahoma" w:cs="Tahoma"/>
      <w:sz w:val="16"/>
      <w:szCs w:val="16"/>
    </w:rPr>
  </w:style>
  <w:style w:type="character" w:styleId="Refdecomentario">
    <w:name w:val="annotation reference"/>
    <w:basedOn w:val="Fuentedeprrafopredeter"/>
    <w:uiPriority w:val="99"/>
    <w:semiHidden/>
    <w:unhideWhenUsed/>
    <w:rsid w:val="00E05CFD"/>
    <w:rPr>
      <w:sz w:val="16"/>
      <w:szCs w:val="16"/>
    </w:rPr>
  </w:style>
  <w:style w:type="paragraph" w:styleId="Textocomentario">
    <w:name w:val="annotation text"/>
    <w:basedOn w:val="Normal"/>
    <w:link w:val="TextocomentarioCar"/>
    <w:uiPriority w:val="99"/>
    <w:semiHidden/>
    <w:unhideWhenUsed/>
    <w:rsid w:val="00E05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CFD"/>
    <w:rPr>
      <w:sz w:val="20"/>
      <w:szCs w:val="20"/>
    </w:rPr>
  </w:style>
  <w:style w:type="paragraph" w:styleId="Asuntodelcomentario">
    <w:name w:val="annotation subject"/>
    <w:basedOn w:val="Textocomentario"/>
    <w:next w:val="Textocomentario"/>
    <w:link w:val="AsuntodelcomentarioCar"/>
    <w:uiPriority w:val="99"/>
    <w:semiHidden/>
    <w:unhideWhenUsed/>
    <w:rsid w:val="00E05CFD"/>
    <w:rPr>
      <w:b/>
      <w:bCs/>
    </w:rPr>
  </w:style>
  <w:style w:type="character" w:customStyle="1" w:styleId="AsuntodelcomentarioCar">
    <w:name w:val="Asunto del comentario Car"/>
    <w:basedOn w:val="TextocomentarioCar"/>
    <w:link w:val="Asuntodelcomentario"/>
    <w:uiPriority w:val="99"/>
    <w:semiHidden/>
    <w:rsid w:val="00E05CFD"/>
    <w:rPr>
      <w:b/>
      <w:bCs/>
      <w:sz w:val="20"/>
      <w:szCs w:val="20"/>
    </w:rPr>
  </w:style>
  <w:style w:type="paragraph" w:styleId="Textonotaalfinal">
    <w:name w:val="endnote text"/>
    <w:basedOn w:val="Normal"/>
    <w:link w:val="TextonotaalfinalCar"/>
    <w:uiPriority w:val="99"/>
    <w:semiHidden/>
    <w:unhideWhenUsed/>
    <w:rsid w:val="005018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018E7"/>
    <w:rPr>
      <w:sz w:val="20"/>
      <w:szCs w:val="20"/>
    </w:rPr>
  </w:style>
  <w:style w:type="character" w:styleId="Refdenotaalfinal">
    <w:name w:val="endnote reference"/>
    <w:basedOn w:val="Fuentedeprrafopredeter"/>
    <w:uiPriority w:val="99"/>
    <w:semiHidden/>
    <w:unhideWhenUsed/>
    <w:rsid w:val="005018E7"/>
    <w:rPr>
      <w:vertAlign w:val="superscript"/>
    </w:rPr>
  </w:style>
  <w:style w:type="paragraph" w:styleId="Textonotapie">
    <w:name w:val="footnote text"/>
    <w:basedOn w:val="Normal"/>
    <w:link w:val="TextonotapieCar"/>
    <w:uiPriority w:val="99"/>
    <w:semiHidden/>
    <w:unhideWhenUsed/>
    <w:rsid w:val="005018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8E7"/>
    <w:rPr>
      <w:sz w:val="20"/>
      <w:szCs w:val="20"/>
    </w:rPr>
  </w:style>
  <w:style w:type="character" w:styleId="Refdenotaalpie">
    <w:name w:val="footnote reference"/>
    <w:basedOn w:val="Fuentedeprrafopredeter"/>
    <w:uiPriority w:val="99"/>
    <w:semiHidden/>
    <w:unhideWhenUsed/>
    <w:rsid w:val="005018E7"/>
    <w:rPr>
      <w:vertAlign w:val="superscript"/>
    </w:rPr>
  </w:style>
  <w:style w:type="paragraph" w:styleId="Prrafodelista">
    <w:name w:val="List Paragraph"/>
    <w:basedOn w:val="Normal"/>
    <w:uiPriority w:val="34"/>
    <w:qFormat/>
    <w:rsid w:val="00795E2F"/>
    <w:pPr>
      <w:ind w:left="720"/>
      <w:contextualSpacing/>
    </w:pPr>
  </w:style>
  <w:style w:type="character" w:styleId="Hipervnculo">
    <w:name w:val="Hyperlink"/>
    <w:basedOn w:val="Fuentedeprrafopredeter"/>
    <w:uiPriority w:val="99"/>
    <w:unhideWhenUsed/>
    <w:rsid w:val="00D913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6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3EE"/>
    <w:rPr>
      <w:rFonts w:ascii="Tahoma" w:hAnsi="Tahoma" w:cs="Tahoma"/>
      <w:sz w:val="16"/>
      <w:szCs w:val="16"/>
    </w:rPr>
  </w:style>
  <w:style w:type="character" w:styleId="Refdecomentario">
    <w:name w:val="annotation reference"/>
    <w:basedOn w:val="Fuentedeprrafopredeter"/>
    <w:uiPriority w:val="99"/>
    <w:semiHidden/>
    <w:unhideWhenUsed/>
    <w:rsid w:val="00E05CFD"/>
    <w:rPr>
      <w:sz w:val="16"/>
      <w:szCs w:val="16"/>
    </w:rPr>
  </w:style>
  <w:style w:type="paragraph" w:styleId="Textocomentario">
    <w:name w:val="annotation text"/>
    <w:basedOn w:val="Normal"/>
    <w:link w:val="TextocomentarioCar"/>
    <w:uiPriority w:val="99"/>
    <w:semiHidden/>
    <w:unhideWhenUsed/>
    <w:rsid w:val="00E05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CFD"/>
    <w:rPr>
      <w:sz w:val="20"/>
      <w:szCs w:val="20"/>
    </w:rPr>
  </w:style>
  <w:style w:type="paragraph" w:styleId="Asuntodelcomentario">
    <w:name w:val="annotation subject"/>
    <w:basedOn w:val="Textocomentario"/>
    <w:next w:val="Textocomentario"/>
    <w:link w:val="AsuntodelcomentarioCar"/>
    <w:uiPriority w:val="99"/>
    <w:semiHidden/>
    <w:unhideWhenUsed/>
    <w:rsid w:val="00E05CFD"/>
    <w:rPr>
      <w:b/>
      <w:bCs/>
    </w:rPr>
  </w:style>
  <w:style w:type="character" w:customStyle="1" w:styleId="AsuntodelcomentarioCar">
    <w:name w:val="Asunto del comentario Car"/>
    <w:basedOn w:val="TextocomentarioCar"/>
    <w:link w:val="Asuntodelcomentario"/>
    <w:uiPriority w:val="99"/>
    <w:semiHidden/>
    <w:rsid w:val="00E05CFD"/>
    <w:rPr>
      <w:b/>
      <w:bCs/>
      <w:sz w:val="20"/>
      <w:szCs w:val="20"/>
    </w:rPr>
  </w:style>
  <w:style w:type="paragraph" w:styleId="Textonotaalfinal">
    <w:name w:val="endnote text"/>
    <w:basedOn w:val="Normal"/>
    <w:link w:val="TextonotaalfinalCar"/>
    <w:uiPriority w:val="99"/>
    <w:semiHidden/>
    <w:unhideWhenUsed/>
    <w:rsid w:val="005018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018E7"/>
    <w:rPr>
      <w:sz w:val="20"/>
      <w:szCs w:val="20"/>
    </w:rPr>
  </w:style>
  <w:style w:type="character" w:styleId="Refdenotaalfinal">
    <w:name w:val="endnote reference"/>
    <w:basedOn w:val="Fuentedeprrafopredeter"/>
    <w:uiPriority w:val="99"/>
    <w:semiHidden/>
    <w:unhideWhenUsed/>
    <w:rsid w:val="005018E7"/>
    <w:rPr>
      <w:vertAlign w:val="superscript"/>
    </w:rPr>
  </w:style>
  <w:style w:type="paragraph" w:styleId="Textonotapie">
    <w:name w:val="footnote text"/>
    <w:basedOn w:val="Normal"/>
    <w:link w:val="TextonotapieCar"/>
    <w:uiPriority w:val="99"/>
    <w:semiHidden/>
    <w:unhideWhenUsed/>
    <w:rsid w:val="005018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8E7"/>
    <w:rPr>
      <w:sz w:val="20"/>
      <w:szCs w:val="20"/>
    </w:rPr>
  </w:style>
  <w:style w:type="character" w:styleId="Refdenotaalpie">
    <w:name w:val="footnote reference"/>
    <w:basedOn w:val="Fuentedeprrafopredeter"/>
    <w:uiPriority w:val="99"/>
    <w:semiHidden/>
    <w:unhideWhenUsed/>
    <w:rsid w:val="005018E7"/>
    <w:rPr>
      <w:vertAlign w:val="superscript"/>
    </w:rPr>
  </w:style>
  <w:style w:type="paragraph" w:styleId="Prrafodelista">
    <w:name w:val="List Paragraph"/>
    <w:basedOn w:val="Normal"/>
    <w:uiPriority w:val="34"/>
    <w:qFormat/>
    <w:rsid w:val="00795E2F"/>
    <w:pPr>
      <w:ind w:left="720"/>
      <w:contextualSpacing/>
    </w:pPr>
  </w:style>
  <w:style w:type="character" w:styleId="Hipervnculo">
    <w:name w:val="Hyperlink"/>
    <w:basedOn w:val="Fuentedeprrafopredeter"/>
    <w:uiPriority w:val="99"/>
    <w:unhideWhenUsed/>
    <w:rsid w:val="00D91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0385">
      <w:bodyDiv w:val="1"/>
      <w:marLeft w:val="0"/>
      <w:marRight w:val="0"/>
      <w:marTop w:val="0"/>
      <w:marBottom w:val="0"/>
      <w:divBdr>
        <w:top w:val="none" w:sz="0" w:space="0" w:color="auto"/>
        <w:left w:val="none" w:sz="0" w:space="0" w:color="auto"/>
        <w:bottom w:val="none" w:sz="0" w:space="0" w:color="auto"/>
        <w:right w:val="none" w:sz="0" w:space="0" w:color="auto"/>
      </w:divBdr>
    </w:div>
    <w:div w:id="9466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3918-FA2A-4263-8FB3-502D61B4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3986</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UAB</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j_fons</dc:creator>
  <cp:lastModifiedBy>Francesc Romagosa Casals</cp:lastModifiedBy>
  <cp:revision>2</cp:revision>
  <dcterms:created xsi:type="dcterms:W3CDTF">2017-06-02T08:46:00Z</dcterms:created>
  <dcterms:modified xsi:type="dcterms:W3CDTF">2017-06-02T08:46:00Z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-419697515</vt:i4>
  </property>
  <property fmtid="{D5CDD505-2E9C-101B-9397-08002B2CF9AE}" pid="3" name="_NewReviewCycle">
    <vt:lpwstr/>
  </property>
  <property fmtid="{D5CDD505-2E9C-101B-9397-08002B2CF9AE}" pid="4" name="_EmailSubject">
    <vt:lpwstr>skype call, 7th August: minutes and other papers</vt:lpwstr>
  </property>
  <property fmtid="{D5CDD505-2E9C-101B-9397-08002B2CF9AE}" pid="5" name="_AuthorEmail">
    <vt:lpwstr>Silvia.Giulietti@eea.europa.eu</vt:lpwstr>
  </property>
  <property fmtid="{D5CDD505-2E9C-101B-9397-08002B2CF9AE}" pid="6" name="_AuthorEmailDisplayName">
    <vt:lpwstr>Silvia Giulietti</vt:lpwstr>
  </property>
  <property fmtid="{D5CDD505-2E9C-101B-9397-08002B2CF9AE}" pid="7" name="_ReviewingToolsShownOnce">
    <vt:lpwstr/>
  </property>
</Properties>
</file>