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571" w:type="dxa"/>
        <w:tblInd w:w="-526" w:type="dxa"/>
        <w:tblLayout w:type="fixed"/>
        <w:tblLook w:val="04A0" w:firstRow="1" w:lastRow="0" w:firstColumn="1" w:lastColumn="0" w:noHBand="0" w:noVBand="1"/>
      </w:tblPr>
      <w:tblGrid>
        <w:gridCol w:w="567"/>
        <w:gridCol w:w="1702"/>
        <w:gridCol w:w="7277"/>
        <w:gridCol w:w="19"/>
        <w:gridCol w:w="6"/>
      </w:tblGrid>
      <w:tr w:rsidR="00E2092F" w:rsidRPr="000E013A" w14:paraId="25017304" w14:textId="77777777" w:rsidTr="00BC431A">
        <w:trPr>
          <w:gridAfter w:val="1"/>
          <w:wAfter w:w="6" w:type="dxa"/>
        </w:trPr>
        <w:tc>
          <w:tcPr>
            <w:tcW w:w="2269" w:type="dxa"/>
            <w:gridSpan w:val="2"/>
          </w:tcPr>
          <w:p w14:paraId="023699CE" w14:textId="77777777" w:rsidR="00E2092F" w:rsidRPr="000E013A" w:rsidRDefault="00E2092F" w:rsidP="00CC2B18">
            <w:pPr>
              <w:ind w:left="-62"/>
              <w:rPr>
                <w:b/>
              </w:rPr>
            </w:pPr>
            <w:r w:rsidRPr="000E013A">
              <w:rPr>
                <w:b/>
              </w:rPr>
              <w:t xml:space="preserve">Indicator name </w:t>
            </w:r>
          </w:p>
        </w:tc>
        <w:tc>
          <w:tcPr>
            <w:tcW w:w="7296" w:type="dxa"/>
            <w:gridSpan w:val="2"/>
          </w:tcPr>
          <w:p w14:paraId="03B72B36" w14:textId="62139FB4" w:rsidR="00E2092F" w:rsidRPr="000E013A" w:rsidRDefault="00E2092F" w:rsidP="00E2092F">
            <w:r w:rsidRPr="000E013A">
              <w:t xml:space="preserve">Most attractive places </w:t>
            </w:r>
          </w:p>
        </w:tc>
      </w:tr>
      <w:tr w:rsidR="00E2092F" w:rsidRPr="000E013A" w14:paraId="7500E157" w14:textId="77777777" w:rsidTr="00BC431A">
        <w:trPr>
          <w:gridAfter w:val="1"/>
          <w:wAfter w:w="6" w:type="dxa"/>
        </w:trPr>
        <w:tc>
          <w:tcPr>
            <w:tcW w:w="2269" w:type="dxa"/>
            <w:gridSpan w:val="2"/>
          </w:tcPr>
          <w:p w14:paraId="43A613FF" w14:textId="77777777" w:rsidR="00E2092F" w:rsidRPr="000E013A" w:rsidRDefault="00E2092F" w:rsidP="00E2092F">
            <w:pPr>
              <w:rPr>
                <w:b/>
              </w:rPr>
            </w:pPr>
            <w:r w:rsidRPr="000E013A">
              <w:rPr>
                <w:b/>
              </w:rPr>
              <w:t>ASSESSMENT</w:t>
            </w:r>
          </w:p>
        </w:tc>
        <w:tc>
          <w:tcPr>
            <w:tcW w:w="7296" w:type="dxa"/>
            <w:gridSpan w:val="2"/>
          </w:tcPr>
          <w:p w14:paraId="5559E707" w14:textId="77777777" w:rsidR="00E2092F" w:rsidRPr="000E013A" w:rsidRDefault="00E2092F" w:rsidP="00E2092F"/>
        </w:tc>
      </w:tr>
      <w:tr w:rsidR="00E2092F" w:rsidRPr="000E013A" w14:paraId="2D0D7D93" w14:textId="77777777" w:rsidTr="00BC431A">
        <w:trPr>
          <w:gridAfter w:val="1"/>
          <w:wAfter w:w="6" w:type="dxa"/>
        </w:trPr>
        <w:tc>
          <w:tcPr>
            <w:tcW w:w="2269" w:type="dxa"/>
            <w:gridSpan w:val="2"/>
          </w:tcPr>
          <w:p w14:paraId="3DD1B2BA" w14:textId="77777777" w:rsidR="00E2092F" w:rsidRPr="000E013A" w:rsidRDefault="00E2092F" w:rsidP="00E2092F">
            <w:pPr>
              <w:ind w:left="284"/>
            </w:pPr>
            <w:r w:rsidRPr="000E013A">
              <w:t>Indicator Name</w:t>
            </w:r>
          </w:p>
        </w:tc>
        <w:tc>
          <w:tcPr>
            <w:tcW w:w="7296" w:type="dxa"/>
            <w:gridSpan w:val="2"/>
          </w:tcPr>
          <w:p w14:paraId="18ECA1CE" w14:textId="068B047F" w:rsidR="001C719F" w:rsidRDefault="001C719F" w:rsidP="001C719F">
            <w:pPr>
              <w:tabs>
                <w:tab w:val="left" w:pos="1095"/>
              </w:tabs>
              <w:jc w:val="left"/>
            </w:pPr>
            <w:r>
              <w:t>TOUR003a</w:t>
            </w:r>
            <w:r>
              <w:t xml:space="preserve"> - </w:t>
            </w:r>
            <w:r>
              <w:t>Nr of pictures per km2</w:t>
            </w:r>
          </w:p>
          <w:p w14:paraId="60440B93" w14:textId="0540C268" w:rsidR="001C719F" w:rsidRDefault="001C719F" w:rsidP="001C719F">
            <w:pPr>
              <w:tabs>
                <w:tab w:val="left" w:pos="1095"/>
              </w:tabs>
              <w:jc w:val="left"/>
            </w:pPr>
            <w:r>
              <w:t>TOUR003b</w:t>
            </w:r>
            <w:r>
              <w:t xml:space="preserve"> - Hotspots</w:t>
            </w:r>
            <w:bookmarkStart w:id="0" w:name="_GoBack"/>
            <w:bookmarkEnd w:id="0"/>
          </w:p>
          <w:p w14:paraId="30C2679B" w14:textId="6CDEF645" w:rsidR="00E2092F" w:rsidRPr="000E013A" w:rsidRDefault="001C719F" w:rsidP="00566F0F">
            <w:pPr>
              <w:tabs>
                <w:tab w:val="left" w:pos="1095"/>
              </w:tabs>
              <w:jc w:val="left"/>
            </w:pPr>
            <w:r>
              <w:t>TOUR003c</w:t>
            </w:r>
            <w:r>
              <w:t xml:space="preserve"> - </w:t>
            </w:r>
            <w:r>
              <w:t>Percentage of area of hotspots by NUTS3</w:t>
            </w:r>
          </w:p>
        </w:tc>
      </w:tr>
      <w:tr w:rsidR="00E2092F" w:rsidRPr="000E013A" w14:paraId="11D5D316" w14:textId="77777777" w:rsidTr="00BC431A">
        <w:trPr>
          <w:gridAfter w:val="1"/>
          <w:wAfter w:w="6" w:type="dxa"/>
        </w:trPr>
        <w:tc>
          <w:tcPr>
            <w:tcW w:w="2269" w:type="dxa"/>
            <w:gridSpan w:val="2"/>
          </w:tcPr>
          <w:p w14:paraId="79974930" w14:textId="77777777" w:rsidR="00E2092F" w:rsidRPr="000E013A" w:rsidRDefault="00E2092F" w:rsidP="00566F0F">
            <w:pPr>
              <w:ind w:left="284"/>
              <w:jc w:val="left"/>
            </w:pPr>
            <w:r w:rsidRPr="000E013A">
              <w:t>Key policy question</w:t>
            </w:r>
          </w:p>
        </w:tc>
        <w:tc>
          <w:tcPr>
            <w:tcW w:w="7296" w:type="dxa"/>
            <w:gridSpan w:val="2"/>
          </w:tcPr>
          <w:p w14:paraId="3BDFC002" w14:textId="77777777" w:rsidR="00E2092F" w:rsidRPr="000E013A" w:rsidRDefault="00566F0F" w:rsidP="00E2092F">
            <w:r w:rsidRPr="000E013A">
              <w:rPr>
                <w:lang w:val="en-US"/>
              </w:rPr>
              <w:t>Where are the most attractive places</w:t>
            </w:r>
            <w:r w:rsidR="00E2092F" w:rsidRPr="000E013A">
              <w:rPr>
                <w:lang w:val="en-US"/>
              </w:rPr>
              <w:t>?</w:t>
            </w:r>
          </w:p>
        </w:tc>
      </w:tr>
      <w:tr w:rsidR="00E2092F" w:rsidRPr="000E013A" w14:paraId="477D8FB6" w14:textId="77777777" w:rsidTr="00BC431A">
        <w:trPr>
          <w:gridAfter w:val="1"/>
          <w:wAfter w:w="6" w:type="dxa"/>
        </w:trPr>
        <w:tc>
          <w:tcPr>
            <w:tcW w:w="2269" w:type="dxa"/>
            <w:gridSpan w:val="2"/>
          </w:tcPr>
          <w:p w14:paraId="530FBBF9" w14:textId="77777777" w:rsidR="00E2092F" w:rsidRPr="000E013A" w:rsidRDefault="00E2092F" w:rsidP="00E2092F">
            <w:pPr>
              <w:ind w:left="284"/>
            </w:pPr>
            <w:r w:rsidRPr="000E013A">
              <w:t>Key message</w:t>
            </w:r>
          </w:p>
        </w:tc>
        <w:tc>
          <w:tcPr>
            <w:tcW w:w="7296" w:type="dxa"/>
            <w:gridSpan w:val="2"/>
          </w:tcPr>
          <w:p w14:paraId="1DAB1627" w14:textId="15337538" w:rsidR="00E2092F" w:rsidRPr="000E013A" w:rsidRDefault="00566F0F" w:rsidP="00AE1D0B">
            <w:r w:rsidRPr="000E013A">
              <w:t xml:space="preserve">People </w:t>
            </w:r>
            <w:r w:rsidR="00A64877" w:rsidRPr="000E013A">
              <w:t>feel</w:t>
            </w:r>
            <w:r w:rsidR="00CC2B18" w:rsidRPr="000E013A">
              <w:t xml:space="preserve"> </w:t>
            </w:r>
            <w:r w:rsidRPr="000E013A">
              <w:t>attracted by different values, some of them inherent to the place like</w:t>
            </w:r>
            <w:r w:rsidR="00853A31" w:rsidRPr="000E013A">
              <w:t xml:space="preserve"> nature, cultural values</w:t>
            </w:r>
            <w:r w:rsidRPr="000E013A">
              <w:t xml:space="preserve">, aesthetics, but also for the possibility to develop certain </w:t>
            </w:r>
            <w:r w:rsidR="00CC2B18" w:rsidRPr="000E013A">
              <w:t xml:space="preserve">leisure </w:t>
            </w:r>
            <w:r w:rsidRPr="000E013A">
              <w:t>activities</w:t>
            </w:r>
            <w:r w:rsidR="00B427AF" w:rsidRPr="000E013A">
              <w:t xml:space="preserve"> (like golf courses or hiking)</w:t>
            </w:r>
            <w:r w:rsidRPr="000E013A">
              <w:t>.</w:t>
            </w:r>
            <w:r w:rsidR="00B427AF" w:rsidRPr="000E013A">
              <w:t xml:space="preserve"> The combination of these elements results in hot spots, i.e. places </w:t>
            </w:r>
            <w:r w:rsidR="003A3CC4" w:rsidRPr="000E013A">
              <w:t xml:space="preserve">that </w:t>
            </w:r>
            <w:r w:rsidR="00A64877" w:rsidRPr="000E013A">
              <w:t>justifies going there and sharing</w:t>
            </w:r>
            <w:r w:rsidR="00B427AF" w:rsidRPr="000E013A">
              <w:t xml:space="preserve"> </w:t>
            </w:r>
            <w:r w:rsidR="00A64877" w:rsidRPr="000E013A">
              <w:t xml:space="preserve">the experience </w:t>
            </w:r>
            <w:r w:rsidR="00B427AF" w:rsidRPr="000E013A">
              <w:t xml:space="preserve">on the social networks. </w:t>
            </w:r>
          </w:p>
        </w:tc>
      </w:tr>
      <w:tr w:rsidR="00E2092F" w:rsidRPr="000E013A" w14:paraId="2DC549EF" w14:textId="77777777" w:rsidTr="00BC431A">
        <w:trPr>
          <w:gridAfter w:val="1"/>
          <w:wAfter w:w="6" w:type="dxa"/>
        </w:trPr>
        <w:tc>
          <w:tcPr>
            <w:tcW w:w="2269" w:type="dxa"/>
            <w:gridSpan w:val="2"/>
          </w:tcPr>
          <w:p w14:paraId="36FF2624" w14:textId="77777777" w:rsidR="00E2092F" w:rsidRPr="000E013A" w:rsidRDefault="00E2092F" w:rsidP="00E2092F">
            <w:pPr>
              <w:ind w:left="284"/>
            </w:pPr>
            <w:r w:rsidRPr="000E013A">
              <w:t xml:space="preserve">Key assessment </w:t>
            </w:r>
          </w:p>
        </w:tc>
        <w:tc>
          <w:tcPr>
            <w:tcW w:w="7296" w:type="dxa"/>
            <w:gridSpan w:val="2"/>
          </w:tcPr>
          <w:p w14:paraId="7566F191" w14:textId="7EE0FB05" w:rsidR="00566F0F" w:rsidRPr="000E013A" w:rsidRDefault="002E3DB4" w:rsidP="00E2092F">
            <w:pPr>
              <w:rPr>
                <w:noProof/>
                <w:lang w:val="ca-ES" w:eastAsia="es-ES"/>
              </w:rPr>
            </w:pPr>
            <w:r w:rsidRPr="000E013A">
              <w:rPr>
                <w:noProof/>
                <w:lang w:val="ca-ES" w:eastAsia="ca-ES"/>
              </w:rPr>
              <w:drawing>
                <wp:inline distT="0" distB="0" distL="0" distR="0" wp14:anchorId="47F27AAB" wp14:editId="14363B53">
                  <wp:extent cx="4505325" cy="3030029"/>
                  <wp:effectExtent l="0" t="0" r="0" b="0"/>
                  <wp:docPr id="1" name="Imagen 1" descr="D:\EEA Turisme\Activitats 2016 - TOUERM report\Indicator fact-sheets\Maps and graphs last version 17-10-2016\most_attractive_places\Ph_Intensity_v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A Turisme\Activitats 2016 - TOUERM report\Indicator fact-sheets\Maps and graphs last version 17-10-2016\most_attractive_places\Ph_Intensity_v2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718" cy="3032311"/>
                          </a:xfrm>
                          <a:prstGeom prst="rect">
                            <a:avLst/>
                          </a:prstGeom>
                          <a:noFill/>
                          <a:ln>
                            <a:noFill/>
                          </a:ln>
                        </pic:spPr>
                      </pic:pic>
                    </a:graphicData>
                  </a:graphic>
                </wp:inline>
              </w:drawing>
            </w:r>
          </w:p>
          <w:p w14:paraId="094E3440" w14:textId="26FDCFEA" w:rsidR="00566F0F" w:rsidRPr="000E013A" w:rsidRDefault="00BC431A" w:rsidP="00E2092F">
            <w:pPr>
              <w:rPr>
                <w:noProof/>
                <w:lang w:val="en-US" w:eastAsia="es-ES"/>
              </w:rPr>
            </w:pPr>
            <w:r w:rsidRPr="000E013A">
              <w:rPr>
                <w:noProof/>
                <w:lang w:val="ca-ES" w:eastAsia="ca-ES"/>
              </w:rPr>
              <w:drawing>
                <wp:inline distT="0" distB="0" distL="0" distR="0" wp14:anchorId="721E0D5C" wp14:editId="12E0BA77">
                  <wp:extent cx="4553657" cy="3114675"/>
                  <wp:effectExtent l="0" t="0" r="0" b="0"/>
                  <wp:docPr id="6" name="Imagen 6" descr="D:\EEA Turisme\Activitats 2016 - TOUERM report\Indicator fact-sheets\Maps and graphs last version 17-10-2016\most_attractive_places\Hotspots_Perc_NUTS3_v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A Turisme\Activitats 2016 - TOUERM report\Indicator fact-sheets\Maps and graphs last version 17-10-2016\most_attractive_places\Hotspots_Perc_NUTS3_v1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8226" cy="3117800"/>
                          </a:xfrm>
                          <a:prstGeom prst="rect">
                            <a:avLst/>
                          </a:prstGeom>
                          <a:noFill/>
                          <a:ln>
                            <a:noFill/>
                          </a:ln>
                        </pic:spPr>
                      </pic:pic>
                    </a:graphicData>
                  </a:graphic>
                </wp:inline>
              </w:drawing>
            </w:r>
          </w:p>
          <w:p w14:paraId="3E7281F0" w14:textId="77777777" w:rsidR="00BC431A" w:rsidRPr="000E013A" w:rsidRDefault="00BC431A" w:rsidP="004E7467">
            <w:pPr>
              <w:rPr>
                <w:noProof/>
                <w:lang w:eastAsia="en-GB"/>
              </w:rPr>
            </w:pPr>
          </w:p>
          <w:p w14:paraId="1837365F" w14:textId="451EEA23" w:rsidR="00AF133B" w:rsidRPr="000E013A" w:rsidRDefault="00AF133B" w:rsidP="004E7467">
            <w:pPr>
              <w:rPr>
                <w:noProof/>
                <w:lang w:eastAsia="en-GB"/>
              </w:rPr>
            </w:pPr>
            <w:r w:rsidRPr="000E013A">
              <w:rPr>
                <w:noProof/>
                <w:lang w:eastAsia="en-GB"/>
              </w:rPr>
              <w:t>Attractive areas, measured as number of pictures per km</w:t>
            </w:r>
            <w:r w:rsidRPr="000E013A">
              <w:rPr>
                <w:noProof/>
                <w:vertAlign w:val="superscript"/>
                <w:lang w:eastAsia="en-GB"/>
              </w:rPr>
              <w:t>2</w:t>
            </w:r>
            <w:r w:rsidR="004E7467" w:rsidRPr="000E013A">
              <w:rPr>
                <w:noProof/>
                <w:lang w:eastAsia="en-GB"/>
              </w:rPr>
              <w:t xml:space="preserve">, show a spatial pattern in Europe: there is a clear concentration in Central Europe, in particualr the area known as “blue banana” that follows an axis going from Belgium to Italy. This is an important economic area which include the Alps. Other attractive mountain areas also emerge as the Carpathian Mountains or the Pyrenees. It’s worthwhile to  note the difference between Spain and France in terms of dissemination on the </w:t>
            </w:r>
            <w:r w:rsidR="00CC2B18" w:rsidRPr="000E013A">
              <w:rPr>
                <w:noProof/>
                <w:lang w:eastAsia="en-GB"/>
              </w:rPr>
              <w:t>countryside</w:t>
            </w:r>
            <w:r w:rsidR="004E7467" w:rsidRPr="000E013A">
              <w:rPr>
                <w:noProof/>
                <w:lang w:eastAsia="en-GB"/>
              </w:rPr>
              <w:t xml:space="preserve">: while attractive areas in France seem </w:t>
            </w:r>
            <w:r w:rsidR="00CC2B18" w:rsidRPr="000E013A">
              <w:rPr>
                <w:noProof/>
                <w:lang w:eastAsia="en-GB"/>
              </w:rPr>
              <w:t xml:space="preserve">to be </w:t>
            </w:r>
            <w:r w:rsidR="004E7467" w:rsidRPr="000E013A">
              <w:rPr>
                <w:noProof/>
                <w:lang w:eastAsia="en-GB"/>
              </w:rPr>
              <w:t xml:space="preserve">more concentrated in major cities and few regions, in Spain </w:t>
            </w:r>
            <w:r w:rsidR="00CC2B18" w:rsidRPr="000E013A">
              <w:rPr>
                <w:noProof/>
                <w:lang w:eastAsia="en-GB"/>
              </w:rPr>
              <w:t xml:space="preserve">they are </w:t>
            </w:r>
            <w:r w:rsidR="004E7467" w:rsidRPr="000E013A">
              <w:rPr>
                <w:noProof/>
                <w:lang w:eastAsia="en-GB"/>
              </w:rPr>
              <w:t>more disseminated in the country side. This trend is also consistent with the indicator on number of beds per NUTS and also with the occupation.</w:t>
            </w:r>
          </w:p>
          <w:p w14:paraId="777869E9" w14:textId="77777777" w:rsidR="00AF133B" w:rsidRPr="000E013A" w:rsidRDefault="00AF133B" w:rsidP="00E2092F">
            <w:pPr>
              <w:rPr>
                <w:noProof/>
                <w:lang w:eastAsia="en-GB"/>
              </w:rPr>
            </w:pPr>
          </w:p>
          <w:p w14:paraId="61841A2F" w14:textId="78AA6A07" w:rsidR="004E7467" w:rsidRPr="000E013A" w:rsidRDefault="004E7467" w:rsidP="004E7467">
            <w:r w:rsidRPr="000E013A">
              <w:rPr>
                <w:noProof/>
                <w:lang w:eastAsia="en-GB"/>
              </w:rPr>
              <w:t xml:space="preserve">In order the better capture the attractiveness, an indicator on hot spots </w:t>
            </w:r>
            <w:r w:rsidR="00EC310C" w:rsidRPr="000E013A">
              <w:rPr>
                <w:noProof/>
                <w:lang w:eastAsia="en-GB"/>
              </w:rPr>
              <w:t xml:space="preserve">has </w:t>
            </w:r>
            <w:r w:rsidRPr="000E013A">
              <w:rPr>
                <w:noProof/>
                <w:lang w:eastAsia="en-GB"/>
              </w:rPr>
              <w:t xml:space="preserve">been applied. </w:t>
            </w:r>
            <w:r w:rsidRPr="000E013A">
              <w:t xml:space="preserve">Hot spots are areas with significant higher concentration of pictures compared with the rest of the region and have also a significant spatial aggregation. </w:t>
            </w:r>
          </w:p>
          <w:p w14:paraId="1D5C49E3" w14:textId="77777777" w:rsidR="00BC431A" w:rsidRPr="000E013A" w:rsidRDefault="00BC431A" w:rsidP="004E7467"/>
          <w:p w14:paraId="23ED77BC" w14:textId="264F55A6" w:rsidR="004E7467" w:rsidRPr="000E013A" w:rsidRDefault="004E7467" w:rsidP="004E7467">
            <w:r w:rsidRPr="000E013A">
              <w:t>It should be noted that the hot spot has a spatial extent, i.e. there is a high probability that people move inside the hot spot (in other words the same person will take pictures from different places inside the hot spot). This also makes a difference with areas outside hot spots</w:t>
            </w:r>
            <w:r w:rsidR="00EC310C" w:rsidRPr="000E013A">
              <w:t xml:space="preserve">; </w:t>
            </w:r>
            <w:r w:rsidRPr="000E013A">
              <w:t xml:space="preserve">there can still be a relatively high number of points where pictures are taken, but these points are not spatially clustered. </w:t>
            </w:r>
          </w:p>
          <w:p w14:paraId="68172808" w14:textId="77777777" w:rsidR="00AF133B" w:rsidRPr="000E013A" w:rsidRDefault="00AF133B" w:rsidP="00E2092F">
            <w:pPr>
              <w:rPr>
                <w:noProof/>
                <w:lang w:eastAsia="en-GB"/>
              </w:rPr>
            </w:pPr>
          </w:p>
          <w:p w14:paraId="788B4B2D" w14:textId="525E13E3" w:rsidR="00BC431A" w:rsidRPr="000E013A" w:rsidRDefault="003A3CC4" w:rsidP="00E2092F">
            <w:pPr>
              <w:rPr>
                <w:noProof/>
                <w:lang w:eastAsia="en-GB"/>
              </w:rPr>
            </w:pPr>
            <w:r w:rsidRPr="000E013A">
              <w:rPr>
                <w:noProof/>
                <w:lang w:eastAsia="en-GB"/>
              </w:rPr>
              <w:t>Since one would expect higher number of pictures in cities or metropolitan areas</w:t>
            </w:r>
            <w:r w:rsidR="001710C4" w:rsidRPr="000E013A">
              <w:rPr>
                <w:noProof/>
                <w:lang w:eastAsia="en-GB"/>
              </w:rPr>
              <w:t xml:space="preserve"> because higher accessibility and density of population, </w:t>
            </w:r>
            <w:r w:rsidRPr="000E013A">
              <w:rPr>
                <w:noProof/>
                <w:lang w:eastAsia="en-GB"/>
              </w:rPr>
              <w:t xml:space="preserve"> t</w:t>
            </w:r>
            <w:r w:rsidR="004E7467" w:rsidRPr="000E013A">
              <w:rPr>
                <w:noProof/>
                <w:lang w:eastAsia="en-GB"/>
              </w:rPr>
              <w:t>wo type of hot spots have been identified</w:t>
            </w:r>
            <w:r w:rsidR="004E06BC" w:rsidRPr="000E013A">
              <w:rPr>
                <w:noProof/>
                <w:lang w:eastAsia="en-GB"/>
              </w:rPr>
              <w:t xml:space="preserve">: hot spots in rural areas and hot spots in urban areas. </w:t>
            </w:r>
            <w:r w:rsidRPr="000E013A">
              <w:rPr>
                <w:noProof/>
                <w:lang w:eastAsia="en-GB"/>
              </w:rPr>
              <w:t>These areas were selected according to the typology defined by DG Regio (2012). Urban areas are defined as those areas with higher population density and an agglomeration of minimum 50</w:t>
            </w:r>
            <w:r w:rsidR="00BC431A" w:rsidRPr="000E013A">
              <w:rPr>
                <w:noProof/>
                <w:lang w:eastAsia="en-GB"/>
              </w:rPr>
              <w:t>,</w:t>
            </w:r>
            <w:r w:rsidRPr="000E013A">
              <w:rPr>
                <w:noProof/>
                <w:lang w:eastAsia="en-GB"/>
              </w:rPr>
              <w:t>000 inhabitants.</w:t>
            </w:r>
          </w:p>
          <w:p w14:paraId="12CFE2A7" w14:textId="5A6A0F9E" w:rsidR="00BC431A" w:rsidRPr="000E013A" w:rsidRDefault="00BC431A" w:rsidP="00E2092F">
            <w:pPr>
              <w:rPr>
                <w:noProof/>
                <w:lang w:eastAsia="en-GB"/>
              </w:rPr>
            </w:pPr>
            <w:r w:rsidRPr="000E013A">
              <w:rPr>
                <w:noProof/>
                <w:lang w:val="ca-ES" w:eastAsia="ca-ES"/>
              </w:rPr>
              <w:drawing>
                <wp:inline distT="0" distB="0" distL="0" distR="0" wp14:anchorId="0FB8046B" wp14:editId="3A4D908B">
                  <wp:extent cx="4543532" cy="3184050"/>
                  <wp:effectExtent l="0" t="0" r="0" b="0"/>
                  <wp:docPr id="3" name="Imagen 3" descr="D:\EEA Turisme\Activitats 2016 - TOUERM report\Indicator fact-sheets\Maps and graphs last version 17-10-2016\most_attractive_places\Hotspots_Rural15_Urban25_v2Low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A Turisme\Activitats 2016 - TOUERM report\Indicator fact-sheets\Maps and graphs last version 17-10-2016\most_attractive_places\Hotspots_Rural15_Urban25_v2Lowres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9758" cy="3181405"/>
                          </a:xfrm>
                          <a:prstGeom prst="rect">
                            <a:avLst/>
                          </a:prstGeom>
                          <a:noFill/>
                          <a:ln>
                            <a:noFill/>
                          </a:ln>
                        </pic:spPr>
                      </pic:pic>
                    </a:graphicData>
                  </a:graphic>
                </wp:inline>
              </w:drawing>
            </w:r>
          </w:p>
          <w:p w14:paraId="3525F6FC" w14:textId="77777777" w:rsidR="004E06BC" w:rsidRPr="000E013A" w:rsidRDefault="004E06BC" w:rsidP="00E2092F">
            <w:pPr>
              <w:rPr>
                <w:noProof/>
                <w:lang w:eastAsia="en-GB"/>
              </w:rPr>
            </w:pPr>
          </w:p>
          <w:p w14:paraId="7E2DCF31" w14:textId="77777777" w:rsidR="00BC431A" w:rsidRPr="000E013A" w:rsidRDefault="00BC431A" w:rsidP="00E2092F">
            <w:pPr>
              <w:rPr>
                <w:noProof/>
                <w:u w:val="single"/>
                <w:lang w:eastAsia="en-GB"/>
              </w:rPr>
            </w:pPr>
          </w:p>
          <w:p w14:paraId="39B168C0" w14:textId="7F89D1CD" w:rsidR="004E06BC" w:rsidRPr="000E013A" w:rsidRDefault="004E7467" w:rsidP="00E2092F">
            <w:pPr>
              <w:rPr>
                <w:noProof/>
                <w:lang w:eastAsia="en-GB"/>
              </w:rPr>
            </w:pPr>
            <w:r w:rsidRPr="000E013A">
              <w:rPr>
                <w:noProof/>
                <w:u w:val="single"/>
                <w:lang w:eastAsia="en-GB"/>
              </w:rPr>
              <w:t xml:space="preserve">Hot spots in rural areas </w:t>
            </w:r>
          </w:p>
          <w:p w14:paraId="660C60EB" w14:textId="2031A5DA" w:rsidR="00AF133B" w:rsidRPr="000E013A" w:rsidRDefault="004E7467" w:rsidP="00E2092F">
            <w:pPr>
              <w:rPr>
                <w:noProof/>
                <w:lang w:eastAsia="en-GB"/>
              </w:rPr>
            </w:pPr>
            <w:r w:rsidRPr="000E013A">
              <w:rPr>
                <w:noProof/>
                <w:lang w:eastAsia="en-GB"/>
              </w:rPr>
              <w:t xml:space="preserve">The Pyrenees, </w:t>
            </w:r>
            <w:r w:rsidR="00EC310C" w:rsidRPr="000E013A">
              <w:rPr>
                <w:noProof/>
                <w:lang w:eastAsia="en-GB"/>
              </w:rPr>
              <w:t xml:space="preserve">the </w:t>
            </w:r>
            <w:r w:rsidRPr="000E013A">
              <w:rPr>
                <w:noProof/>
                <w:lang w:eastAsia="en-GB"/>
              </w:rPr>
              <w:t xml:space="preserve">Alps and </w:t>
            </w:r>
            <w:r w:rsidR="00EC310C" w:rsidRPr="000E013A">
              <w:rPr>
                <w:noProof/>
                <w:lang w:eastAsia="en-GB"/>
              </w:rPr>
              <w:t xml:space="preserve">the </w:t>
            </w:r>
            <w:r w:rsidRPr="000E013A">
              <w:rPr>
                <w:noProof/>
                <w:lang w:eastAsia="en-GB"/>
              </w:rPr>
              <w:t>Carpathian Mountain</w:t>
            </w:r>
            <w:r w:rsidR="00EC310C" w:rsidRPr="000E013A">
              <w:rPr>
                <w:noProof/>
                <w:lang w:eastAsia="en-GB"/>
              </w:rPr>
              <w:t>s</w:t>
            </w:r>
            <w:r w:rsidRPr="000E013A">
              <w:rPr>
                <w:noProof/>
                <w:lang w:eastAsia="en-GB"/>
              </w:rPr>
              <w:t xml:space="preserve"> clearly emerg</w:t>
            </w:r>
            <w:r w:rsidR="003A3CC4" w:rsidRPr="000E013A">
              <w:rPr>
                <w:noProof/>
                <w:lang w:eastAsia="en-GB"/>
              </w:rPr>
              <w:t>e</w:t>
            </w:r>
            <w:r w:rsidRPr="000E013A">
              <w:rPr>
                <w:noProof/>
                <w:lang w:eastAsia="en-GB"/>
              </w:rPr>
              <w:t xml:space="preserve">. </w:t>
            </w:r>
            <w:r w:rsidR="00BE5819" w:rsidRPr="000E013A">
              <w:rPr>
                <w:noProof/>
                <w:lang w:eastAsia="en-GB"/>
              </w:rPr>
              <w:t xml:space="preserve">Also the Netherlands. </w:t>
            </w:r>
            <w:r w:rsidRPr="000E013A">
              <w:rPr>
                <w:noProof/>
                <w:lang w:eastAsia="en-GB"/>
              </w:rPr>
              <w:t>In addition</w:t>
            </w:r>
            <w:r w:rsidR="004E06BC" w:rsidRPr="000E013A">
              <w:rPr>
                <w:noProof/>
                <w:lang w:eastAsia="en-GB"/>
              </w:rPr>
              <w:t>, Spain, France, Greece and Croatia emerge as the most attractive countries on the coast. In the case of Italy, the pressure on the coast seems lower</w:t>
            </w:r>
            <w:r w:rsidR="00BE5819" w:rsidRPr="000E013A">
              <w:rPr>
                <w:noProof/>
                <w:lang w:eastAsia="en-GB"/>
              </w:rPr>
              <w:t xml:space="preserve"> (with the sole exception of eastern Sicily)</w:t>
            </w:r>
            <w:r w:rsidR="00FE3829" w:rsidRPr="000E013A">
              <w:rPr>
                <w:noProof/>
                <w:lang w:eastAsia="en-GB"/>
              </w:rPr>
              <w:t xml:space="preserve">, </w:t>
            </w:r>
            <w:r w:rsidR="00BE5819" w:rsidRPr="000E013A">
              <w:rPr>
                <w:noProof/>
                <w:lang w:eastAsia="en-GB"/>
              </w:rPr>
              <w:t>whereas</w:t>
            </w:r>
            <w:r w:rsidR="00FE3829" w:rsidRPr="000E013A">
              <w:rPr>
                <w:noProof/>
                <w:lang w:eastAsia="en-GB"/>
              </w:rPr>
              <w:t xml:space="preserve"> the rural areas in the north-east and in the centre are more interested by this phenomenon</w:t>
            </w:r>
            <w:r w:rsidR="004E06BC" w:rsidRPr="000E013A">
              <w:rPr>
                <w:noProof/>
                <w:lang w:eastAsia="en-GB"/>
              </w:rPr>
              <w:t xml:space="preserve">. </w:t>
            </w:r>
          </w:p>
          <w:p w14:paraId="03EF090B" w14:textId="77777777" w:rsidR="00AF133B" w:rsidRPr="000E013A" w:rsidRDefault="00AF133B" w:rsidP="00E2092F">
            <w:pPr>
              <w:rPr>
                <w:noProof/>
                <w:lang w:eastAsia="en-GB"/>
              </w:rPr>
            </w:pPr>
          </w:p>
          <w:p w14:paraId="043A8D2B" w14:textId="3E00AF6B" w:rsidR="004E06BC" w:rsidRPr="000E013A" w:rsidRDefault="004E06BC" w:rsidP="004E06BC">
            <w:r w:rsidRPr="000E013A">
              <w:t xml:space="preserve">There is also the so called cold spots (in blue) which are with few pictures (low frequency) but that are spatially correlated, or in other words areas that </w:t>
            </w:r>
            <w:r w:rsidR="00FE3829" w:rsidRPr="000E013A">
              <w:t>conform</w:t>
            </w:r>
            <w:r w:rsidRPr="000E013A">
              <w:t xml:space="preserve"> a certain unity. Those areas appear </w:t>
            </w:r>
            <w:r w:rsidR="003A3CC4" w:rsidRPr="000E013A">
              <w:t>scattered across Europe and may be linked to different situations like remote areas, or, on the opposite, accessible areas of less interest/attractiveness</w:t>
            </w:r>
            <w:r w:rsidRPr="000E013A">
              <w:t>. It means that there are few</w:t>
            </w:r>
            <w:r w:rsidR="001710C4" w:rsidRPr="000E013A">
              <w:t>er</w:t>
            </w:r>
            <w:r w:rsidRPr="000E013A">
              <w:t xml:space="preserve"> pictures (less people going there), but </w:t>
            </w:r>
            <w:r w:rsidR="001710C4" w:rsidRPr="000E013A">
              <w:t>pictures are not randomly distributed. Consequently</w:t>
            </w:r>
            <w:r w:rsidR="005E3344" w:rsidRPr="000E013A">
              <w:t>,</w:t>
            </w:r>
            <w:r w:rsidR="001710C4" w:rsidRPr="000E013A">
              <w:t xml:space="preserve"> pictures within these cold spots correspond to areas that have a unity, or minimum interest as a whole.</w:t>
            </w:r>
          </w:p>
          <w:p w14:paraId="12700840" w14:textId="77777777" w:rsidR="00AF133B" w:rsidRPr="000E013A" w:rsidRDefault="00AF133B" w:rsidP="00E2092F"/>
          <w:p w14:paraId="67726E61" w14:textId="6542ACDE" w:rsidR="00AF133B" w:rsidRPr="000E013A" w:rsidRDefault="004E06BC" w:rsidP="00E2092F">
            <w:pPr>
              <w:rPr>
                <w:noProof/>
                <w:lang w:eastAsia="en-GB"/>
              </w:rPr>
            </w:pPr>
            <w:r w:rsidRPr="000E013A">
              <w:rPr>
                <w:u w:val="single"/>
              </w:rPr>
              <w:t>Hot spots in urban areas</w:t>
            </w:r>
          </w:p>
          <w:p w14:paraId="2C017B3F" w14:textId="4CE1DA23" w:rsidR="004E06BC" w:rsidRPr="000E013A" w:rsidRDefault="004E06BC" w:rsidP="00E2092F">
            <w:pPr>
              <w:rPr>
                <w:noProof/>
                <w:lang w:eastAsia="en-GB"/>
              </w:rPr>
            </w:pPr>
            <w:r w:rsidRPr="000E013A">
              <w:rPr>
                <w:noProof/>
                <w:lang w:eastAsia="en-GB"/>
              </w:rPr>
              <w:t>All the capitals appear as a hot spot, with different geographic extent.</w:t>
            </w:r>
            <w:r w:rsidR="001710C4" w:rsidRPr="000E013A">
              <w:rPr>
                <w:noProof/>
                <w:lang w:eastAsia="en-GB"/>
              </w:rPr>
              <w:t xml:space="preserve"> In some countries secondary cities also emerge as in Spain (Barcelona, Valencia, Sevilla). Germany (Cologne and Munich) and Poland. Blue areas reflect cold spots, i.e., spots with less pictures like in UK, Germany and Italy.</w:t>
            </w:r>
          </w:p>
          <w:p w14:paraId="7344B449" w14:textId="77777777" w:rsidR="00E2092F" w:rsidRPr="000E013A" w:rsidRDefault="00E2092F" w:rsidP="00E2092F"/>
        </w:tc>
      </w:tr>
      <w:tr w:rsidR="00E2092F" w:rsidRPr="000E013A" w14:paraId="790CB7E7" w14:textId="77777777" w:rsidTr="00BC431A">
        <w:trPr>
          <w:gridAfter w:val="1"/>
          <w:wAfter w:w="6" w:type="dxa"/>
        </w:trPr>
        <w:tc>
          <w:tcPr>
            <w:tcW w:w="2269" w:type="dxa"/>
            <w:gridSpan w:val="2"/>
          </w:tcPr>
          <w:p w14:paraId="04B22195" w14:textId="77777777" w:rsidR="00E2092F" w:rsidRPr="000E013A" w:rsidRDefault="00E2092F" w:rsidP="00E2092F">
            <w:pPr>
              <w:ind w:left="284"/>
            </w:pPr>
            <w:r w:rsidRPr="000E013A">
              <w:lastRenderedPageBreak/>
              <w:t xml:space="preserve">Specific policy question </w:t>
            </w:r>
          </w:p>
        </w:tc>
        <w:tc>
          <w:tcPr>
            <w:tcW w:w="7296" w:type="dxa"/>
            <w:gridSpan w:val="2"/>
          </w:tcPr>
          <w:p w14:paraId="40BEF6BE" w14:textId="77777777" w:rsidR="00E2092F" w:rsidRPr="000E013A" w:rsidRDefault="00E2092F" w:rsidP="00E2092F"/>
        </w:tc>
      </w:tr>
      <w:tr w:rsidR="00E2092F" w:rsidRPr="000E013A" w14:paraId="75C5CB0C" w14:textId="77777777" w:rsidTr="00BC431A">
        <w:trPr>
          <w:gridAfter w:val="1"/>
          <w:wAfter w:w="6" w:type="dxa"/>
        </w:trPr>
        <w:tc>
          <w:tcPr>
            <w:tcW w:w="2269" w:type="dxa"/>
            <w:gridSpan w:val="2"/>
          </w:tcPr>
          <w:p w14:paraId="77F813CC" w14:textId="77777777" w:rsidR="00E2092F" w:rsidRPr="000E013A" w:rsidRDefault="00E2092F" w:rsidP="00E2092F">
            <w:pPr>
              <w:ind w:left="284"/>
            </w:pPr>
            <w:r w:rsidRPr="000E013A">
              <w:t xml:space="preserve">Specific assessment </w:t>
            </w:r>
          </w:p>
        </w:tc>
        <w:tc>
          <w:tcPr>
            <w:tcW w:w="7296" w:type="dxa"/>
            <w:gridSpan w:val="2"/>
          </w:tcPr>
          <w:p w14:paraId="031C751F" w14:textId="77777777" w:rsidR="00E2092F" w:rsidRPr="000E013A" w:rsidRDefault="00E2092F" w:rsidP="00E2092F"/>
        </w:tc>
      </w:tr>
      <w:tr w:rsidR="00E2092F" w:rsidRPr="000E013A" w14:paraId="04F514B9" w14:textId="77777777" w:rsidTr="00BC431A">
        <w:trPr>
          <w:gridAfter w:val="1"/>
          <w:wAfter w:w="6" w:type="dxa"/>
          <w:trHeight w:val="936"/>
        </w:trPr>
        <w:tc>
          <w:tcPr>
            <w:tcW w:w="2269" w:type="dxa"/>
            <w:gridSpan w:val="2"/>
          </w:tcPr>
          <w:p w14:paraId="400B92AF" w14:textId="77777777" w:rsidR="00E2092F" w:rsidRPr="000E013A" w:rsidRDefault="00E2092F" w:rsidP="00E2092F">
            <w:pPr>
              <w:ind w:left="284"/>
            </w:pPr>
            <w:r w:rsidRPr="000E013A">
              <w:t>Examples</w:t>
            </w:r>
          </w:p>
        </w:tc>
        <w:tc>
          <w:tcPr>
            <w:tcW w:w="7296" w:type="dxa"/>
            <w:gridSpan w:val="2"/>
          </w:tcPr>
          <w:p w14:paraId="17070FC7" w14:textId="0CB8B9AC" w:rsidR="00E2092F" w:rsidRPr="000E013A" w:rsidRDefault="00E2092F" w:rsidP="00E2092F"/>
        </w:tc>
      </w:tr>
      <w:tr w:rsidR="00E2092F" w:rsidRPr="000E013A" w14:paraId="65DFDB14" w14:textId="77777777" w:rsidTr="00BC431A">
        <w:trPr>
          <w:gridAfter w:val="1"/>
          <w:wAfter w:w="6" w:type="dxa"/>
        </w:trPr>
        <w:tc>
          <w:tcPr>
            <w:tcW w:w="2269" w:type="dxa"/>
            <w:gridSpan w:val="2"/>
          </w:tcPr>
          <w:p w14:paraId="49289F00" w14:textId="77777777" w:rsidR="00E2092F" w:rsidRPr="000E013A" w:rsidRDefault="00E2092F" w:rsidP="00E2092F">
            <w:pPr>
              <w:rPr>
                <w:b/>
              </w:rPr>
            </w:pPr>
            <w:r w:rsidRPr="000E013A">
              <w:rPr>
                <w:b/>
              </w:rPr>
              <w:t>SPECIFICATIONS</w:t>
            </w:r>
          </w:p>
        </w:tc>
        <w:tc>
          <w:tcPr>
            <w:tcW w:w="7296" w:type="dxa"/>
            <w:gridSpan w:val="2"/>
          </w:tcPr>
          <w:p w14:paraId="366899C5" w14:textId="77777777" w:rsidR="00E2092F" w:rsidRPr="000E013A" w:rsidRDefault="00E2092F" w:rsidP="00E2092F"/>
        </w:tc>
      </w:tr>
      <w:tr w:rsidR="00E2092F" w:rsidRPr="000E013A" w14:paraId="41745D19" w14:textId="77777777" w:rsidTr="00BC431A">
        <w:trPr>
          <w:gridAfter w:val="1"/>
          <w:wAfter w:w="6" w:type="dxa"/>
        </w:trPr>
        <w:tc>
          <w:tcPr>
            <w:tcW w:w="2269" w:type="dxa"/>
            <w:gridSpan w:val="2"/>
          </w:tcPr>
          <w:p w14:paraId="57E4772A" w14:textId="77777777" w:rsidR="00E2092F" w:rsidRPr="000E013A" w:rsidRDefault="00E2092F" w:rsidP="00E2092F">
            <w:pPr>
              <w:rPr>
                <w:b/>
              </w:rPr>
            </w:pPr>
            <w:r w:rsidRPr="000E013A">
              <w:t>Indicator definition</w:t>
            </w:r>
          </w:p>
        </w:tc>
        <w:tc>
          <w:tcPr>
            <w:tcW w:w="7296" w:type="dxa"/>
            <w:gridSpan w:val="2"/>
          </w:tcPr>
          <w:p w14:paraId="72BC6B7C" w14:textId="28ED688E" w:rsidR="00E2092F" w:rsidRPr="000E013A" w:rsidRDefault="00566F0F" w:rsidP="00BC431A">
            <w:r w:rsidRPr="000E013A">
              <w:t xml:space="preserve">Density of pictures </w:t>
            </w:r>
            <w:r w:rsidR="00BC431A" w:rsidRPr="000E013A">
              <w:t>uploaded in</w:t>
            </w:r>
            <w:r w:rsidRPr="000E013A">
              <w:t xml:space="preserve"> Panoramio</w:t>
            </w:r>
          </w:p>
        </w:tc>
      </w:tr>
      <w:tr w:rsidR="00E2092F" w:rsidRPr="000E013A" w14:paraId="4A7585FA" w14:textId="77777777" w:rsidTr="00BC431A">
        <w:trPr>
          <w:gridAfter w:val="1"/>
          <w:wAfter w:w="6" w:type="dxa"/>
        </w:trPr>
        <w:tc>
          <w:tcPr>
            <w:tcW w:w="2269" w:type="dxa"/>
            <w:gridSpan w:val="2"/>
            <w:tcBorders>
              <w:bottom w:val="single" w:sz="4" w:space="0" w:color="auto"/>
            </w:tcBorders>
          </w:tcPr>
          <w:p w14:paraId="28245509" w14:textId="77777777" w:rsidR="00E2092F" w:rsidRPr="000E013A" w:rsidRDefault="00E2092F" w:rsidP="00E2092F">
            <w:pPr>
              <w:ind w:left="284"/>
            </w:pPr>
            <w:r w:rsidRPr="000E013A">
              <w:t>DPSIR</w:t>
            </w:r>
          </w:p>
        </w:tc>
        <w:tc>
          <w:tcPr>
            <w:tcW w:w="7296" w:type="dxa"/>
            <w:gridSpan w:val="2"/>
            <w:tcBorders>
              <w:bottom w:val="single" w:sz="4" w:space="0" w:color="auto"/>
            </w:tcBorders>
          </w:tcPr>
          <w:p w14:paraId="14DF02A7" w14:textId="1CD83171" w:rsidR="00E2092F" w:rsidRPr="000E013A" w:rsidRDefault="001C719F" w:rsidP="00E2092F">
            <w:r>
              <w:t>D</w:t>
            </w:r>
          </w:p>
        </w:tc>
      </w:tr>
      <w:tr w:rsidR="00E2092F" w:rsidRPr="000E013A" w14:paraId="14A6F896" w14:textId="77777777" w:rsidTr="00BC431A">
        <w:trPr>
          <w:gridAfter w:val="1"/>
          <w:wAfter w:w="6" w:type="dxa"/>
        </w:trPr>
        <w:tc>
          <w:tcPr>
            <w:tcW w:w="2269" w:type="dxa"/>
            <w:gridSpan w:val="2"/>
            <w:tcBorders>
              <w:bottom w:val="single" w:sz="4" w:space="0" w:color="C4BC96" w:themeColor="background2" w:themeShade="BF"/>
            </w:tcBorders>
          </w:tcPr>
          <w:p w14:paraId="19A1A256" w14:textId="77777777" w:rsidR="00E2092F" w:rsidRPr="000E013A" w:rsidRDefault="00E2092F" w:rsidP="00E2092F">
            <w:pPr>
              <w:ind w:left="284"/>
            </w:pPr>
            <w:r w:rsidRPr="000E013A">
              <w:t>Justification</w:t>
            </w:r>
          </w:p>
        </w:tc>
        <w:tc>
          <w:tcPr>
            <w:tcW w:w="7296" w:type="dxa"/>
            <w:gridSpan w:val="2"/>
            <w:tcBorders>
              <w:bottom w:val="single" w:sz="4" w:space="0" w:color="C4BC96" w:themeColor="background2" w:themeShade="BF"/>
            </w:tcBorders>
          </w:tcPr>
          <w:p w14:paraId="68DD80E6" w14:textId="77777777" w:rsidR="00853A31" w:rsidRPr="000E013A" w:rsidRDefault="00853A31" w:rsidP="00853A31"/>
        </w:tc>
      </w:tr>
      <w:tr w:rsidR="00E2092F" w:rsidRPr="000E013A" w14:paraId="5E22AB93" w14:textId="77777777" w:rsidTr="00BC431A">
        <w:trPr>
          <w:gridAfter w:val="2"/>
          <w:wAfter w:w="25" w:type="dxa"/>
        </w:trPr>
        <w:tc>
          <w:tcPr>
            <w:tcW w:w="567" w:type="dxa"/>
            <w:tcBorders>
              <w:top w:val="single" w:sz="4" w:space="0" w:color="C4BC96" w:themeColor="background2" w:themeShade="BF"/>
              <w:bottom w:val="nil"/>
              <w:right w:val="nil"/>
            </w:tcBorders>
          </w:tcPr>
          <w:p w14:paraId="649B3DB9" w14:textId="77777777" w:rsidR="00E2092F" w:rsidRPr="000E013A" w:rsidRDefault="00E2092F" w:rsidP="00E2092F">
            <w:pPr>
              <w:ind w:left="284"/>
            </w:pPr>
          </w:p>
        </w:tc>
        <w:tc>
          <w:tcPr>
            <w:tcW w:w="1702" w:type="dxa"/>
            <w:tcBorders>
              <w:top w:val="single" w:sz="4" w:space="0" w:color="C4BC96" w:themeColor="background2" w:themeShade="BF"/>
              <w:left w:val="nil"/>
            </w:tcBorders>
          </w:tcPr>
          <w:p w14:paraId="329BDAFE" w14:textId="77777777" w:rsidR="00E2092F" w:rsidRPr="000E013A" w:rsidRDefault="00E2092F" w:rsidP="00E2092F">
            <w:pPr>
              <w:ind w:left="284"/>
            </w:pPr>
            <w:r w:rsidRPr="000E013A">
              <w:t>Rationale</w:t>
            </w:r>
          </w:p>
        </w:tc>
        <w:tc>
          <w:tcPr>
            <w:tcW w:w="7277" w:type="dxa"/>
            <w:tcBorders>
              <w:top w:val="single" w:sz="4" w:space="0" w:color="C4BC96" w:themeColor="background2" w:themeShade="BF"/>
            </w:tcBorders>
          </w:tcPr>
          <w:p w14:paraId="202D149F" w14:textId="15664E60" w:rsidR="00853A31" w:rsidRPr="000E013A" w:rsidRDefault="00853A31" w:rsidP="00853A31">
            <w:r w:rsidRPr="000E013A">
              <w:t xml:space="preserve">People </w:t>
            </w:r>
            <w:r w:rsidR="006270D5" w:rsidRPr="000E013A">
              <w:t xml:space="preserve">are </w:t>
            </w:r>
            <w:r w:rsidRPr="000E013A">
              <w:t xml:space="preserve">attracted by different values, some of them inherent to the place like nature, cultural values, aesthetics, but also for the possibility to develop certain activities (like golf courses or hiking). The combination of these elements results in hot spots, i.e. places where more people feel attracted and the need to share on the social networks. Attractive places reflect areas with higher probability of </w:t>
            </w:r>
            <w:r w:rsidR="00375BCF" w:rsidRPr="000E013A">
              <w:t xml:space="preserve">tourism </w:t>
            </w:r>
            <w:r w:rsidR="001710C4" w:rsidRPr="000E013A">
              <w:t xml:space="preserve">presence </w:t>
            </w:r>
            <w:r w:rsidRPr="000E013A">
              <w:t xml:space="preserve">and, therefore, higher pressure either to the environment but also potential social conflicts with </w:t>
            </w:r>
            <w:r w:rsidR="001710C4" w:rsidRPr="000E013A">
              <w:t>residents</w:t>
            </w:r>
            <w:r w:rsidRPr="000E013A">
              <w:t>.</w:t>
            </w:r>
          </w:p>
          <w:p w14:paraId="63ED98D5" w14:textId="77777777" w:rsidR="00E2092F" w:rsidRPr="000E013A" w:rsidRDefault="00853A31" w:rsidP="00853A31">
            <w:r w:rsidRPr="000E013A">
              <w:t>The growth of social media and access to them by most part of the</w:t>
            </w:r>
            <w:r w:rsidR="006270D5" w:rsidRPr="000E013A">
              <w:t xml:space="preserve"> </w:t>
            </w:r>
            <w:r w:rsidRPr="000E013A">
              <w:lastRenderedPageBreak/>
              <w:t>population is generating new sources of information that can provide insights on people’s preferences and behaviour. Although the use of social media is still restricted to cer</w:t>
            </w:r>
            <w:r w:rsidR="00BB155C" w:rsidRPr="000E013A">
              <w:t>t</w:t>
            </w:r>
            <w:r w:rsidRPr="000E013A">
              <w:t>ain segments of population (technological divide)</w:t>
            </w:r>
            <w:r w:rsidR="00375BCF" w:rsidRPr="000E013A">
              <w:t xml:space="preserve"> and not all those using this social media can be considered tourists</w:t>
            </w:r>
            <w:r w:rsidRPr="000E013A">
              <w:t>, there is already some evidence on the potential uses and pitfalls.</w:t>
            </w:r>
            <w:r w:rsidR="00AE1D0B" w:rsidRPr="000E013A">
              <w:t xml:space="preserve"> </w:t>
            </w:r>
          </w:p>
          <w:p w14:paraId="7C7CE323" w14:textId="10D9781E" w:rsidR="00AE1D0B" w:rsidRPr="000E013A" w:rsidRDefault="00AE1D0B" w:rsidP="005E3344">
            <w:r w:rsidRPr="000E013A">
              <w:t xml:space="preserve">The number of pictures per NUTS2 region shows a </w:t>
            </w:r>
            <w:r w:rsidR="005E3344" w:rsidRPr="000E013A">
              <w:t>positive</w:t>
            </w:r>
            <w:r w:rsidRPr="000E013A">
              <w:t xml:space="preserve"> correlation with overnights spent (0.73). Therefore, this could be considered a preliminary validation on the relevance on the number of pictures.</w:t>
            </w:r>
          </w:p>
        </w:tc>
      </w:tr>
      <w:tr w:rsidR="00E2092F" w:rsidRPr="000E013A" w14:paraId="194E5C9E" w14:textId="77777777" w:rsidTr="00BC431A">
        <w:trPr>
          <w:gridAfter w:val="2"/>
          <w:wAfter w:w="25" w:type="dxa"/>
        </w:trPr>
        <w:tc>
          <w:tcPr>
            <w:tcW w:w="567" w:type="dxa"/>
            <w:tcBorders>
              <w:top w:val="nil"/>
              <w:right w:val="nil"/>
            </w:tcBorders>
          </w:tcPr>
          <w:p w14:paraId="731D1BF6" w14:textId="5B27C0C7" w:rsidR="00E2092F" w:rsidRPr="000E013A" w:rsidRDefault="00E2092F" w:rsidP="00E2092F">
            <w:pPr>
              <w:ind w:left="284"/>
            </w:pPr>
          </w:p>
        </w:tc>
        <w:tc>
          <w:tcPr>
            <w:tcW w:w="1702" w:type="dxa"/>
            <w:tcBorders>
              <w:left w:val="nil"/>
            </w:tcBorders>
          </w:tcPr>
          <w:p w14:paraId="3EC6AC58" w14:textId="77777777" w:rsidR="00E2092F" w:rsidRPr="000E013A" w:rsidRDefault="00E2092F" w:rsidP="00E2092F">
            <w:pPr>
              <w:ind w:left="284"/>
            </w:pPr>
            <w:r w:rsidRPr="000E013A">
              <w:t>References</w:t>
            </w:r>
          </w:p>
        </w:tc>
        <w:tc>
          <w:tcPr>
            <w:tcW w:w="7277" w:type="dxa"/>
          </w:tcPr>
          <w:p w14:paraId="66CE8F19" w14:textId="77777777" w:rsidR="00D20D10" w:rsidRPr="000E013A" w:rsidRDefault="00D20D10" w:rsidP="00D20D10">
            <w:pPr>
              <w:jc w:val="left"/>
              <w:rPr>
                <w:rFonts w:eastAsia="Times New Roman"/>
                <w:color w:val="auto"/>
                <w:lang w:val="en-US" w:eastAsia="es-ES"/>
              </w:rPr>
            </w:pPr>
            <w:r w:rsidRPr="000E013A">
              <w:rPr>
                <w:rFonts w:eastAsia="Times New Roman"/>
                <w:color w:val="auto"/>
                <w:lang w:val="en-US" w:eastAsia="es-ES"/>
              </w:rPr>
              <w:t xml:space="preserve">Alessa, L. (Naia), Kliskey, A. (Anaru) i Brown, G., 2008, 'Social–ecological hotspots mapping: A spatial approach for identifying coupled social–ecological space', </w:t>
            </w:r>
            <w:r w:rsidRPr="000E013A">
              <w:rPr>
                <w:rFonts w:eastAsia="Times New Roman"/>
                <w:i/>
                <w:iCs/>
                <w:color w:val="auto"/>
                <w:lang w:val="en-US" w:eastAsia="es-ES"/>
              </w:rPr>
              <w:t>Landscape and Urban Planning</w:t>
            </w:r>
            <w:r w:rsidRPr="000E013A">
              <w:rPr>
                <w:rFonts w:eastAsia="Times New Roman"/>
                <w:color w:val="auto"/>
                <w:lang w:val="en-US" w:eastAsia="es-ES"/>
              </w:rPr>
              <w:t>, 85(1), p.27-39.</w:t>
            </w:r>
          </w:p>
          <w:p w14:paraId="1D5497D6" w14:textId="77777777" w:rsidR="00D20D10" w:rsidRPr="000E013A" w:rsidRDefault="00D20D10" w:rsidP="00D20D10">
            <w:pPr>
              <w:jc w:val="left"/>
              <w:rPr>
                <w:rFonts w:eastAsia="Times New Roman"/>
                <w:color w:val="auto"/>
                <w:lang w:val="en-US" w:eastAsia="es-ES"/>
              </w:rPr>
            </w:pPr>
            <w:r w:rsidRPr="000E013A">
              <w:rPr>
                <w:rFonts w:eastAsia="Times New Roman"/>
                <w:color w:val="auto"/>
                <w:lang w:val="en-US" w:eastAsia="es-ES"/>
              </w:rPr>
              <w:t xml:space="preserve">Crampton, J. W., Graham, M., Poorthuis, A., Shelton, T., Stephens, M., Wilson, M. W. i Zook, M., 2013, 'Beyond the geotag: situating ‘big data’ and leveraging the potential of the geoweb', </w:t>
            </w:r>
            <w:r w:rsidRPr="000E013A">
              <w:rPr>
                <w:rFonts w:eastAsia="Times New Roman"/>
                <w:i/>
                <w:iCs/>
                <w:color w:val="auto"/>
                <w:lang w:val="en-US" w:eastAsia="es-ES"/>
              </w:rPr>
              <w:t>Cartography and Geographic Information Science</w:t>
            </w:r>
            <w:r w:rsidRPr="000E013A">
              <w:rPr>
                <w:rFonts w:eastAsia="Times New Roman"/>
                <w:color w:val="auto"/>
                <w:lang w:val="en-US" w:eastAsia="es-ES"/>
              </w:rPr>
              <w:t>, 40(2), p.130-139.</w:t>
            </w:r>
          </w:p>
          <w:p w14:paraId="5C4A0425" w14:textId="1C9D0610" w:rsidR="00F64407" w:rsidRPr="000E013A" w:rsidRDefault="00F64407" w:rsidP="00D20D10">
            <w:pPr>
              <w:jc w:val="left"/>
              <w:rPr>
                <w:rFonts w:eastAsia="Times New Roman"/>
                <w:color w:val="auto"/>
                <w:lang w:eastAsia="en-GB"/>
              </w:rPr>
            </w:pPr>
            <w:r w:rsidRPr="000E013A">
              <w:rPr>
                <w:rFonts w:eastAsia="Times New Roman"/>
                <w:color w:val="auto"/>
                <w:lang w:eastAsia="en-GB"/>
              </w:rPr>
              <w:t>García-Palomares JC, Gutiérrez J, Mínguez C., 2015, Identification of tourist hot spots based on social networks: A comparative analysis of European metropolises using photo-sharing services and GIS. Applied Geography 63:408-17.</w:t>
            </w:r>
          </w:p>
          <w:p w14:paraId="5151B9D8" w14:textId="77777777" w:rsidR="00D20D10" w:rsidRPr="000E013A" w:rsidRDefault="00D20D10" w:rsidP="00D20D10">
            <w:pPr>
              <w:jc w:val="left"/>
              <w:rPr>
                <w:rFonts w:eastAsia="Times New Roman"/>
                <w:color w:val="auto"/>
                <w:lang w:val="en-US" w:eastAsia="es-ES"/>
              </w:rPr>
            </w:pPr>
            <w:r w:rsidRPr="000E013A">
              <w:rPr>
                <w:rFonts w:eastAsia="Times New Roman"/>
                <w:color w:val="auto"/>
                <w:lang w:val="en-US" w:eastAsia="es-ES"/>
              </w:rPr>
              <w:t xml:space="preserve">Richards, D. R. i Friess, D. A., 2015, 'A rapid indicator of cultural ecosystem service usage at a fine spatial scale: Content analysis of social media photographs', </w:t>
            </w:r>
            <w:r w:rsidRPr="000E013A">
              <w:rPr>
                <w:rFonts w:eastAsia="Times New Roman"/>
                <w:i/>
                <w:iCs/>
                <w:color w:val="auto"/>
                <w:lang w:val="en-US" w:eastAsia="es-ES"/>
              </w:rPr>
              <w:t>Ecological Indicators</w:t>
            </w:r>
            <w:r w:rsidRPr="000E013A">
              <w:rPr>
                <w:rFonts w:eastAsia="Times New Roman"/>
                <w:color w:val="auto"/>
                <w:lang w:val="en-US" w:eastAsia="es-ES"/>
              </w:rPr>
              <w:t>, 53, p.187-195.</w:t>
            </w:r>
          </w:p>
          <w:p w14:paraId="475369C9" w14:textId="77777777" w:rsidR="00D20D10" w:rsidRPr="000E013A" w:rsidRDefault="00D20D10" w:rsidP="00D20D10">
            <w:pPr>
              <w:jc w:val="left"/>
              <w:rPr>
                <w:rFonts w:eastAsia="Times New Roman"/>
                <w:color w:val="auto"/>
                <w:lang w:val="en-US" w:eastAsia="es-ES"/>
              </w:rPr>
            </w:pPr>
            <w:r w:rsidRPr="000E013A">
              <w:rPr>
                <w:rFonts w:eastAsia="Times New Roman"/>
                <w:color w:val="auto"/>
                <w:lang w:val="en-US" w:eastAsia="es-ES"/>
              </w:rPr>
              <w:t xml:space="preserve">VMV i Magnor, M., Rosenhahn, B. i Theisel, H., European Association for Computer Graphics ed., 2009,'Analysis of community-contributed space- and timereferenced data by example of Panoramio photos', en: </w:t>
            </w:r>
            <w:r w:rsidRPr="000E013A">
              <w:rPr>
                <w:rFonts w:eastAsia="Times New Roman"/>
                <w:i/>
                <w:iCs/>
                <w:color w:val="auto"/>
                <w:lang w:val="en-US" w:eastAsia="es-ES"/>
              </w:rPr>
              <w:t>Proceedings of the Vision, Modeling, and Visualization Workshop 2009: November 16 - 18, 2009, Braunschweig, Germany</w:t>
            </w:r>
            <w:r w:rsidRPr="000E013A">
              <w:rPr>
                <w:rFonts w:eastAsia="Times New Roman"/>
                <w:color w:val="auto"/>
                <w:lang w:val="en-US" w:eastAsia="es-ES"/>
              </w:rPr>
              <w:t>, Otto-von-Guericke-Univ, Magdeburg.</w:t>
            </w:r>
          </w:p>
          <w:p w14:paraId="660E2773" w14:textId="77777777" w:rsidR="00D20D10" w:rsidRPr="000E013A" w:rsidRDefault="00D20D10" w:rsidP="00D20D10">
            <w:pPr>
              <w:jc w:val="left"/>
              <w:rPr>
                <w:rFonts w:eastAsia="Times New Roman"/>
                <w:color w:val="auto"/>
                <w:lang w:val="en-US" w:eastAsia="es-ES"/>
              </w:rPr>
            </w:pPr>
            <w:r w:rsidRPr="000E013A">
              <w:rPr>
                <w:rFonts w:eastAsia="Times New Roman"/>
                <w:color w:val="auto"/>
                <w:lang w:val="en-US" w:eastAsia="es-ES"/>
              </w:rPr>
              <w:t xml:space="preserve">Zeng, B. i Gerritsen, R., 2014, 'What do we know about social media in tourism? A review', </w:t>
            </w:r>
            <w:r w:rsidRPr="000E013A">
              <w:rPr>
                <w:rFonts w:eastAsia="Times New Roman"/>
                <w:i/>
                <w:iCs/>
                <w:color w:val="auto"/>
                <w:lang w:val="en-US" w:eastAsia="es-ES"/>
              </w:rPr>
              <w:t>Tourism Management Perspectives</w:t>
            </w:r>
            <w:r w:rsidRPr="000E013A">
              <w:rPr>
                <w:rFonts w:eastAsia="Times New Roman"/>
                <w:color w:val="auto"/>
                <w:lang w:val="en-US" w:eastAsia="es-ES"/>
              </w:rPr>
              <w:t>, 10, p.27-36.</w:t>
            </w:r>
          </w:p>
          <w:p w14:paraId="480C420A" w14:textId="77777777" w:rsidR="00E2092F" w:rsidRPr="000E013A" w:rsidRDefault="00E2092F" w:rsidP="00E2092F">
            <w:pPr>
              <w:rPr>
                <w:lang w:val="en-US"/>
              </w:rPr>
            </w:pPr>
          </w:p>
        </w:tc>
      </w:tr>
      <w:tr w:rsidR="00E2092F" w:rsidRPr="000E013A" w14:paraId="11049DC7" w14:textId="77777777" w:rsidTr="00BC431A">
        <w:trPr>
          <w:gridAfter w:val="1"/>
          <w:wAfter w:w="6" w:type="dxa"/>
        </w:trPr>
        <w:tc>
          <w:tcPr>
            <w:tcW w:w="2269" w:type="dxa"/>
            <w:gridSpan w:val="2"/>
            <w:tcBorders>
              <w:bottom w:val="single" w:sz="4" w:space="0" w:color="C4BC96" w:themeColor="background2" w:themeShade="BF"/>
            </w:tcBorders>
          </w:tcPr>
          <w:p w14:paraId="6E43CAD9" w14:textId="77777777" w:rsidR="00E2092F" w:rsidRPr="000E013A" w:rsidRDefault="00E2092F" w:rsidP="00E2092F">
            <w:pPr>
              <w:ind w:left="284"/>
            </w:pPr>
            <w:r w:rsidRPr="000E013A">
              <w:t>Policy context</w:t>
            </w:r>
          </w:p>
        </w:tc>
        <w:tc>
          <w:tcPr>
            <w:tcW w:w="7296" w:type="dxa"/>
            <w:gridSpan w:val="2"/>
            <w:tcBorders>
              <w:bottom w:val="single" w:sz="4" w:space="0" w:color="C4BC96" w:themeColor="background2" w:themeShade="BF"/>
            </w:tcBorders>
          </w:tcPr>
          <w:p w14:paraId="39C9E28A" w14:textId="77777777" w:rsidR="00E2092F" w:rsidRPr="000E013A" w:rsidRDefault="00E2092F" w:rsidP="00E2092F">
            <w:pPr>
              <w:pStyle w:val="Prrafodelista"/>
              <w:ind w:left="295"/>
            </w:pPr>
          </w:p>
        </w:tc>
      </w:tr>
      <w:tr w:rsidR="00E2092F" w:rsidRPr="000E013A" w14:paraId="4200711E" w14:textId="77777777" w:rsidTr="00BC431A">
        <w:trPr>
          <w:gridAfter w:val="2"/>
          <w:wAfter w:w="25" w:type="dxa"/>
        </w:trPr>
        <w:tc>
          <w:tcPr>
            <w:tcW w:w="567" w:type="dxa"/>
            <w:tcBorders>
              <w:top w:val="single" w:sz="4" w:space="0" w:color="C4BC96" w:themeColor="background2" w:themeShade="BF"/>
              <w:bottom w:val="nil"/>
              <w:right w:val="nil"/>
            </w:tcBorders>
          </w:tcPr>
          <w:p w14:paraId="7925A65E" w14:textId="77777777" w:rsidR="00E2092F" w:rsidRPr="000E013A" w:rsidRDefault="00E2092F" w:rsidP="00E2092F">
            <w:pPr>
              <w:ind w:left="284"/>
            </w:pPr>
          </w:p>
        </w:tc>
        <w:tc>
          <w:tcPr>
            <w:tcW w:w="1702" w:type="dxa"/>
            <w:tcBorders>
              <w:top w:val="single" w:sz="4" w:space="0" w:color="C4BC96" w:themeColor="background2" w:themeShade="BF"/>
              <w:left w:val="nil"/>
            </w:tcBorders>
          </w:tcPr>
          <w:p w14:paraId="346C6480" w14:textId="77777777" w:rsidR="00E2092F" w:rsidRPr="000E013A" w:rsidRDefault="00E2092F" w:rsidP="00E2092F">
            <w:pPr>
              <w:ind w:left="59"/>
            </w:pPr>
            <w:r w:rsidRPr="000E013A">
              <w:t>Policy context</w:t>
            </w:r>
          </w:p>
        </w:tc>
        <w:tc>
          <w:tcPr>
            <w:tcW w:w="7277" w:type="dxa"/>
            <w:tcBorders>
              <w:top w:val="single" w:sz="4" w:space="0" w:color="C4BC96" w:themeColor="background2" w:themeShade="BF"/>
            </w:tcBorders>
          </w:tcPr>
          <w:p w14:paraId="3D58622F" w14:textId="77777777" w:rsidR="00E2092F" w:rsidRPr="000E013A" w:rsidRDefault="00E2092F" w:rsidP="00E2092F">
            <w:pPr>
              <w:pStyle w:val="Prrafodelista"/>
              <w:numPr>
                <w:ilvl w:val="0"/>
                <w:numId w:val="3"/>
              </w:numPr>
              <w:ind w:left="295" w:hanging="284"/>
              <w:jc w:val="left"/>
            </w:pPr>
            <w:r w:rsidRPr="000E013A">
              <w:t xml:space="preserve">EC and national policies on tourism and sustainable tourism. </w:t>
            </w:r>
          </w:p>
          <w:p w14:paraId="02BB7D32" w14:textId="77777777" w:rsidR="00E2092F" w:rsidRPr="000E013A" w:rsidRDefault="00E2092F" w:rsidP="00E2092F">
            <w:pPr>
              <w:pStyle w:val="Prrafodelista"/>
              <w:numPr>
                <w:ilvl w:val="0"/>
                <w:numId w:val="3"/>
              </w:numPr>
              <w:ind w:left="295" w:hanging="284"/>
              <w:jc w:val="left"/>
            </w:pPr>
            <w:r w:rsidRPr="000E013A">
              <w:t>EU regulations regarding coastal and marine ecosystems: Marine Strategy Framework Directive, Habitat Directive</w:t>
            </w:r>
          </w:p>
          <w:p w14:paraId="6DBE8BA7" w14:textId="77777777" w:rsidR="00E2092F" w:rsidRPr="000E013A" w:rsidRDefault="00E2092F" w:rsidP="00E2092F">
            <w:pPr>
              <w:pStyle w:val="Prrafodelista"/>
              <w:numPr>
                <w:ilvl w:val="0"/>
                <w:numId w:val="3"/>
              </w:numPr>
              <w:ind w:left="295" w:hanging="284"/>
              <w:jc w:val="left"/>
            </w:pPr>
            <w:r w:rsidRPr="000E013A">
              <w:t>National and sub-national spatial planning regulations</w:t>
            </w:r>
          </w:p>
        </w:tc>
      </w:tr>
      <w:tr w:rsidR="00E2092F" w:rsidRPr="000E013A" w14:paraId="17C5C813" w14:textId="77777777" w:rsidTr="00BC431A">
        <w:trPr>
          <w:gridAfter w:val="2"/>
          <w:wAfter w:w="25" w:type="dxa"/>
        </w:trPr>
        <w:tc>
          <w:tcPr>
            <w:tcW w:w="567" w:type="dxa"/>
            <w:tcBorders>
              <w:top w:val="nil"/>
              <w:bottom w:val="nil"/>
              <w:right w:val="nil"/>
            </w:tcBorders>
          </w:tcPr>
          <w:p w14:paraId="26006896" w14:textId="77777777" w:rsidR="00E2092F" w:rsidRPr="000E013A" w:rsidRDefault="00E2092F" w:rsidP="00E2092F">
            <w:pPr>
              <w:ind w:left="284"/>
            </w:pPr>
          </w:p>
        </w:tc>
        <w:tc>
          <w:tcPr>
            <w:tcW w:w="1702" w:type="dxa"/>
            <w:tcBorders>
              <w:left w:val="nil"/>
            </w:tcBorders>
          </w:tcPr>
          <w:p w14:paraId="78B9106A" w14:textId="77777777" w:rsidR="00E2092F" w:rsidRPr="000E013A" w:rsidRDefault="00E2092F" w:rsidP="00E2092F">
            <w:pPr>
              <w:ind w:left="59"/>
            </w:pPr>
            <w:r w:rsidRPr="000E013A">
              <w:t>Targets</w:t>
            </w:r>
          </w:p>
        </w:tc>
        <w:tc>
          <w:tcPr>
            <w:tcW w:w="7277" w:type="dxa"/>
          </w:tcPr>
          <w:p w14:paraId="6EB7AF1C" w14:textId="77777777" w:rsidR="00E2092F" w:rsidRPr="000E013A" w:rsidRDefault="00E2092F" w:rsidP="00D20D10">
            <w:pPr>
              <w:jc w:val="left"/>
            </w:pPr>
          </w:p>
        </w:tc>
      </w:tr>
      <w:tr w:rsidR="00E2092F" w:rsidRPr="000E013A" w14:paraId="691EAB8F" w14:textId="77777777" w:rsidTr="00BC431A">
        <w:trPr>
          <w:gridAfter w:val="2"/>
          <w:wAfter w:w="25" w:type="dxa"/>
        </w:trPr>
        <w:tc>
          <w:tcPr>
            <w:tcW w:w="567" w:type="dxa"/>
            <w:tcBorders>
              <w:top w:val="nil"/>
              <w:bottom w:val="single" w:sz="4" w:space="0" w:color="auto"/>
              <w:right w:val="nil"/>
            </w:tcBorders>
          </w:tcPr>
          <w:p w14:paraId="199940F8" w14:textId="77777777" w:rsidR="00E2092F" w:rsidRPr="000E013A" w:rsidRDefault="00E2092F" w:rsidP="00E2092F">
            <w:pPr>
              <w:ind w:left="284"/>
            </w:pPr>
          </w:p>
        </w:tc>
        <w:tc>
          <w:tcPr>
            <w:tcW w:w="1702" w:type="dxa"/>
            <w:tcBorders>
              <w:left w:val="nil"/>
              <w:bottom w:val="single" w:sz="4" w:space="0" w:color="auto"/>
            </w:tcBorders>
          </w:tcPr>
          <w:p w14:paraId="275E292F" w14:textId="77777777" w:rsidR="00E2092F" w:rsidRPr="000E013A" w:rsidRDefault="00E2092F" w:rsidP="00E2092F">
            <w:pPr>
              <w:ind w:left="59"/>
            </w:pPr>
            <w:r w:rsidRPr="000E013A">
              <w:t>Related policy documents</w:t>
            </w:r>
          </w:p>
        </w:tc>
        <w:tc>
          <w:tcPr>
            <w:tcW w:w="7277" w:type="dxa"/>
            <w:tcBorders>
              <w:bottom w:val="single" w:sz="4" w:space="0" w:color="auto"/>
            </w:tcBorders>
          </w:tcPr>
          <w:p w14:paraId="625EC7AA" w14:textId="77777777" w:rsidR="00E2092F" w:rsidRPr="000E013A" w:rsidRDefault="00E2092F" w:rsidP="00E2092F">
            <w:pPr>
              <w:rPr>
                <w:lang w:val="en-US"/>
              </w:rPr>
            </w:pPr>
            <w:r w:rsidRPr="000E013A">
              <w:rPr>
                <w:lang w:val="en-US"/>
              </w:rPr>
              <w:t>Habitat Directive: Council Directive 92/43/EEC</w:t>
            </w:r>
          </w:p>
        </w:tc>
      </w:tr>
      <w:tr w:rsidR="00E2092F" w:rsidRPr="000E013A" w14:paraId="6E5B0FAA" w14:textId="77777777" w:rsidTr="00BC431A">
        <w:trPr>
          <w:gridAfter w:val="1"/>
          <w:wAfter w:w="6" w:type="dxa"/>
        </w:trPr>
        <w:tc>
          <w:tcPr>
            <w:tcW w:w="2269" w:type="dxa"/>
            <w:gridSpan w:val="2"/>
            <w:tcBorders>
              <w:bottom w:val="single" w:sz="4" w:space="0" w:color="C4BC96" w:themeColor="background2" w:themeShade="BF"/>
            </w:tcBorders>
          </w:tcPr>
          <w:p w14:paraId="58A86EE1" w14:textId="77777777" w:rsidR="00E2092F" w:rsidRPr="000E013A" w:rsidRDefault="00E2092F" w:rsidP="00E2092F">
            <w:pPr>
              <w:ind w:left="284"/>
            </w:pPr>
            <w:r w:rsidRPr="000E013A">
              <w:t xml:space="preserve"> Methodology</w:t>
            </w:r>
          </w:p>
        </w:tc>
        <w:tc>
          <w:tcPr>
            <w:tcW w:w="7296" w:type="dxa"/>
            <w:gridSpan w:val="2"/>
            <w:tcBorders>
              <w:bottom w:val="single" w:sz="4" w:space="0" w:color="C4BC96" w:themeColor="background2" w:themeShade="BF"/>
            </w:tcBorders>
          </w:tcPr>
          <w:p w14:paraId="50B29716" w14:textId="77777777" w:rsidR="00E2092F" w:rsidRPr="000E013A" w:rsidRDefault="00E2092F" w:rsidP="00E2092F"/>
        </w:tc>
      </w:tr>
      <w:tr w:rsidR="00E2092F" w:rsidRPr="000E013A" w14:paraId="41B8C4FA" w14:textId="77777777" w:rsidTr="00BC431A">
        <w:tc>
          <w:tcPr>
            <w:tcW w:w="567" w:type="dxa"/>
            <w:tcBorders>
              <w:top w:val="single" w:sz="4" w:space="0" w:color="C4BC96" w:themeColor="background2" w:themeShade="BF"/>
              <w:bottom w:val="nil"/>
              <w:right w:val="nil"/>
            </w:tcBorders>
          </w:tcPr>
          <w:p w14:paraId="3674E372" w14:textId="77777777" w:rsidR="00E2092F" w:rsidRPr="000E013A" w:rsidRDefault="00E2092F" w:rsidP="00E2092F">
            <w:pPr>
              <w:ind w:left="284"/>
            </w:pPr>
          </w:p>
        </w:tc>
        <w:tc>
          <w:tcPr>
            <w:tcW w:w="1702" w:type="dxa"/>
            <w:tcBorders>
              <w:top w:val="single" w:sz="4" w:space="0" w:color="C4BC96" w:themeColor="background2" w:themeShade="BF"/>
              <w:left w:val="nil"/>
            </w:tcBorders>
          </w:tcPr>
          <w:p w14:paraId="3D465B77" w14:textId="77777777" w:rsidR="00E2092F" w:rsidRPr="000E013A" w:rsidRDefault="00E2092F" w:rsidP="00E2092F">
            <w:pPr>
              <w:ind w:left="284"/>
            </w:pPr>
            <w:r w:rsidRPr="000E013A">
              <w:t>Methodology for indicator calculation</w:t>
            </w:r>
          </w:p>
        </w:tc>
        <w:tc>
          <w:tcPr>
            <w:tcW w:w="7302" w:type="dxa"/>
            <w:gridSpan w:val="3"/>
            <w:tcBorders>
              <w:top w:val="single" w:sz="4" w:space="0" w:color="C4BC96" w:themeColor="background2" w:themeShade="BF"/>
            </w:tcBorders>
          </w:tcPr>
          <w:p w14:paraId="4F2FAFE8" w14:textId="77777777" w:rsidR="00D20D10" w:rsidRPr="000E013A" w:rsidRDefault="00D20D10" w:rsidP="00D20D10">
            <w:pPr>
              <w:rPr>
                <w:lang w:val="ca-ES"/>
              </w:rPr>
            </w:pPr>
            <w:r w:rsidRPr="000E013A">
              <w:rPr>
                <w:lang w:val="ca-ES"/>
              </w:rPr>
              <w:t>Panoramio is a geolocation-oriented photo sharing mashup owned by Google. Accepted photos uploaded to the site can be accessed as a layer in Google Earth and Google Maps, with new photos being added at the end of every month. It is possible to access to the Panoramio photos database through a web API. The aim of this test analysis has been to link the number and density of photos taken with the N2000 network of protected sites. The different methodological steps carried out are detailed below:</w:t>
            </w:r>
          </w:p>
          <w:p w14:paraId="737C42A7" w14:textId="77777777" w:rsidR="00D20D10" w:rsidRPr="000E013A" w:rsidRDefault="00D20D10" w:rsidP="00D20D10">
            <w:pPr>
              <w:rPr>
                <w:lang w:val="ca-ES"/>
              </w:rPr>
            </w:pPr>
            <w:r w:rsidRPr="000E013A">
              <w:rPr>
                <w:lang w:val="ca-ES"/>
              </w:rPr>
              <w:lastRenderedPageBreak/>
              <w:t>Step 1: Downloading from Panoramio the photos database by different geographical windows within the study area*. Single photos details are obtained, including its location (latitude, longitude), owner, title or URL, amongst other.</w:t>
            </w:r>
          </w:p>
          <w:p w14:paraId="0115E5AD" w14:textId="77777777" w:rsidR="00D20D10" w:rsidRPr="000E013A" w:rsidRDefault="00D20D10" w:rsidP="00D20D10">
            <w:pPr>
              <w:rPr>
                <w:lang w:val="ca-ES"/>
              </w:rPr>
            </w:pPr>
            <w:r w:rsidRPr="000E013A">
              <w:rPr>
                <w:lang w:val="ca-ES"/>
              </w:rPr>
              <w:t>Step 2: Merging of all photo database in one single file.</w:t>
            </w:r>
          </w:p>
          <w:p w14:paraId="4018CBA1" w14:textId="77777777" w:rsidR="00D20D10" w:rsidRPr="000E013A" w:rsidRDefault="00D20D10" w:rsidP="00D20D10">
            <w:pPr>
              <w:rPr>
                <w:lang w:val="ca-ES"/>
              </w:rPr>
            </w:pPr>
            <w:r w:rsidRPr="000E013A">
              <w:rPr>
                <w:lang w:val="ca-ES"/>
              </w:rPr>
              <w:t>Step 3: Converting the photo database into a GIS point layer.</w:t>
            </w:r>
          </w:p>
          <w:p w14:paraId="1248B8A8" w14:textId="77777777" w:rsidR="00D20D10" w:rsidRPr="000E013A" w:rsidRDefault="00D20D10" w:rsidP="00D20D10">
            <w:pPr>
              <w:rPr>
                <w:lang w:val="ca-ES"/>
              </w:rPr>
            </w:pPr>
            <w:r w:rsidRPr="000E013A">
              <w:rPr>
                <w:lang w:val="ca-ES"/>
              </w:rPr>
              <w:t>Step 4: Overlaying the photo point layer with the European Reference Grid at 1 km</w:t>
            </w:r>
            <w:r w:rsidRPr="000E013A">
              <w:rPr>
                <w:vertAlign w:val="superscript"/>
                <w:lang w:val="ca-ES"/>
              </w:rPr>
              <w:t>2</w:t>
            </w:r>
            <w:r w:rsidRPr="000E013A">
              <w:rPr>
                <w:lang w:val="ca-ES"/>
              </w:rPr>
              <w:t xml:space="preserve"> resolution, in order to obtain the density of photographs (photos per square kilometre).</w:t>
            </w:r>
          </w:p>
          <w:p w14:paraId="0AE0C9D2" w14:textId="77777777" w:rsidR="00D20D10" w:rsidRPr="000E013A" w:rsidRDefault="00D20D10" w:rsidP="00D20D10">
            <w:pPr>
              <w:rPr>
                <w:lang w:val="ca-ES"/>
              </w:rPr>
            </w:pPr>
            <w:r w:rsidRPr="000E013A">
              <w:rPr>
                <w:lang w:val="ca-ES"/>
              </w:rPr>
              <w:t>Step 5: Overlaying the density of photographs with the polygons corresponding to the N2000 sites, in order to add up the total number of photographs within each site and get the maximum density of photographs by km</w:t>
            </w:r>
            <w:r w:rsidRPr="000E013A">
              <w:rPr>
                <w:vertAlign w:val="superscript"/>
                <w:lang w:val="ca-ES"/>
              </w:rPr>
              <w:t>2</w:t>
            </w:r>
            <w:r w:rsidRPr="000E013A">
              <w:rPr>
                <w:lang w:val="ca-ES"/>
              </w:rPr>
              <w:t xml:space="preserve"> within each site.</w:t>
            </w:r>
          </w:p>
          <w:p w14:paraId="6CAB2706" w14:textId="77777777" w:rsidR="00D20D10" w:rsidRPr="000E013A" w:rsidRDefault="00D20D10" w:rsidP="00D20D10">
            <w:pPr>
              <w:rPr>
                <w:lang w:val="ca-ES"/>
              </w:rPr>
            </w:pPr>
            <w:r w:rsidRPr="000E013A">
              <w:rPr>
                <w:lang w:val="ca-ES"/>
              </w:rPr>
              <w:t>Step 6: Elaboration of a map which combines both the total number of photographs by each site and the maximum number of photographs in one single square kilometre.</w:t>
            </w:r>
          </w:p>
          <w:p w14:paraId="7D04F1AF" w14:textId="77777777" w:rsidR="00E2092F" w:rsidRPr="000E013A" w:rsidRDefault="00D20D10" w:rsidP="00D20D10">
            <w:pPr>
              <w:rPr>
                <w:lang w:val="ca-ES"/>
              </w:rPr>
            </w:pPr>
            <w:r w:rsidRPr="000E013A">
              <w:rPr>
                <w:lang w:val="ca-ES"/>
              </w:rPr>
              <w:t>* Depending on the size of the geographical windows, Panoramio gives back a different result, as they undertake some sampling rules when the number of photographs is very high. This fact demands some further testing and refinement of the script for future developments. Nevertheless, the total number of photos used in this case study has been of more than 147 000. The identification of hot spots has been based on the The  Getis-Ord Gi* statisti c (pronounced G-i-star) for each feature in  a dataset. The resultant  z-scores and p-values  tell you where features with either high or low values  cluster spatially. This tool works by looking at eac h feature within the context of neighboring features. A  feature with a high value is interesting but may not  be a statistically significant hot spot. To be a  statistically significant hot spot,  a feature will have a high value and be  surrounded by other features with  high values as well. The local sum for a feature and its neighbors is compared proportionally to the sum  of all features; when the local sum is very different  from the expected local sum, and that difference is too  large to be the result of random chance, a statistically significant  z-score  results.</w:t>
            </w:r>
          </w:p>
        </w:tc>
      </w:tr>
      <w:tr w:rsidR="00E2092F" w:rsidRPr="000E013A" w14:paraId="68C0C782" w14:textId="77777777" w:rsidTr="00BC431A">
        <w:trPr>
          <w:cantSplit/>
        </w:trPr>
        <w:tc>
          <w:tcPr>
            <w:tcW w:w="567" w:type="dxa"/>
            <w:tcBorders>
              <w:top w:val="nil"/>
              <w:bottom w:val="nil"/>
              <w:right w:val="nil"/>
            </w:tcBorders>
          </w:tcPr>
          <w:p w14:paraId="68699524" w14:textId="77777777" w:rsidR="00E2092F" w:rsidRPr="000E013A" w:rsidRDefault="00E2092F" w:rsidP="00E2092F">
            <w:pPr>
              <w:ind w:left="284"/>
            </w:pPr>
          </w:p>
        </w:tc>
        <w:tc>
          <w:tcPr>
            <w:tcW w:w="1702" w:type="dxa"/>
            <w:tcBorders>
              <w:left w:val="nil"/>
            </w:tcBorders>
          </w:tcPr>
          <w:p w14:paraId="358B7C9E" w14:textId="77777777" w:rsidR="00E2092F" w:rsidRPr="000E013A" w:rsidRDefault="00E2092F" w:rsidP="00E2092F">
            <w:pPr>
              <w:ind w:left="284"/>
            </w:pPr>
            <w:r w:rsidRPr="000E013A">
              <w:t>Methodology for gap filling</w:t>
            </w:r>
          </w:p>
        </w:tc>
        <w:tc>
          <w:tcPr>
            <w:tcW w:w="7302" w:type="dxa"/>
            <w:gridSpan w:val="3"/>
          </w:tcPr>
          <w:p w14:paraId="43387A83" w14:textId="77777777" w:rsidR="00E2092F" w:rsidRPr="000E013A" w:rsidRDefault="00D20D10" w:rsidP="00E2092F">
            <w:r w:rsidRPr="000E013A">
              <w:t>No gap filling.</w:t>
            </w:r>
          </w:p>
        </w:tc>
      </w:tr>
      <w:tr w:rsidR="00E2092F" w:rsidRPr="000E013A" w14:paraId="1C4F9C82" w14:textId="77777777" w:rsidTr="00BC431A">
        <w:tc>
          <w:tcPr>
            <w:tcW w:w="567" w:type="dxa"/>
            <w:tcBorders>
              <w:top w:val="nil"/>
              <w:right w:val="nil"/>
            </w:tcBorders>
          </w:tcPr>
          <w:p w14:paraId="46B2B0D9" w14:textId="77777777" w:rsidR="00E2092F" w:rsidRPr="000E013A" w:rsidRDefault="00E2092F" w:rsidP="00E2092F">
            <w:pPr>
              <w:ind w:left="284"/>
            </w:pPr>
          </w:p>
        </w:tc>
        <w:tc>
          <w:tcPr>
            <w:tcW w:w="1702" w:type="dxa"/>
            <w:tcBorders>
              <w:left w:val="nil"/>
            </w:tcBorders>
          </w:tcPr>
          <w:p w14:paraId="503760E1" w14:textId="77777777" w:rsidR="00E2092F" w:rsidRPr="000E013A" w:rsidRDefault="00E2092F" w:rsidP="00E2092F">
            <w:pPr>
              <w:ind w:left="284"/>
            </w:pPr>
            <w:r w:rsidRPr="000E013A">
              <w:t>References</w:t>
            </w:r>
          </w:p>
        </w:tc>
        <w:tc>
          <w:tcPr>
            <w:tcW w:w="7302" w:type="dxa"/>
            <w:gridSpan w:val="3"/>
          </w:tcPr>
          <w:p w14:paraId="778C6EBA" w14:textId="77777777" w:rsidR="00D20D10" w:rsidRPr="000E013A" w:rsidRDefault="00D20D10" w:rsidP="00D20D10">
            <w:pPr>
              <w:contextualSpacing/>
              <w:jc w:val="left"/>
              <w:rPr>
                <w:rFonts w:eastAsia="Times New Roman"/>
                <w:color w:val="auto"/>
                <w:lang w:val="en-US" w:eastAsia="es-ES"/>
              </w:rPr>
            </w:pPr>
            <w:r w:rsidRPr="000E013A">
              <w:rPr>
                <w:rFonts w:eastAsia="Times New Roman"/>
                <w:color w:val="auto"/>
                <w:lang w:val="en-US" w:eastAsia="es-ES"/>
              </w:rPr>
              <w:t xml:space="preserve">Alessa, L. (Naia), Kliskey, A. (Anaru) i Brown, G., 2008, 'Social–ecological hotspots mapping: A spatial approach for identifying coupled social–ecological space', </w:t>
            </w:r>
            <w:r w:rsidRPr="000E013A">
              <w:rPr>
                <w:rFonts w:eastAsia="Times New Roman"/>
                <w:i/>
                <w:iCs/>
                <w:color w:val="auto"/>
                <w:lang w:val="en-US" w:eastAsia="es-ES"/>
              </w:rPr>
              <w:t>Landscape and Urban Planning</w:t>
            </w:r>
            <w:r w:rsidRPr="000E013A">
              <w:rPr>
                <w:rFonts w:eastAsia="Times New Roman"/>
                <w:color w:val="auto"/>
                <w:lang w:val="en-US" w:eastAsia="es-ES"/>
              </w:rPr>
              <w:t>, 85(1), p.27-39.</w:t>
            </w:r>
          </w:p>
          <w:p w14:paraId="25EC463C" w14:textId="77777777" w:rsidR="00D20D10" w:rsidRPr="000E013A" w:rsidRDefault="00D20D10" w:rsidP="00D20D10">
            <w:pPr>
              <w:jc w:val="left"/>
              <w:rPr>
                <w:rFonts w:eastAsia="Times New Roman"/>
                <w:color w:val="auto"/>
                <w:lang w:val="en-US" w:eastAsia="es-ES"/>
              </w:rPr>
            </w:pPr>
            <w:r w:rsidRPr="000E013A">
              <w:rPr>
                <w:rFonts w:eastAsia="Times New Roman"/>
                <w:color w:val="auto"/>
                <w:lang w:val="en-US" w:eastAsia="es-ES"/>
              </w:rPr>
              <w:t xml:space="preserve">VMV i Magnor, M., Rosenhahn, B. i Theisel, H., European Association for Computer Graphics ed., 2009,'Analysis of community-contributed space- and timereferenced data by example of Panoramio photos', en: </w:t>
            </w:r>
            <w:r w:rsidRPr="000E013A">
              <w:rPr>
                <w:rFonts w:eastAsia="Times New Roman"/>
                <w:i/>
                <w:iCs/>
                <w:color w:val="auto"/>
                <w:lang w:val="en-US" w:eastAsia="es-ES"/>
              </w:rPr>
              <w:t>Proceedings of the Vision, Modeling, and Visualization Workshop 2009: November 16 - 18, 2009, Braunschweig, Germany</w:t>
            </w:r>
            <w:r w:rsidRPr="000E013A">
              <w:rPr>
                <w:rFonts w:eastAsia="Times New Roman"/>
                <w:color w:val="auto"/>
                <w:lang w:val="en-US" w:eastAsia="es-ES"/>
              </w:rPr>
              <w:t>, Otto-von-Guericke-Univ, Magdeburg.</w:t>
            </w:r>
          </w:p>
          <w:p w14:paraId="744F2BC8" w14:textId="77777777" w:rsidR="00E2092F" w:rsidRPr="000E013A" w:rsidRDefault="00E2092F" w:rsidP="00D20D10">
            <w:pPr>
              <w:jc w:val="left"/>
            </w:pPr>
          </w:p>
        </w:tc>
      </w:tr>
      <w:tr w:rsidR="00E2092F" w:rsidRPr="000E013A" w14:paraId="4774E95C" w14:textId="77777777" w:rsidTr="00BC431A">
        <w:trPr>
          <w:gridAfter w:val="1"/>
          <w:wAfter w:w="6" w:type="dxa"/>
        </w:trPr>
        <w:tc>
          <w:tcPr>
            <w:tcW w:w="2269" w:type="dxa"/>
            <w:gridSpan w:val="2"/>
            <w:tcBorders>
              <w:bottom w:val="single" w:sz="4" w:space="0" w:color="auto"/>
            </w:tcBorders>
          </w:tcPr>
          <w:p w14:paraId="3533DCA7" w14:textId="77777777" w:rsidR="00E2092F" w:rsidRPr="000E013A" w:rsidRDefault="00E2092F" w:rsidP="00E2092F">
            <w:pPr>
              <w:ind w:left="284"/>
            </w:pPr>
            <w:r w:rsidRPr="000E013A">
              <w:t>Data specifications</w:t>
            </w:r>
          </w:p>
        </w:tc>
        <w:tc>
          <w:tcPr>
            <w:tcW w:w="7296" w:type="dxa"/>
            <w:gridSpan w:val="2"/>
            <w:tcBorders>
              <w:bottom w:val="single" w:sz="4" w:space="0" w:color="auto"/>
            </w:tcBorders>
          </w:tcPr>
          <w:p w14:paraId="21A4B9B4" w14:textId="77777777" w:rsidR="00E2092F" w:rsidRPr="000E013A" w:rsidRDefault="00D20D10" w:rsidP="00E2092F">
            <w:pPr>
              <w:rPr>
                <w:lang w:val="en-US"/>
              </w:rPr>
            </w:pPr>
            <w:r w:rsidRPr="000E013A">
              <w:rPr>
                <w:lang w:val="ca-ES"/>
              </w:rPr>
              <w:t xml:space="preserve">Panoramio is a geolocation-oriented photo sharing mashup owned by Google. Accepted photos uploaded to the site can be accessed as a layer in </w:t>
            </w:r>
            <w:r w:rsidRPr="000E013A">
              <w:rPr>
                <w:lang w:val="ca-ES"/>
              </w:rPr>
              <w:lastRenderedPageBreak/>
              <w:t xml:space="preserve">Google Earth and Google Maps, with new photos being added at the end of every month. It is possible to access to the Panoramio photos database through a web API. </w:t>
            </w:r>
            <w:r w:rsidRPr="000E013A">
              <w:t>http://www.panoramio.com</w:t>
            </w:r>
          </w:p>
        </w:tc>
      </w:tr>
      <w:tr w:rsidR="00E2092F" w:rsidRPr="000E013A" w14:paraId="67B46949" w14:textId="77777777" w:rsidTr="00BC431A">
        <w:trPr>
          <w:gridAfter w:val="1"/>
          <w:wAfter w:w="6" w:type="dxa"/>
        </w:trPr>
        <w:tc>
          <w:tcPr>
            <w:tcW w:w="2269" w:type="dxa"/>
            <w:gridSpan w:val="2"/>
            <w:tcBorders>
              <w:bottom w:val="single" w:sz="4" w:space="0" w:color="C4BC96" w:themeColor="background2" w:themeShade="BF"/>
            </w:tcBorders>
          </w:tcPr>
          <w:p w14:paraId="6B294663" w14:textId="77777777" w:rsidR="00E2092F" w:rsidRPr="000E013A" w:rsidRDefault="00E2092F" w:rsidP="00E2092F">
            <w:pPr>
              <w:ind w:left="284"/>
            </w:pPr>
            <w:r w:rsidRPr="000E013A">
              <w:rPr>
                <w:lang w:val="en-US"/>
              </w:rPr>
              <w:lastRenderedPageBreak/>
              <w:t xml:space="preserve"> </w:t>
            </w:r>
            <w:r w:rsidRPr="000E013A">
              <w:t>Uncertainties</w:t>
            </w:r>
          </w:p>
        </w:tc>
        <w:tc>
          <w:tcPr>
            <w:tcW w:w="7296" w:type="dxa"/>
            <w:gridSpan w:val="2"/>
            <w:tcBorders>
              <w:bottom w:val="single" w:sz="4" w:space="0" w:color="C4BC96" w:themeColor="background2" w:themeShade="BF"/>
            </w:tcBorders>
          </w:tcPr>
          <w:p w14:paraId="297E273F" w14:textId="77777777" w:rsidR="00E2092F" w:rsidRPr="000E013A" w:rsidRDefault="00E2092F" w:rsidP="00E2092F"/>
        </w:tc>
      </w:tr>
      <w:tr w:rsidR="00E2092F" w:rsidRPr="000E013A" w14:paraId="1DFA9A73" w14:textId="77777777" w:rsidTr="00BC431A">
        <w:tc>
          <w:tcPr>
            <w:tcW w:w="567" w:type="dxa"/>
            <w:tcBorders>
              <w:top w:val="single" w:sz="4" w:space="0" w:color="C4BC96" w:themeColor="background2" w:themeShade="BF"/>
              <w:bottom w:val="nil"/>
              <w:right w:val="nil"/>
            </w:tcBorders>
          </w:tcPr>
          <w:p w14:paraId="0F3807B7" w14:textId="77777777" w:rsidR="00E2092F" w:rsidRPr="000E013A" w:rsidRDefault="00E2092F" w:rsidP="00E2092F">
            <w:pPr>
              <w:ind w:left="284"/>
            </w:pPr>
          </w:p>
        </w:tc>
        <w:tc>
          <w:tcPr>
            <w:tcW w:w="1702" w:type="dxa"/>
            <w:tcBorders>
              <w:top w:val="single" w:sz="4" w:space="0" w:color="C4BC96" w:themeColor="background2" w:themeShade="BF"/>
              <w:left w:val="nil"/>
            </w:tcBorders>
          </w:tcPr>
          <w:p w14:paraId="738CA40F" w14:textId="77777777" w:rsidR="00E2092F" w:rsidRPr="000E013A" w:rsidRDefault="00E2092F" w:rsidP="005E3344">
            <w:pPr>
              <w:ind w:left="86"/>
            </w:pPr>
            <w:r w:rsidRPr="000E013A">
              <w:t>Methodology uncertainty</w:t>
            </w:r>
          </w:p>
        </w:tc>
        <w:tc>
          <w:tcPr>
            <w:tcW w:w="7302" w:type="dxa"/>
            <w:gridSpan w:val="3"/>
            <w:tcBorders>
              <w:top w:val="single" w:sz="4" w:space="0" w:color="C4BC96" w:themeColor="background2" w:themeShade="BF"/>
            </w:tcBorders>
          </w:tcPr>
          <w:p w14:paraId="757ED692" w14:textId="24E2ADEB" w:rsidR="00E2092F" w:rsidRPr="000E013A" w:rsidRDefault="00D20D10" w:rsidP="00E2092F">
            <w:r w:rsidRPr="000E013A">
              <w:t xml:space="preserve">It is assumed that the most photographed areas are hot spots of </w:t>
            </w:r>
            <w:r w:rsidR="00375BCF" w:rsidRPr="000E013A">
              <w:t xml:space="preserve">tourist </w:t>
            </w:r>
            <w:r w:rsidRPr="000E013A">
              <w:t>attraction</w:t>
            </w:r>
            <w:r w:rsidR="00375BCF" w:rsidRPr="000E013A">
              <w:t xml:space="preserve"> too</w:t>
            </w:r>
            <w:r w:rsidR="00E2092F" w:rsidRPr="000E013A">
              <w:t>.</w:t>
            </w:r>
            <w:r w:rsidRPr="000E013A">
              <w:t xml:space="preserve"> However, there could be substantial bias between </w:t>
            </w:r>
            <w:r w:rsidR="00314744" w:rsidRPr="000E013A">
              <w:t xml:space="preserve">urban areas/more </w:t>
            </w:r>
            <w:r w:rsidR="00375BCF" w:rsidRPr="000E013A">
              <w:t>accessible</w:t>
            </w:r>
            <w:r w:rsidR="00314744" w:rsidRPr="000E013A">
              <w:t xml:space="preserve"> areas from more remote areas. Therefore in the future hot spots will be differentiated by landscape type (urban, rural, mountain areas,…)</w:t>
            </w:r>
            <w:r w:rsidR="00B3285D" w:rsidRPr="000E013A">
              <w:t>.</w:t>
            </w:r>
          </w:p>
        </w:tc>
      </w:tr>
      <w:tr w:rsidR="00E2092F" w:rsidRPr="000E013A" w14:paraId="21D8BAE7" w14:textId="77777777" w:rsidTr="00BC431A">
        <w:tc>
          <w:tcPr>
            <w:tcW w:w="567" w:type="dxa"/>
            <w:tcBorders>
              <w:top w:val="nil"/>
              <w:bottom w:val="nil"/>
              <w:right w:val="nil"/>
            </w:tcBorders>
          </w:tcPr>
          <w:p w14:paraId="3203E78C" w14:textId="77777777" w:rsidR="00E2092F" w:rsidRPr="000E013A" w:rsidRDefault="00E2092F" w:rsidP="00E2092F">
            <w:pPr>
              <w:ind w:left="284"/>
            </w:pPr>
          </w:p>
        </w:tc>
        <w:tc>
          <w:tcPr>
            <w:tcW w:w="1702" w:type="dxa"/>
            <w:tcBorders>
              <w:left w:val="nil"/>
            </w:tcBorders>
          </w:tcPr>
          <w:p w14:paraId="5AD6C16C" w14:textId="77777777" w:rsidR="00E2092F" w:rsidRPr="000E013A" w:rsidRDefault="00E2092F" w:rsidP="005E3344">
            <w:pPr>
              <w:ind w:left="86"/>
              <w:jc w:val="left"/>
            </w:pPr>
            <w:r w:rsidRPr="000E013A">
              <w:t>Data sets uncertainties</w:t>
            </w:r>
          </w:p>
        </w:tc>
        <w:tc>
          <w:tcPr>
            <w:tcW w:w="7302" w:type="dxa"/>
            <w:gridSpan w:val="3"/>
          </w:tcPr>
          <w:p w14:paraId="7BC724B9" w14:textId="77777777" w:rsidR="00E2092F" w:rsidRPr="000E013A" w:rsidRDefault="00E2092F" w:rsidP="00E2092F"/>
        </w:tc>
      </w:tr>
      <w:tr w:rsidR="00E2092F" w:rsidRPr="000E013A" w14:paraId="51697447" w14:textId="77777777" w:rsidTr="00BC431A">
        <w:tc>
          <w:tcPr>
            <w:tcW w:w="567" w:type="dxa"/>
            <w:tcBorders>
              <w:top w:val="nil"/>
              <w:right w:val="nil"/>
            </w:tcBorders>
          </w:tcPr>
          <w:p w14:paraId="128706C3" w14:textId="77777777" w:rsidR="00E2092F" w:rsidRPr="000E013A" w:rsidRDefault="00E2092F" w:rsidP="00E2092F">
            <w:pPr>
              <w:ind w:left="284"/>
            </w:pPr>
          </w:p>
        </w:tc>
        <w:tc>
          <w:tcPr>
            <w:tcW w:w="1702" w:type="dxa"/>
            <w:tcBorders>
              <w:left w:val="nil"/>
            </w:tcBorders>
          </w:tcPr>
          <w:p w14:paraId="611B2E52" w14:textId="77777777" w:rsidR="00E2092F" w:rsidRPr="000E013A" w:rsidRDefault="00E2092F" w:rsidP="005E3344">
            <w:pPr>
              <w:ind w:left="86"/>
            </w:pPr>
            <w:r w:rsidRPr="000E013A">
              <w:t>Rationale uncertainty</w:t>
            </w:r>
          </w:p>
        </w:tc>
        <w:tc>
          <w:tcPr>
            <w:tcW w:w="7302" w:type="dxa"/>
            <w:gridSpan w:val="3"/>
          </w:tcPr>
          <w:p w14:paraId="6ACCE491" w14:textId="77777777" w:rsidR="00E2092F" w:rsidRPr="000E013A" w:rsidRDefault="00E2092F" w:rsidP="00E2092F"/>
        </w:tc>
      </w:tr>
      <w:tr w:rsidR="00E2092F" w:rsidRPr="000E013A" w14:paraId="4393D365" w14:textId="77777777" w:rsidTr="00BC431A">
        <w:trPr>
          <w:gridAfter w:val="1"/>
          <w:wAfter w:w="6" w:type="dxa"/>
        </w:trPr>
        <w:tc>
          <w:tcPr>
            <w:tcW w:w="2269" w:type="dxa"/>
            <w:gridSpan w:val="2"/>
          </w:tcPr>
          <w:p w14:paraId="559EAD52" w14:textId="77777777" w:rsidR="00E2092F" w:rsidRPr="000E013A" w:rsidRDefault="00E2092F" w:rsidP="00E2092F">
            <w:pPr>
              <w:ind w:left="284"/>
            </w:pPr>
            <w:r w:rsidRPr="000E013A">
              <w:t>Further work</w:t>
            </w:r>
          </w:p>
        </w:tc>
        <w:tc>
          <w:tcPr>
            <w:tcW w:w="7296" w:type="dxa"/>
            <w:gridSpan w:val="2"/>
          </w:tcPr>
          <w:p w14:paraId="436C0159" w14:textId="0B8CDCF0" w:rsidR="00E2092F" w:rsidRPr="000E013A" w:rsidRDefault="001710C4" w:rsidP="00E2092F">
            <w:r w:rsidRPr="000E013A">
              <w:t>Differentiation of residents and visitors</w:t>
            </w:r>
            <w:r w:rsidR="00F64407" w:rsidRPr="000E013A">
              <w:t xml:space="preserve"> (García-Palomares et al., 2015)</w:t>
            </w:r>
          </w:p>
          <w:p w14:paraId="217C9604" w14:textId="77777777" w:rsidR="00314744" w:rsidRPr="000E013A" w:rsidRDefault="00314744" w:rsidP="00E2092F">
            <w:r w:rsidRPr="000E013A">
              <w:t>Temporal analysis to observe seasonal and yearly patterns.</w:t>
            </w:r>
          </w:p>
        </w:tc>
      </w:tr>
      <w:tr w:rsidR="00E2092F" w:rsidRPr="001C719F" w14:paraId="7D738928" w14:textId="77777777" w:rsidTr="00BC431A">
        <w:trPr>
          <w:gridAfter w:val="1"/>
          <w:wAfter w:w="6" w:type="dxa"/>
        </w:trPr>
        <w:tc>
          <w:tcPr>
            <w:tcW w:w="2269" w:type="dxa"/>
            <w:gridSpan w:val="2"/>
          </w:tcPr>
          <w:p w14:paraId="1921AF86" w14:textId="77777777" w:rsidR="00E2092F" w:rsidRPr="000E013A" w:rsidRDefault="00E2092F" w:rsidP="00E2092F">
            <w:pPr>
              <w:ind w:left="284"/>
            </w:pPr>
            <w:r w:rsidRPr="000E013A">
              <w:t xml:space="preserve">Ownership and contacts </w:t>
            </w:r>
          </w:p>
        </w:tc>
        <w:tc>
          <w:tcPr>
            <w:tcW w:w="7296" w:type="dxa"/>
            <w:gridSpan w:val="2"/>
          </w:tcPr>
          <w:p w14:paraId="36D0DD70" w14:textId="05CBE0F7" w:rsidR="00BC431A" w:rsidRPr="000E013A" w:rsidRDefault="00BC431A" w:rsidP="00E2092F">
            <w:pPr>
              <w:rPr>
                <w:lang w:val="it-IT"/>
              </w:rPr>
            </w:pPr>
            <w:r w:rsidRPr="000E013A">
              <w:rPr>
                <w:lang w:val="it-IT"/>
              </w:rPr>
              <w:t>ETC-ULS</w:t>
            </w:r>
          </w:p>
          <w:p w14:paraId="3C575563" w14:textId="77777777" w:rsidR="00E2092F" w:rsidRPr="00124B19" w:rsidRDefault="00314744" w:rsidP="00E2092F">
            <w:pPr>
              <w:rPr>
                <w:lang w:val="it-IT"/>
              </w:rPr>
            </w:pPr>
            <w:r w:rsidRPr="000E013A">
              <w:rPr>
                <w:lang w:val="it-IT"/>
              </w:rPr>
              <w:t>Jaume Fons (jaume.fons@uab.cat)</w:t>
            </w:r>
          </w:p>
        </w:tc>
      </w:tr>
    </w:tbl>
    <w:p w14:paraId="5461CDB3" w14:textId="77777777" w:rsidR="000135C1" w:rsidRPr="00124B19" w:rsidRDefault="000135C1">
      <w:pPr>
        <w:rPr>
          <w:lang w:val="it-IT"/>
        </w:rPr>
      </w:pPr>
    </w:p>
    <w:p w14:paraId="471D23C5" w14:textId="77777777" w:rsidR="00AF133B" w:rsidRPr="00124B19" w:rsidRDefault="00AF133B">
      <w:pPr>
        <w:rPr>
          <w:lang w:val="it-IT"/>
        </w:rPr>
      </w:pPr>
    </w:p>
    <w:sectPr w:rsidR="00AF133B" w:rsidRPr="00124B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5768B" w14:textId="77777777" w:rsidR="006F6877" w:rsidRDefault="006F6877" w:rsidP="00566F0F">
      <w:r>
        <w:separator/>
      </w:r>
    </w:p>
  </w:endnote>
  <w:endnote w:type="continuationSeparator" w:id="0">
    <w:p w14:paraId="395C08FC" w14:textId="77777777" w:rsidR="006F6877" w:rsidRDefault="006F6877" w:rsidP="0056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D0C1" w14:textId="77777777" w:rsidR="006F6877" w:rsidRDefault="006F6877" w:rsidP="00566F0F">
      <w:r>
        <w:separator/>
      </w:r>
    </w:p>
  </w:footnote>
  <w:footnote w:type="continuationSeparator" w:id="0">
    <w:p w14:paraId="0DC96CE3" w14:textId="77777777" w:rsidR="006F6877" w:rsidRDefault="006F6877" w:rsidP="0056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A8"/>
    <w:multiLevelType w:val="hybridMultilevel"/>
    <w:tmpl w:val="F8A4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5A21EC"/>
    <w:multiLevelType w:val="hybridMultilevel"/>
    <w:tmpl w:val="149C26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6F518B"/>
    <w:multiLevelType w:val="hybridMultilevel"/>
    <w:tmpl w:val="B448A440"/>
    <w:lvl w:ilvl="0" w:tplc="00BC7A28">
      <w:numFmt w:val="bullet"/>
      <w:lvlText w:val="-"/>
      <w:lvlJc w:val="left"/>
      <w:pPr>
        <w:ind w:left="720" w:hanging="360"/>
      </w:pPr>
      <w:rPr>
        <w:rFonts w:ascii="Calibri" w:eastAsiaTheme="minorHAnsi" w:hAnsi="Calibri" w:cstheme="minorBid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5A758C"/>
    <w:multiLevelType w:val="hybridMultilevel"/>
    <w:tmpl w:val="3990C112"/>
    <w:lvl w:ilvl="0" w:tplc="5A98DFB8">
      <w:numFmt w:val="bullet"/>
      <w:lvlText w:val="-"/>
      <w:lvlJc w:val="left"/>
      <w:pPr>
        <w:ind w:left="655" w:hanging="360"/>
      </w:pPr>
      <w:rPr>
        <w:rFonts w:ascii="Times New Roman" w:eastAsiaTheme="minorHAnsi" w:hAnsi="Times New Roman" w:cs="Times New Roman" w:hint="default"/>
      </w:rPr>
    </w:lvl>
    <w:lvl w:ilvl="1" w:tplc="0C0A0003" w:tentative="1">
      <w:start w:val="1"/>
      <w:numFmt w:val="bullet"/>
      <w:lvlText w:val="o"/>
      <w:lvlJc w:val="left"/>
      <w:pPr>
        <w:ind w:left="1375" w:hanging="360"/>
      </w:pPr>
      <w:rPr>
        <w:rFonts w:ascii="Courier New" w:hAnsi="Courier New" w:cs="Courier New" w:hint="default"/>
      </w:rPr>
    </w:lvl>
    <w:lvl w:ilvl="2" w:tplc="0C0A0005" w:tentative="1">
      <w:start w:val="1"/>
      <w:numFmt w:val="bullet"/>
      <w:lvlText w:val=""/>
      <w:lvlJc w:val="left"/>
      <w:pPr>
        <w:ind w:left="2095" w:hanging="360"/>
      </w:pPr>
      <w:rPr>
        <w:rFonts w:ascii="Wingdings" w:hAnsi="Wingdings" w:hint="default"/>
      </w:rPr>
    </w:lvl>
    <w:lvl w:ilvl="3" w:tplc="0C0A0001" w:tentative="1">
      <w:start w:val="1"/>
      <w:numFmt w:val="bullet"/>
      <w:lvlText w:val=""/>
      <w:lvlJc w:val="left"/>
      <w:pPr>
        <w:ind w:left="2815" w:hanging="360"/>
      </w:pPr>
      <w:rPr>
        <w:rFonts w:ascii="Symbol" w:hAnsi="Symbol" w:hint="default"/>
      </w:rPr>
    </w:lvl>
    <w:lvl w:ilvl="4" w:tplc="0C0A0003" w:tentative="1">
      <w:start w:val="1"/>
      <w:numFmt w:val="bullet"/>
      <w:lvlText w:val="o"/>
      <w:lvlJc w:val="left"/>
      <w:pPr>
        <w:ind w:left="3535" w:hanging="360"/>
      </w:pPr>
      <w:rPr>
        <w:rFonts w:ascii="Courier New" w:hAnsi="Courier New" w:cs="Courier New" w:hint="default"/>
      </w:rPr>
    </w:lvl>
    <w:lvl w:ilvl="5" w:tplc="0C0A0005" w:tentative="1">
      <w:start w:val="1"/>
      <w:numFmt w:val="bullet"/>
      <w:lvlText w:val=""/>
      <w:lvlJc w:val="left"/>
      <w:pPr>
        <w:ind w:left="4255" w:hanging="360"/>
      </w:pPr>
      <w:rPr>
        <w:rFonts w:ascii="Wingdings" w:hAnsi="Wingdings" w:hint="default"/>
      </w:rPr>
    </w:lvl>
    <w:lvl w:ilvl="6" w:tplc="0C0A0001" w:tentative="1">
      <w:start w:val="1"/>
      <w:numFmt w:val="bullet"/>
      <w:lvlText w:val=""/>
      <w:lvlJc w:val="left"/>
      <w:pPr>
        <w:ind w:left="4975" w:hanging="360"/>
      </w:pPr>
      <w:rPr>
        <w:rFonts w:ascii="Symbol" w:hAnsi="Symbol" w:hint="default"/>
      </w:rPr>
    </w:lvl>
    <w:lvl w:ilvl="7" w:tplc="0C0A0003" w:tentative="1">
      <w:start w:val="1"/>
      <w:numFmt w:val="bullet"/>
      <w:lvlText w:val="o"/>
      <w:lvlJc w:val="left"/>
      <w:pPr>
        <w:ind w:left="5695" w:hanging="360"/>
      </w:pPr>
      <w:rPr>
        <w:rFonts w:ascii="Courier New" w:hAnsi="Courier New" w:cs="Courier New" w:hint="default"/>
      </w:rPr>
    </w:lvl>
    <w:lvl w:ilvl="8" w:tplc="0C0A0005" w:tentative="1">
      <w:start w:val="1"/>
      <w:numFmt w:val="bullet"/>
      <w:lvlText w:val=""/>
      <w:lvlJc w:val="left"/>
      <w:pPr>
        <w:ind w:left="641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2F"/>
    <w:rsid w:val="000135C1"/>
    <w:rsid w:val="000E013A"/>
    <w:rsid w:val="000F1ACD"/>
    <w:rsid w:val="00124B19"/>
    <w:rsid w:val="00143D75"/>
    <w:rsid w:val="001710C4"/>
    <w:rsid w:val="001B0FD0"/>
    <w:rsid w:val="001C719F"/>
    <w:rsid w:val="001E526A"/>
    <w:rsid w:val="002E3DB4"/>
    <w:rsid w:val="00314744"/>
    <w:rsid w:val="00375BCF"/>
    <w:rsid w:val="00390539"/>
    <w:rsid w:val="003A3CC4"/>
    <w:rsid w:val="003C0166"/>
    <w:rsid w:val="004E06BC"/>
    <w:rsid w:val="004E7467"/>
    <w:rsid w:val="00566F0F"/>
    <w:rsid w:val="005E3344"/>
    <w:rsid w:val="006270D5"/>
    <w:rsid w:val="00666787"/>
    <w:rsid w:val="006F6877"/>
    <w:rsid w:val="007040DA"/>
    <w:rsid w:val="007B172F"/>
    <w:rsid w:val="00853A31"/>
    <w:rsid w:val="00870B61"/>
    <w:rsid w:val="008C2342"/>
    <w:rsid w:val="00941768"/>
    <w:rsid w:val="00974805"/>
    <w:rsid w:val="00A0253E"/>
    <w:rsid w:val="00A64877"/>
    <w:rsid w:val="00AE1D0B"/>
    <w:rsid w:val="00AF133B"/>
    <w:rsid w:val="00B3285D"/>
    <w:rsid w:val="00B37A6E"/>
    <w:rsid w:val="00B427AF"/>
    <w:rsid w:val="00BB155C"/>
    <w:rsid w:val="00BC431A"/>
    <w:rsid w:val="00BE5819"/>
    <w:rsid w:val="00C012AC"/>
    <w:rsid w:val="00C164B8"/>
    <w:rsid w:val="00C8408B"/>
    <w:rsid w:val="00CC2B18"/>
    <w:rsid w:val="00CE090A"/>
    <w:rsid w:val="00CE6CFD"/>
    <w:rsid w:val="00D20D10"/>
    <w:rsid w:val="00D2716B"/>
    <w:rsid w:val="00D629B3"/>
    <w:rsid w:val="00D6421C"/>
    <w:rsid w:val="00E2092F"/>
    <w:rsid w:val="00E274B2"/>
    <w:rsid w:val="00EC310C"/>
    <w:rsid w:val="00F56DCA"/>
    <w:rsid w:val="00F64407"/>
    <w:rsid w:val="00FE3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8B7D"/>
  <w15:docId w15:val="{DBF7B743-319A-4B06-915B-56E2D5D6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092F"/>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E2092F"/>
    <w:rPr>
      <w:color w:val="0000FF"/>
      <w:u w:val="single"/>
    </w:rPr>
  </w:style>
  <w:style w:type="table" w:styleId="Tablaconcuadrcula">
    <w:name w:val="Table Grid"/>
    <w:basedOn w:val="Tablanormal"/>
    <w:uiPriority w:val="59"/>
    <w:rsid w:val="00E2092F"/>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Prrafodelista">
    <w:name w:val="List Paragraph"/>
    <w:basedOn w:val="Normal"/>
    <w:link w:val="PrrafodelistaCar"/>
    <w:uiPriority w:val="34"/>
    <w:qFormat/>
    <w:rsid w:val="00E2092F"/>
    <w:pPr>
      <w:ind w:left="720"/>
      <w:contextualSpacing/>
    </w:pPr>
  </w:style>
  <w:style w:type="character" w:customStyle="1" w:styleId="PrrafodelistaCar">
    <w:name w:val="Párrafo de lista Car"/>
    <w:basedOn w:val="Fuentedeprrafopredeter"/>
    <w:link w:val="Prrafodelista"/>
    <w:uiPriority w:val="34"/>
    <w:locked/>
    <w:rsid w:val="00E2092F"/>
    <w:rPr>
      <w:rFonts w:ascii="Times New Roman" w:eastAsia="ヒラギノ角ゴ Pro W3" w:hAnsi="Times New Roman" w:cs="Times New Roman"/>
      <w:color w:val="000000"/>
      <w:sz w:val="24"/>
      <w:szCs w:val="24"/>
      <w:lang w:val="en-GB"/>
    </w:rPr>
  </w:style>
  <w:style w:type="paragraph" w:styleId="Textodeglobo">
    <w:name w:val="Balloon Text"/>
    <w:basedOn w:val="Normal"/>
    <w:link w:val="TextodegloboCar"/>
    <w:uiPriority w:val="99"/>
    <w:semiHidden/>
    <w:unhideWhenUsed/>
    <w:rsid w:val="00E2092F"/>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92F"/>
    <w:rPr>
      <w:rFonts w:ascii="Tahoma" w:eastAsia="ヒラギノ角ゴ Pro W3" w:hAnsi="Tahoma" w:cs="Tahoma"/>
      <w:color w:val="000000"/>
      <w:sz w:val="16"/>
      <w:szCs w:val="16"/>
      <w:lang w:val="en-GB"/>
    </w:rPr>
  </w:style>
  <w:style w:type="paragraph" w:styleId="Textonotapie">
    <w:name w:val="footnote text"/>
    <w:basedOn w:val="Normal"/>
    <w:link w:val="TextonotapieCar"/>
    <w:uiPriority w:val="99"/>
    <w:semiHidden/>
    <w:unhideWhenUsed/>
    <w:rsid w:val="00566F0F"/>
    <w:rPr>
      <w:sz w:val="20"/>
      <w:szCs w:val="20"/>
    </w:rPr>
  </w:style>
  <w:style w:type="character" w:customStyle="1" w:styleId="TextonotapieCar">
    <w:name w:val="Texto nota pie Car"/>
    <w:basedOn w:val="Fuentedeprrafopredeter"/>
    <w:link w:val="Textonotapie"/>
    <w:uiPriority w:val="99"/>
    <w:semiHidden/>
    <w:rsid w:val="00566F0F"/>
    <w:rPr>
      <w:rFonts w:ascii="Times New Roman" w:eastAsia="ヒラギノ角ゴ Pro W3" w:hAnsi="Times New Roman" w:cs="Times New Roman"/>
      <w:color w:val="000000"/>
      <w:sz w:val="20"/>
      <w:szCs w:val="20"/>
      <w:lang w:val="en-GB"/>
    </w:rPr>
  </w:style>
  <w:style w:type="character" w:styleId="Refdenotaalpie">
    <w:name w:val="footnote reference"/>
    <w:basedOn w:val="Fuentedeprrafopredeter"/>
    <w:uiPriority w:val="99"/>
    <w:semiHidden/>
    <w:unhideWhenUsed/>
    <w:rsid w:val="00566F0F"/>
    <w:rPr>
      <w:vertAlign w:val="superscript"/>
    </w:rPr>
  </w:style>
  <w:style w:type="character" w:styleId="Refdecomentario">
    <w:name w:val="annotation reference"/>
    <w:basedOn w:val="Fuentedeprrafopredeter"/>
    <w:uiPriority w:val="99"/>
    <w:semiHidden/>
    <w:unhideWhenUsed/>
    <w:rsid w:val="00CC2B18"/>
    <w:rPr>
      <w:sz w:val="16"/>
      <w:szCs w:val="16"/>
    </w:rPr>
  </w:style>
  <w:style w:type="paragraph" w:styleId="Textocomentario">
    <w:name w:val="annotation text"/>
    <w:basedOn w:val="Normal"/>
    <w:link w:val="TextocomentarioCar"/>
    <w:uiPriority w:val="99"/>
    <w:semiHidden/>
    <w:unhideWhenUsed/>
    <w:rsid w:val="00CC2B18"/>
    <w:rPr>
      <w:sz w:val="20"/>
      <w:szCs w:val="20"/>
    </w:rPr>
  </w:style>
  <w:style w:type="character" w:customStyle="1" w:styleId="TextocomentarioCar">
    <w:name w:val="Texto comentario Car"/>
    <w:basedOn w:val="Fuentedeprrafopredeter"/>
    <w:link w:val="Textocomentario"/>
    <w:uiPriority w:val="99"/>
    <w:semiHidden/>
    <w:rsid w:val="00CC2B18"/>
    <w:rPr>
      <w:rFonts w:ascii="Times New Roman" w:eastAsia="ヒラギノ角ゴ Pro W3" w:hAnsi="Times New Roman" w:cs="Times New Roman"/>
      <w:color w:val="000000"/>
      <w:sz w:val="20"/>
      <w:szCs w:val="20"/>
      <w:lang w:val="en-GB"/>
    </w:rPr>
  </w:style>
  <w:style w:type="paragraph" w:styleId="Asuntodelcomentario">
    <w:name w:val="annotation subject"/>
    <w:basedOn w:val="Textocomentario"/>
    <w:next w:val="Textocomentario"/>
    <w:link w:val="AsuntodelcomentarioCar"/>
    <w:uiPriority w:val="99"/>
    <w:semiHidden/>
    <w:unhideWhenUsed/>
    <w:rsid w:val="00CC2B18"/>
    <w:rPr>
      <w:b/>
      <w:bCs/>
    </w:rPr>
  </w:style>
  <w:style w:type="character" w:customStyle="1" w:styleId="AsuntodelcomentarioCar">
    <w:name w:val="Asunto del comentario Car"/>
    <w:basedOn w:val="TextocomentarioCar"/>
    <w:link w:val="Asuntodelcomentario"/>
    <w:uiPriority w:val="99"/>
    <w:semiHidden/>
    <w:rsid w:val="00CC2B18"/>
    <w:rPr>
      <w:rFonts w:ascii="Times New Roman" w:eastAsia="ヒラギノ角ゴ Pro W3" w:hAnsi="Times New Roman" w:cs="Times New Roman"/>
      <w:b/>
      <w:bC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26">
      <w:bodyDiv w:val="1"/>
      <w:marLeft w:val="0"/>
      <w:marRight w:val="0"/>
      <w:marTop w:val="0"/>
      <w:marBottom w:val="0"/>
      <w:divBdr>
        <w:top w:val="none" w:sz="0" w:space="0" w:color="auto"/>
        <w:left w:val="none" w:sz="0" w:space="0" w:color="auto"/>
        <w:bottom w:val="none" w:sz="0" w:space="0" w:color="auto"/>
        <w:right w:val="none" w:sz="0" w:space="0" w:color="auto"/>
      </w:divBdr>
    </w:div>
    <w:div w:id="119424569">
      <w:bodyDiv w:val="1"/>
      <w:marLeft w:val="0"/>
      <w:marRight w:val="0"/>
      <w:marTop w:val="0"/>
      <w:marBottom w:val="0"/>
      <w:divBdr>
        <w:top w:val="none" w:sz="0" w:space="0" w:color="auto"/>
        <w:left w:val="none" w:sz="0" w:space="0" w:color="auto"/>
        <w:bottom w:val="none" w:sz="0" w:space="0" w:color="auto"/>
        <w:right w:val="none" w:sz="0" w:space="0" w:color="auto"/>
      </w:divBdr>
      <w:divsChild>
        <w:div w:id="1757482669">
          <w:marLeft w:val="0"/>
          <w:marRight w:val="0"/>
          <w:marTop w:val="0"/>
          <w:marBottom w:val="0"/>
          <w:divBdr>
            <w:top w:val="none" w:sz="0" w:space="0" w:color="auto"/>
            <w:left w:val="none" w:sz="0" w:space="0" w:color="auto"/>
            <w:bottom w:val="none" w:sz="0" w:space="0" w:color="auto"/>
            <w:right w:val="none" w:sz="0" w:space="0" w:color="auto"/>
          </w:divBdr>
        </w:div>
        <w:div w:id="531459927">
          <w:marLeft w:val="0"/>
          <w:marRight w:val="0"/>
          <w:marTop w:val="0"/>
          <w:marBottom w:val="0"/>
          <w:divBdr>
            <w:top w:val="none" w:sz="0" w:space="0" w:color="auto"/>
            <w:left w:val="none" w:sz="0" w:space="0" w:color="auto"/>
            <w:bottom w:val="none" w:sz="0" w:space="0" w:color="auto"/>
            <w:right w:val="none" w:sz="0" w:space="0" w:color="auto"/>
          </w:divBdr>
        </w:div>
        <w:div w:id="2101025741">
          <w:marLeft w:val="0"/>
          <w:marRight w:val="0"/>
          <w:marTop w:val="0"/>
          <w:marBottom w:val="0"/>
          <w:divBdr>
            <w:top w:val="none" w:sz="0" w:space="0" w:color="auto"/>
            <w:left w:val="none" w:sz="0" w:space="0" w:color="auto"/>
            <w:bottom w:val="none" w:sz="0" w:space="0" w:color="auto"/>
            <w:right w:val="none" w:sz="0" w:space="0" w:color="auto"/>
          </w:divBdr>
        </w:div>
        <w:div w:id="562568137">
          <w:marLeft w:val="0"/>
          <w:marRight w:val="0"/>
          <w:marTop w:val="0"/>
          <w:marBottom w:val="0"/>
          <w:divBdr>
            <w:top w:val="none" w:sz="0" w:space="0" w:color="auto"/>
            <w:left w:val="none" w:sz="0" w:space="0" w:color="auto"/>
            <w:bottom w:val="none" w:sz="0" w:space="0" w:color="auto"/>
            <w:right w:val="none" w:sz="0" w:space="0" w:color="auto"/>
          </w:divBdr>
        </w:div>
        <w:div w:id="2120181580">
          <w:marLeft w:val="0"/>
          <w:marRight w:val="0"/>
          <w:marTop w:val="0"/>
          <w:marBottom w:val="0"/>
          <w:divBdr>
            <w:top w:val="none" w:sz="0" w:space="0" w:color="auto"/>
            <w:left w:val="none" w:sz="0" w:space="0" w:color="auto"/>
            <w:bottom w:val="none" w:sz="0" w:space="0" w:color="auto"/>
            <w:right w:val="none" w:sz="0" w:space="0" w:color="auto"/>
          </w:divBdr>
        </w:div>
        <w:div w:id="137848436">
          <w:marLeft w:val="0"/>
          <w:marRight w:val="0"/>
          <w:marTop w:val="0"/>
          <w:marBottom w:val="0"/>
          <w:divBdr>
            <w:top w:val="none" w:sz="0" w:space="0" w:color="auto"/>
            <w:left w:val="none" w:sz="0" w:space="0" w:color="auto"/>
            <w:bottom w:val="none" w:sz="0" w:space="0" w:color="auto"/>
            <w:right w:val="none" w:sz="0" w:space="0" w:color="auto"/>
          </w:divBdr>
        </w:div>
        <w:div w:id="151609750">
          <w:marLeft w:val="0"/>
          <w:marRight w:val="0"/>
          <w:marTop w:val="0"/>
          <w:marBottom w:val="0"/>
          <w:divBdr>
            <w:top w:val="none" w:sz="0" w:space="0" w:color="auto"/>
            <w:left w:val="none" w:sz="0" w:space="0" w:color="auto"/>
            <w:bottom w:val="none" w:sz="0" w:space="0" w:color="auto"/>
            <w:right w:val="none" w:sz="0" w:space="0" w:color="auto"/>
          </w:divBdr>
        </w:div>
        <w:div w:id="1417436656">
          <w:marLeft w:val="0"/>
          <w:marRight w:val="0"/>
          <w:marTop w:val="0"/>
          <w:marBottom w:val="0"/>
          <w:divBdr>
            <w:top w:val="none" w:sz="0" w:space="0" w:color="auto"/>
            <w:left w:val="none" w:sz="0" w:space="0" w:color="auto"/>
            <w:bottom w:val="none" w:sz="0" w:space="0" w:color="auto"/>
            <w:right w:val="none" w:sz="0" w:space="0" w:color="auto"/>
          </w:divBdr>
        </w:div>
        <w:div w:id="1634169009">
          <w:marLeft w:val="0"/>
          <w:marRight w:val="0"/>
          <w:marTop w:val="0"/>
          <w:marBottom w:val="0"/>
          <w:divBdr>
            <w:top w:val="none" w:sz="0" w:space="0" w:color="auto"/>
            <w:left w:val="none" w:sz="0" w:space="0" w:color="auto"/>
            <w:bottom w:val="none" w:sz="0" w:space="0" w:color="auto"/>
            <w:right w:val="none" w:sz="0" w:space="0" w:color="auto"/>
          </w:divBdr>
        </w:div>
        <w:div w:id="1453330298">
          <w:marLeft w:val="0"/>
          <w:marRight w:val="0"/>
          <w:marTop w:val="0"/>
          <w:marBottom w:val="0"/>
          <w:divBdr>
            <w:top w:val="none" w:sz="0" w:space="0" w:color="auto"/>
            <w:left w:val="none" w:sz="0" w:space="0" w:color="auto"/>
            <w:bottom w:val="none" w:sz="0" w:space="0" w:color="auto"/>
            <w:right w:val="none" w:sz="0" w:space="0" w:color="auto"/>
          </w:divBdr>
        </w:div>
        <w:div w:id="1163593292">
          <w:marLeft w:val="0"/>
          <w:marRight w:val="0"/>
          <w:marTop w:val="0"/>
          <w:marBottom w:val="0"/>
          <w:divBdr>
            <w:top w:val="none" w:sz="0" w:space="0" w:color="auto"/>
            <w:left w:val="none" w:sz="0" w:space="0" w:color="auto"/>
            <w:bottom w:val="none" w:sz="0" w:space="0" w:color="auto"/>
            <w:right w:val="none" w:sz="0" w:space="0" w:color="auto"/>
          </w:divBdr>
        </w:div>
        <w:div w:id="389232145">
          <w:marLeft w:val="0"/>
          <w:marRight w:val="0"/>
          <w:marTop w:val="0"/>
          <w:marBottom w:val="0"/>
          <w:divBdr>
            <w:top w:val="none" w:sz="0" w:space="0" w:color="auto"/>
            <w:left w:val="none" w:sz="0" w:space="0" w:color="auto"/>
            <w:bottom w:val="none" w:sz="0" w:space="0" w:color="auto"/>
            <w:right w:val="none" w:sz="0" w:space="0" w:color="auto"/>
          </w:divBdr>
        </w:div>
        <w:div w:id="916480217">
          <w:marLeft w:val="0"/>
          <w:marRight w:val="0"/>
          <w:marTop w:val="0"/>
          <w:marBottom w:val="0"/>
          <w:divBdr>
            <w:top w:val="none" w:sz="0" w:space="0" w:color="auto"/>
            <w:left w:val="none" w:sz="0" w:space="0" w:color="auto"/>
            <w:bottom w:val="none" w:sz="0" w:space="0" w:color="auto"/>
            <w:right w:val="none" w:sz="0" w:space="0" w:color="auto"/>
          </w:divBdr>
        </w:div>
        <w:div w:id="450783037">
          <w:marLeft w:val="0"/>
          <w:marRight w:val="0"/>
          <w:marTop w:val="0"/>
          <w:marBottom w:val="0"/>
          <w:divBdr>
            <w:top w:val="none" w:sz="0" w:space="0" w:color="auto"/>
            <w:left w:val="none" w:sz="0" w:space="0" w:color="auto"/>
            <w:bottom w:val="none" w:sz="0" w:space="0" w:color="auto"/>
            <w:right w:val="none" w:sz="0" w:space="0" w:color="auto"/>
          </w:divBdr>
        </w:div>
        <w:div w:id="1089885008">
          <w:marLeft w:val="0"/>
          <w:marRight w:val="0"/>
          <w:marTop w:val="0"/>
          <w:marBottom w:val="0"/>
          <w:divBdr>
            <w:top w:val="none" w:sz="0" w:space="0" w:color="auto"/>
            <w:left w:val="none" w:sz="0" w:space="0" w:color="auto"/>
            <w:bottom w:val="none" w:sz="0" w:space="0" w:color="auto"/>
            <w:right w:val="none" w:sz="0" w:space="0" w:color="auto"/>
          </w:divBdr>
        </w:div>
        <w:div w:id="1111049711">
          <w:marLeft w:val="0"/>
          <w:marRight w:val="0"/>
          <w:marTop w:val="0"/>
          <w:marBottom w:val="0"/>
          <w:divBdr>
            <w:top w:val="none" w:sz="0" w:space="0" w:color="auto"/>
            <w:left w:val="none" w:sz="0" w:space="0" w:color="auto"/>
            <w:bottom w:val="none" w:sz="0" w:space="0" w:color="auto"/>
            <w:right w:val="none" w:sz="0" w:space="0" w:color="auto"/>
          </w:divBdr>
        </w:div>
        <w:div w:id="1855613968">
          <w:marLeft w:val="0"/>
          <w:marRight w:val="0"/>
          <w:marTop w:val="0"/>
          <w:marBottom w:val="0"/>
          <w:divBdr>
            <w:top w:val="none" w:sz="0" w:space="0" w:color="auto"/>
            <w:left w:val="none" w:sz="0" w:space="0" w:color="auto"/>
            <w:bottom w:val="none" w:sz="0" w:space="0" w:color="auto"/>
            <w:right w:val="none" w:sz="0" w:space="0" w:color="auto"/>
          </w:divBdr>
        </w:div>
        <w:div w:id="1392654428">
          <w:marLeft w:val="0"/>
          <w:marRight w:val="0"/>
          <w:marTop w:val="0"/>
          <w:marBottom w:val="0"/>
          <w:divBdr>
            <w:top w:val="none" w:sz="0" w:space="0" w:color="auto"/>
            <w:left w:val="none" w:sz="0" w:space="0" w:color="auto"/>
            <w:bottom w:val="none" w:sz="0" w:space="0" w:color="auto"/>
            <w:right w:val="none" w:sz="0" w:space="0" w:color="auto"/>
          </w:divBdr>
        </w:div>
        <w:div w:id="1062751055">
          <w:marLeft w:val="0"/>
          <w:marRight w:val="0"/>
          <w:marTop w:val="0"/>
          <w:marBottom w:val="0"/>
          <w:divBdr>
            <w:top w:val="none" w:sz="0" w:space="0" w:color="auto"/>
            <w:left w:val="none" w:sz="0" w:space="0" w:color="auto"/>
            <w:bottom w:val="none" w:sz="0" w:space="0" w:color="auto"/>
            <w:right w:val="none" w:sz="0" w:space="0" w:color="auto"/>
          </w:divBdr>
        </w:div>
        <w:div w:id="697894759">
          <w:marLeft w:val="0"/>
          <w:marRight w:val="0"/>
          <w:marTop w:val="0"/>
          <w:marBottom w:val="0"/>
          <w:divBdr>
            <w:top w:val="none" w:sz="0" w:space="0" w:color="auto"/>
            <w:left w:val="none" w:sz="0" w:space="0" w:color="auto"/>
            <w:bottom w:val="none" w:sz="0" w:space="0" w:color="auto"/>
            <w:right w:val="none" w:sz="0" w:space="0" w:color="auto"/>
          </w:divBdr>
        </w:div>
      </w:divsChild>
    </w:div>
    <w:div w:id="303657847">
      <w:bodyDiv w:val="1"/>
      <w:marLeft w:val="0"/>
      <w:marRight w:val="0"/>
      <w:marTop w:val="0"/>
      <w:marBottom w:val="0"/>
      <w:divBdr>
        <w:top w:val="none" w:sz="0" w:space="0" w:color="auto"/>
        <w:left w:val="none" w:sz="0" w:space="0" w:color="auto"/>
        <w:bottom w:val="none" w:sz="0" w:space="0" w:color="auto"/>
        <w:right w:val="none" w:sz="0" w:space="0" w:color="auto"/>
      </w:divBdr>
      <w:divsChild>
        <w:div w:id="1698387911">
          <w:marLeft w:val="0"/>
          <w:marRight w:val="0"/>
          <w:marTop w:val="0"/>
          <w:marBottom w:val="0"/>
          <w:divBdr>
            <w:top w:val="none" w:sz="0" w:space="0" w:color="auto"/>
            <w:left w:val="none" w:sz="0" w:space="0" w:color="auto"/>
            <w:bottom w:val="none" w:sz="0" w:space="0" w:color="auto"/>
            <w:right w:val="none" w:sz="0" w:space="0" w:color="auto"/>
          </w:divBdr>
          <w:divsChild>
            <w:div w:id="2140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745">
      <w:bodyDiv w:val="1"/>
      <w:marLeft w:val="0"/>
      <w:marRight w:val="0"/>
      <w:marTop w:val="0"/>
      <w:marBottom w:val="0"/>
      <w:divBdr>
        <w:top w:val="none" w:sz="0" w:space="0" w:color="auto"/>
        <w:left w:val="none" w:sz="0" w:space="0" w:color="auto"/>
        <w:bottom w:val="none" w:sz="0" w:space="0" w:color="auto"/>
        <w:right w:val="none" w:sz="0" w:space="0" w:color="auto"/>
      </w:divBdr>
      <w:divsChild>
        <w:div w:id="542790599">
          <w:marLeft w:val="0"/>
          <w:marRight w:val="0"/>
          <w:marTop w:val="0"/>
          <w:marBottom w:val="0"/>
          <w:divBdr>
            <w:top w:val="none" w:sz="0" w:space="0" w:color="auto"/>
            <w:left w:val="none" w:sz="0" w:space="0" w:color="auto"/>
            <w:bottom w:val="none" w:sz="0" w:space="0" w:color="auto"/>
            <w:right w:val="none" w:sz="0" w:space="0" w:color="auto"/>
          </w:divBdr>
          <w:divsChild>
            <w:div w:id="285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3354">
      <w:bodyDiv w:val="1"/>
      <w:marLeft w:val="0"/>
      <w:marRight w:val="0"/>
      <w:marTop w:val="0"/>
      <w:marBottom w:val="0"/>
      <w:divBdr>
        <w:top w:val="none" w:sz="0" w:space="0" w:color="auto"/>
        <w:left w:val="none" w:sz="0" w:space="0" w:color="auto"/>
        <w:bottom w:val="none" w:sz="0" w:space="0" w:color="auto"/>
        <w:right w:val="none" w:sz="0" w:space="0" w:color="auto"/>
      </w:divBdr>
      <w:divsChild>
        <w:div w:id="1992636902">
          <w:marLeft w:val="0"/>
          <w:marRight w:val="0"/>
          <w:marTop w:val="0"/>
          <w:marBottom w:val="0"/>
          <w:divBdr>
            <w:top w:val="none" w:sz="0" w:space="0" w:color="auto"/>
            <w:left w:val="none" w:sz="0" w:space="0" w:color="auto"/>
            <w:bottom w:val="none" w:sz="0" w:space="0" w:color="auto"/>
            <w:right w:val="none" w:sz="0" w:space="0" w:color="auto"/>
          </w:divBdr>
          <w:divsChild>
            <w:div w:id="965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362">
      <w:bodyDiv w:val="1"/>
      <w:marLeft w:val="0"/>
      <w:marRight w:val="0"/>
      <w:marTop w:val="0"/>
      <w:marBottom w:val="0"/>
      <w:divBdr>
        <w:top w:val="none" w:sz="0" w:space="0" w:color="auto"/>
        <w:left w:val="none" w:sz="0" w:space="0" w:color="auto"/>
        <w:bottom w:val="none" w:sz="0" w:space="0" w:color="auto"/>
        <w:right w:val="none" w:sz="0" w:space="0" w:color="auto"/>
      </w:divBdr>
      <w:divsChild>
        <w:div w:id="244263473">
          <w:marLeft w:val="0"/>
          <w:marRight w:val="0"/>
          <w:marTop w:val="0"/>
          <w:marBottom w:val="0"/>
          <w:divBdr>
            <w:top w:val="none" w:sz="0" w:space="0" w:color="auto"/>
            <w:left w:val="none" w:sz="0" w:space="0" w:color="auto"/>
            <w:bottom w:val="none" w:sz="0" w:space="0" w:color="auto"/>
            <w:right w:val="none" w:sz="0" w:space="0" w:color="auto"/>
          </w:divBdr>
          <w:divsChild>
            <w:div w:id="14526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95328065">
          <w:marLeft w:val="0"/>
          <w:marRight w:val="0"/>
          <w:marTop w:val="0"/>
          <w:marBottom w:val="0"/>
          <w:divBdr>
            <w:top w:val="none" w:sz="0" w:space="0" w:color="auto"/>
            <w:left w:val="none" w:sz="0" w:space="0" w:color="auto"/>
            <w:bottom w:val="none" w:sz="0" w:space="0" w:color="auto"/>
            <w:right w:val="none" w:sz="0" w:space="0" w:color="auto"/>
          </w:divBdr>
          <w:divsChild>
            <w:div w:id="38629737">
              <w:marLeft w:val="0"/>
              <w:marRight w:val="0"/>
              <w:marTop w:val="0"/>
              <w:marBottom w:val="0"/>
              <w:divBdr>
                <w:top w:val="none" w:sz="0" w:space="0" w:color="auto"/>
                <w:left w:val="none" w:sz="0" w:space="0" w:color="auto"/>
                <w:bottom w:val="none" w:sz="0" w:space="0" w:color="auto"/>
                <w:right w:val="none" w:sz="0" w:space="0" w:color="auto"/>
              </w:divBdr>
              <w:divsChild>
                <w:div w:id="16101605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82444668">
      <w:bodyDiv w:val="1"/>
      <w:marLeft w:val="0"/>
      <w:marRight w:val="0"/>
      <w:marTop w:val="0"/>
      <w:marBottom w:val="0"/>
      <w:divBdr>
        <w:top w:val="none" w:sz="0" w:space="0" w:color="auto"/>
        <w:left w:val="none" w:sz="0" w:space="0" w:color="auto"/>
        <w:bottom w:val="none" w:sz="0" w:space="0" w:color="auto"/>
        <w:right w:val="none" w:sz="0" w:space="0" w:color="auto"/>
      </w:divBdr>
      <w:divsChild>
        <w:div w:id="1112483308">
          <w:marLeft w:val="0"/>
          <w:marRight w:val="0"/>
          <w:marTop w:val="0"/>
          <w:marBottom w:val="0"/>
          <w:divBdr>
            <w:top w:val="none" w:sz="0" w:space="0" w:color="auto"/>
            <w:left w:val="none" w:sz="0" w:space="0" w:color="auto"/>
            <w:bottom w:val="none" w:sz="0" w:space="0" w:color="auto"/>
            <w:right w:val="none" w:sz="0" w:space="0" w:color="auto"/>
          </w:divBdr>
          <w:divsChild>
            <w:div w:id="13393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527">
      <w:bodyDiv w:val="1"/>
      <w:marLeft w:val="0"/>
      <w:marRight w:val="0"/>
      <w:marTop w:val="0"/>
      <w:marBottom w:val="0"/>
      <w:divBdr>
        <w:top w:val="none" w:sz="0" w:space="0" w:color="auto"/>
        <w:left w:val="none" w:sz="0" w:space="0" w:color="auto"/>
        <w:bottom w:val="none" w:sz="0" w:space="0" w:color="auto"/>
        <w:right w:val="none" w:sz="0" w:space="0" w:color="auto"/>
      </w:divBdr>
      <w:divsChild>
        <w:div w:id="66732703">
          <w:marLeft w:val="0"/>
          <w:marRight w:val="0"/>
          <w:marTop w:val="0"/>
          <w:marBottom w:val="0"/>
          <w:divBdr>
            <w:top w:val="none" w:sz="0" w:space="0" w:color="auto"/>
            <w:left w:val="none" w:sz="0" w:space="0" w:color="auto"/>
            <w:bottom w:val="none" w:sz="0" w:space="0" w:color="auto"/>
            <w:right w:val="none" w:sz="0" w:space="0" w:color="auto"/>
          </w:divBdr>
          <w:divsChild>
            <w:div w:id="364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D160-B08C-42E7-9DE2-2A4A379A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1675</Words>
  <Characters>9553</Characters>
  <Application>Microsoft Office Word</Application>
  <DocSecurity>0</DocSecurity>
  <Lines>79</Lines>
  <Paragraphs>22</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UAB</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j_fons</dc:creator>
  <cp:lastModifiedBy>Jaume Fons Esteve</cp:lastModifiedBy>
  <cp:revision>5</cp:revision>
  <cp:lastPrinted>2016-04-18T10:06:00Z</cp:lastPrinted>
  <dcterms:created xsi:type="dcterms:W3CDTF">2016-10-17T16:28:00Z</dcterms:created>
  <dcterms:modified xsi:type="dcterms:W3CDTF">2017-06-01T14:57:00Z</dcterms:modified>
</cp:coreProperties>
</file>