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646" w:rsidRDefault="00003646" w:rsidP="00865B4B">
      <w:pPr>
        <w:rPr>
          <w:lang w:val="en-US"/>
        </w:rPr>
      </w:pPr>
    </w:p>
    <w:tbl>
      <w:tblPr>
        <w:tblW w:w="90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252"/>
        <w:gridCol w:w="1472"/>
        <w:gridCol w:w="7266"/>
      </w:tblGrid>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rPr>
                <w:b/>
              </w:rPr>
            </w:pPr>
            <w:r w:rsidRPr="00F9211E">
              <w:rPr>
                <w:b/>
              </w:rPr>
              <w:t>Indicator name</w:t>
            </w:r>
          </w:p>
        </w:tc>
        <w:tc>
          <w:tcPr>
            <w:tcW w:w="6913" w:type="dxa"/>
            <w:tcMar>
              <w:top w:w="57" w:type="dxa"/>
              <w:left w:w="57" w:type="dxa"/>
              <w:bottom w:w="57" w:type="dxa"/>
              <w:right w:w="57" w:type="dxa"/>
            </w:tcMar>
          </w:tcPr>
          <w:p w:rsidR="00003646" w:rsidRPr="00F9211E" w:rsidRDefault="00003646" w:rsidP="00203234">
            <w:pPr>
              <w:ind w:left="142"/>
            </w:pPr>
            <w:r w:rsidRPr="00F9211E">
              <w:t>Occupancy rate</w:t>
            </w: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rPr>
                <w:b/>
              </w:rPr>
            </w:pPr>
            <w:r w:rsidRPr="00F9211E">
              <w:rPr>
                <w:b/>
              </w:rPr>
              <w:t>ASSESSMENT</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Indicator Name</w:t>
            </w:r>
          </w:p>
        </w:tc>
        <w:tc>
          <w:tcPr>
            <w:tcW w:w="6913" w:type="dxa"/>
            <w:tcMar>
              <w:top w:w="57" w:type="dxa"/>
              <w:left w:w="57" w:type="dxa"/>
              <w:bottom w:w="57" w:type="dxa"/>
              <w:right w:w="57" w:type="dxa"/>
            </w:tcMar>
          </w:tcPr>
          <w:p w:rsidR="00003646" w:rsidRPr="00F9211E" w:rsidRDefault="00072D47" w:rsidP="00FC063D">
            <w:pPr>
              <w:ind w:left="142"/>
              <w:rPr>
                <w:lang w:val="en-US"/>
              </w:rPr>
            </w:pPr>
            <w:r w:rsidRPr="00072D47">
              <w:t>TOUR004k</w:t>
            </w:r>
            <w:r>
              <w:t xml:space="preserve"> - </w:t>
            </w:r>
            <w:r w:rsidR="00003646" w:rsidRPr="00F9211E">
              <w:t>Occupancy rate</w:t>
            </w:r>
            <w:r w:rsidR="00FC063D" w:rsidRPr="00F9211E">
              <w:t xml:space="preserve"> (Bedroom occupancy rate in hotels and similar establishments)</w:t>
            </w: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Key policy question</w:t>
            </w:r>
          </w:p>
        </w:tc>
        <w:tc>
          <w:tcPr>
            <w:tcW w:w="6913" w:type="dxa"/>
            <w:tcMar>
              <w:top w:w="57" w:type="dxa"/>
              <w:left w:w="57" w:type="dxa"/>
              <w:bottom w:w="57" w:type="dxa"/>
              <w:right w:w="57" w:type="dxa"/>
            </w:tcMar>
          </w:tcPr>
          <w:p w:rsidR="00003646" w:rsidRPr="00F9211E" w:rsidRDefault="00003646" w:rsidP="00203234">
            <w:pPr>
              <w:spacing w:line="276" w:lineRule="auto"/>
              <w:ind w:left="142"/>
              <w:rPr>
                <w:lang w:val="en-US"/>
              </w:rPr>
            </w:pPr>
            <w:r w:rsidRPr="00F9211E">
              <w:rPr>
                <w:lang w:val="en-US"/>
              </w:rPr>
              <w:t xml:space="preserve">What are the most tourism intensive regions in </w:t>
            </w:r>
            <w:smartTag w:uri="urn:schemas-microsoft-com:office:smarttags" w:element="place">
              <w:r w:rsidRPr="00F9211E">
                <w:rPr>
                  <w:lang w:val="en-US"/>
                </w:rPr>
                <w:t>Europe</w:t>
              </w:r>
            </w:smartTag>
            <w:r w:rsidRPr="00F9211E">
              <w:rPr>
                <w:lang w:val="en-US"/>
              </w:rPr>
              <w:t>?</w:t>
            </w: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Key message</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 xml:space="preserve">Key assessment </w:t>
            </w:r>
          </w:p>
        </w:tc>
        <w:tc>
          <w:tcPr>
            <w:tcW w:w="6913" w:type="dxa"/>
            <w:tcMar>
              <w:top w:w="57" w:type="dxa"/>
              <w:left w:w="57" w:type="dxa"/>
              <w:bottom w:w="57" w:type="dxa"/>
              <w:right w:w="57" w:type="dxa"/>
            </w:tcMar>
          </w:tcPr>
          <w:p w:rsidR="00DD75D2" w:rsidRPr="00F9211E" w:rsidRDefault="00013862" w:rsidP="00DD75D2">
            <w:pPr>
              <w:spacing w:before="120"/>
              <w:ind w:left="213"/>
            </w:pPr>
            <w:r w:rsidRPr="00F9211E">
              <w:t>The</w:t>
            </w:r>
            <w:r w:rsidR="009B623B" w:rsidRPr="00F9211E">
              <w:t xml:space="preserve"> regional analysis of bedroom occupancy rates in hotels</w:t>
            </w:r>
            <w:r w:rsidR="00FC063D" w:rsidRPr="00F9211E">
              <w:t xml:space="preserve"> and similar establishments</w:t>
            </w:r>
            <w:r w:rsidR="009B623B" w:rsidRPr="00F9211E">
              <w:t xml:space="preserve"> in 201</w:t>
            </w:r>
            <w:r w:rsidR="00ED068C" w:rsidRPr="00F9211E">
              <w:t>4</w:t>
            </w:r>
            <w:r w:rsidRPr="00F9211E">
              <w:t xml:space="preserve"> </w:t>
            </w:r>
            <w:r w:rsidR="00FC063D" w:rsidRPr="00F9211E">
              <w:t>-</w:t>
            </w:r>
            <w:r w:rsidRPr="00F9211E">
              <w:t>offered by the attached map</w:t>
            </w:r>
            <w:r w:rsidR="00FC063D" w:rsidRPr="00F9211E">
              <w:t>-</w:t>
            </w:r>
            <w:r w:rsidRPr="00F9211E">
              <w:t xml:space="preserve"> shows how these</w:t>
            </w:r>
            <w:r w:rsidR="00ED068C" w:rsidRPr="00F9211E">
              <w:t xml:space="preserve"> </w:t>
            </w:r>
            <w:r w:rsidRPr="00F9211E">
              <w:t>b</w:t>
            </w:r>
            <w:r w:rsidR="009B623B" w:rsidRPr="00F9211E">
              <w:t xml:space="preserve">edroom occupancy rates were particularly high in the west of the EU, </w:t>
            </w:r>
            <w:r w:rsidR="0065185E" w:rsidRPr="00F9211E">
              <w:t xml:space="preserve">although </w:t>
            </w:r>
            <w:r w:rsidR="009B623B" w:rsidRPr="00F9211E">
              <w:t xml:space="preserve">with </w:t>
            </w:r>
            <w:r w:rsidR="0065185E" w:rsidRPr="00F9211E">
              <w:t>several regional disparities</w:t>
            </w:r>
            <w:r w:rsidR="006562BA" w:rsidRPr="00F9211E">
              <w:t>, and most of the regions showing a rate of below 50 %</w:t>
            </w:r>
            <w:r w:rsidR="0065185E" w:rsidRPr="00F9211E">
              <w:t xml:space="preserve">. </w:t>
            </w:r>
            <w:r w:rsidR="009B623B" w:rsidRPr="00F9211E">
              <w:t>Further south, there were several traditional tourist destinations which recorded relatively high rates, principally the i</w:t>
            </w:r>
            <w:r w:rsidRPr="00F9211E">
              <w:t>sland regions of Spain, France</w:t>
            </w:r>
            <w:r w:rsidR="009B623B" w:rsidRPr="00F9211E">
              <w:t>, Malta, Greece and Cyprus.</w:t>
            </w:r>
            <w:r w:rsidR="006562BA" w:rsidRPr="00F9211E">
              <w:t xml:space="preserve"> Note that some hotels in these holiday destinations may close during the off-season, while others seek to keep their occupancy rates high through special offers which may, for example, encourage pensioners (typically from northern and western EU Member States) to spend longer periods on vacation during the winter months.</w:t>
            </w:r>
            <w:r w:rsidR="00DD75D2" w:rsidRPr="00F9211E">
              <w:t xml:space="preserve"> </w:t>
            </w:r>
            <w:r w:rsidR="006562BA" w:rsidRPr="00F9211E">
              <w:t xml:space="preserve">In general terms, though, urban and metropolitan areas (i.e. regions of London, </w:t>
            </w:r>
            <w:r w:rsidR="00DD75D2" w:rsidRPr="00F9211E">
              <w:t xml:space="preserve">Paris, Berlin, Hamburg, Prague, Amsterdam, etc.) </w:t>
            </w:r>
            <w:r w:rsidR="006562BA" w:rsidRPr="00F9211E">
              <w:t>tend to record higher occupancy rates than rural regions</w:t>
            </w:r>
            <w:r w:rsidR="00DD75D2" w:rsidRPr="00F9211E">
              <w:t>.</w:t>
            </w:r>
          </w:p>
          <w:p w:rsidR="003B08ED" w:rsidRPr="00F9211E" w:rsidRDefault="009B623B" w:rsidP="00DD75D2">
            <w:pPr>
              <w:spacing w:before="120"/>
              <w:ind w:left="213"/>
            </w:pPr>
            <w:r w:rsidRPr="00F9211E">
              <w:t xml:space="preserve">The regions with occupancy rates of less than 30 % were </w:t>
            </w:r>
            <w:r w:rsidR="00B749DF" w:rsidRPr="00F9211E">
              <w:t>mainly</w:t>
            </w:r>
            <w:r w:rsidRPr="00F9211E">
              <w:t xml:space="preserve"> located across eastern and southern regions of the EU (</w:t>
            </w:r>
            <w:r w:rsidR="00B749DF" w:rsidRPr="00F9211E">
              <w:t xml:space="preserve">southern Poland, eastern Austria, </w:t>
            </w:r>
            <w:r w:rsidRPr="00F9211E">
              <w:t xml:space="preserve">regions from Bulgaria, </w:t>
            </w:r>
            <w:r w:rsidR="00B749DF" w:rsidRPr="00F9211E">
              <w:t>t</w:t>
            </w:r>
            <w:r w:rsidRPr="00F9211E">
              <w:t>he Czech Republic</w:t>
            </w:r>
            <w:r w:rsidR="00B749DF" w:rsidRPr="00F9211E">
              <w:t>, Slovakia, Hungary, Romania,</w:t>
            </w:r>
            <w:r w:rsidRPr="00F9211E">
              <w:t xml:space="preserve"> Greece</w:t>
            </w:r>
            <w:r w:rsidR="00B749DF" w:rsidRPr="00F9211E">
              <w:t>,</w:t>
            </w:r>
            <w:r w:rsidRPr="00F9211E">
              <w:t xml:space="preserve"> and two each from </w:t>
            </w:r>
            <w:r w:rsidR="00B749DF" w:rsidRPr="00F9211E">
              <w:t>Spain</w:t>
            </w:r>
            <w:r w:rsidRPr="00F9211E">
              <w:t xml:space="preserve"> and Portugal</w:t>
            </w:r>
            <w:r w:rsidR="00B749DF" w:rsidRPr="00F9211E">
              <w:t xml:space="preserve">, as well as Sicily in Italy), although there were also some of them located in the north-western Europe (some Norwegian, British and Belgian regions). </w:t>
            </w:r>
          </w:p>
          <w:p w:rsidR="00003646" w:rsidRPr="00F9211E" w:rsidRDefault="00FB5C19" w:rsidP="00203234">
            <w:pPr>
              <w:spacing w:before="120"/>
            </w:pPr>
            <w:r w:rsidRPr="00F9211E">
              <w:rPr>
                <w:noProof/>
                <w:lang w:val="ca-ES" w:eastAsia="ca-ES"/>
              </w:rPr>
              <w:lastRenderedPageBreak/>
              <w:drawing>
                <wp:inline distT="0" distB="0" distL="0" distR="0" wp14:anchorId="0E163BE2" wp14:editId="060409F2">
                  <wp:extent cx="4541823" cy="3214706"/>
                  <wp:effectExtent l="0" t="0" r="0" b="5080"/>
                  <wp:docPr id="2" name="Imagen 2" descr="D:\EEA Turisme\Activitats 2016 - TOUERM report\Indicator fact-sheets\Maps and graphs last version 17-10-2016\occupancy_rate\Occupancy_rate_tour_occ_an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A Turisme\Activitats 2016 - TOUERM report\Indicator fact-sheets\Maps and graphs last version 17-10-2016\occupancy_rate\Occupancy_rate_tour_occ_anor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2111" cy="3214910"/>
                          </a:xfrm>
                          <a:prstGeom prst="rect">
                            <a:avLst/>
                          </a:prstGeom>
                          <a:noFill/>
                          <a:ln>
                            <a:noFill/>
                          </a:ln>
                        </pic:spPr>
                      </pic:pic>
                    </a:graphicData>
                  </a:graphic>
                </wp:inline>
              </w:drawing>
            </w: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jc w:val="left"/>
            </w:pPr>
            <w:r w:rsidRPr="00F9211E">
              <w:lastRenderedPageBreak/>
              <w:t>Specific policy question</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 xml:space="preserve">Specific assessment </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Examples</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rPr>
                <w:b/>
              </w:rPr>
            </w:pPr>
            <w:r w:rsidRPr="00F9211E">
              <w:rPr>
                <w:b/>
              </w:rPr>
              <w:t>SPECIFICATIONS</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rPr>
                <w:b/>
              </w:rPr>
            </w:pPr>
            <w:r w:rsidRPr="00F9211E">
              <w:t>Indicator definition</w:t>
            </w:r>
          </w:p>
        </w:tc>
        <w:tc>
          <w:tcPr>
            <w:tcW w:w="6913" w:type="dxa"/>
            <w:tcMar>
              <w:top w:w="57" w:type="dxa"/>
              <w:left w:w="57" w:type="dxa"/>
              <w:bottom w:w="57" w:type="dxa"/>
              <w:right w:w="57" w:type="dxa"/>
            </w:tcMar>
          </w:tcPr>
          <w:p w:rsidR="00003646" w:rsidRPr="00F9211E" w:rsidRDefault="00003646" w:rsidP="00203234">
            <w:pPr>
              <w:ind w:left="142"/>
              <w:rPr>
                <w:lang w:val="en-US"/>
              </w:rPr>
            </w:pP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DPSIR</w:t>
            </w:r>
          </w:p>
        </w:tc>
        <w:tc>
          <w:tcPr>
            <w:tcW w:w="6913" w:type="dxa"/>
            <w:tcMar>
              <w:top w:w="57" w:type="dxa"/>
              <w:left w:w="57" w:type="dxa"/>
              <w:bottom w:w="57" w:type="dxa"/>
              <w:right w:w="57" w:type="dxa"/>
            </w:tcMar>
          </w:tcPr>
          <w:p w:rsidR="00003646" w:rsidRPr="00F9211E" w:rsidRDefault="00003646" w:rsidP="00203234">
            <w:pPr>
              <w:ind w:left="142"/>
            </w:pPr>
            <w:r w:rsidRPr="00F9211E">
              <w:t>P</w:t>
            </w:r>
          </w:p>
        </w:tc>
      </w:tr>
      <w:tr w:rsidR="00003646" w:rsidRPr="00F9211E" w:rsidTr="00203234">
        <w:tc>
          <w:tcPr>
            <w:tcW w:w="2126" w:type="dxa"/>
            <w:gridSpan w:val="3"/>
            <w:tcBorders>
              <w:bottom w:val="single" w:sz="4" w:space="0" w:color="C4BC96"/>
            </w:tcBorders>
            <w:tcMar>
              <w:top w:w="57" w:type="dxa"/>
              <w:left w:w="57" w:type="dxa"/>
              <w:bottom w:w="57" w:type="dxa"/>
              <w:right w:w="57" w:type="dxa"/>
            </w:tcMar>
          </w:tcPr>
          <w:p w:rsidR="00003646" w:rsidRPr="00F9211E" w:rsidRDefault="00003646" w:rsidP="00203234">
            <w:pPr>
              <w:ind w:left="142"/>
            </w:pPr>
            <w:r w:rsidRPr="00F9211E">
              <w:t>Justification</w:t>
            </w:r>
          </w:p>
        </w:tc>
        <w:tc>
          <w:tcPr>
            <w:tcW w:w="6913" w:type="dxa"/>
            <w:tcBorders>
              <w:bottom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c>
          <w:tcPr>
            <w:tcW w:w="959" w:type="dxa"/>
            <w:gridSpan w:val="2"/>
            <w:tcBorders>
              <w:top w:val="single" w:sz="4" w:space="0" w:color="C4BC96"/>
              <w:bottom w:val="nil"/>
              <w:right w:val="nil"/>
            </w:tcBorders>
            <w:tcMar>
              <w:top w:w="57" w:type="dxa"/>
              <w:left w:w="57" w:type="dxa"/>
              <w:bottom w:w="57" w:type="dxa"/>
              <w:right w:w="57" w:type="dxa"/>
            </w:tcMar>
          </w:tcPr>
          <w:p w:rsidR="00003646" w:rsidRPr="00F9211E" w:rsidRDefault="00003646" w:rsidP="00203234">
            <w:pPr>
              <w:ind w:left="142"/>
            </w:pPr>
          </w:p>
        </w:tc>
        <w:tc>
          <w:tcPr>
            <w:tcW w:w="1167" w:type="dxa"/>
            <w:tcBorders>
              <w:top w:val="single" w:sz="4" w:space="0" w:color="C4BC96"/>
              <w:left w:val="nil"/>
            </w:tcBorders>
            <w:tcMar>
              <w:top w:w="57" w:type="dxa"/>
              <w:left w:w="57" w:type="dxa"/>
              <w:bottom w:w="57" w:type="dxa"/>
              <w:right w:w="57" w:type="dxa"/>
            </w:tcMar>
          </w:tcPr>
          <w:p w:rsidR="00003646" w:rsidRPr="00F9211E" w:rsidRDefault="00003646" w:rsidP="00203234">
            <w:pPr>
              <w:ind w:left="142"/>
            </w:pPr>
            <w:r w:rsidRPr="00F9211E">
              <w:t>Rationale</w:t>
            </w:r>
          </w:p>
        </w:tc>
        <w:tc>
          <w:tcPr>
            <w:tcW w:w="6913" w:type="dxa"/>
            <w:tcBorders>
              <w:top w:val="single" w:sz="4" w:space="0" w:color="C4BC96"/>
            </w:tcBorders>
            <w:tcMar>
              <w:top w:w="57" w:type="dxa"/>
              <w:left w:w="57" w:type="dxa"/>
              <w:bottom w:w="57" w:type="dxa"/>
              <w:right w:w="57" w:type="dxa"/>
            </w:tcMar>
          </w:tcPr>
          <w:p w:rsidR="00003646" w:rsidRPr="00F9211E" w:rsidRDefault="00ED068C" w:rsidP="00203234">
            <w:pPr>
              <w:ind w:left="142"/>
              <w:rPr>
                <w:lang w:val="en-US"/>
              </w:rPr>
            </w:pPr>
            <w:r w:rsidRPr="00F9211E">
              <w:rPr>
                <w:lang w:val="en-US"/>
              </w:rPr>
              <w:t>While a count of the total number of bed places may be of interest in relation to the capacity of different regions to respond to tourism demand, those working within the tourism industry are more likely to be interested in net occupancy rates for bedrooms (room rates are often considered the preferred measure insofar as the turnover of a double room is often similar irrespective of whether the room is occupied by one or two persons).</w:t>
            </w:r>
          </w:p>
        </w:tc>
      </w:tr>
      <w:tr w:rsidR="00003646" w:rsidRPr="00F9211E" w:rsidTr="00203234">
        <w:tc>
          <w:tcPr>
            <w:tcW w:w="959" w:type="dxa"/>
            <w:gridSpan w:val="2"/>
            <w:tcBorders>
              <w:top w:val="nil"/>
              <w:right w:val="nil"/>
            </w:tcBorders>
            <w:tcMar>
              <w:top w:w="57" w:type="dxa"/>
              <w:left w:w="57" w:type="dxa"/>
              <w:bottom w:w="57" w:type="dxa"/>
              <w:right w:w="57" w:type="dxa"/>
            </w:tcMar>
          </w:tcPr>
          <w:p w:rsidR="00003646" w:rsidRPr="00F9211E" w:rsidRDefault="00003646" w:rsidP="00203234">
            <w:pPr>
              <w:ind w:left="142"/>
              <w:rPr>
                <w:lang w:val="en-US"/>
              </w:rPr>
            </w:pPr>
          </w:p>
        </w:tc>
        <w:tc>
          <w:tcPr>
            <w:tcW w:w="1167" w:type="dxa"/>
            <w:tcBorders>
              <w:left w:val="nil"/>
            </w:tcBorders>
            <w:tcMar>
              <w:top w:w="57" w:type="dxa"/>
              <w:left w:w="57" w:type="dxa"/>
              <w:bottom w:w="57" w:type="dxa"/>
              <w:right w:w="57" w:type="dxa"/>
            </w:tcMar>
          </w:tcPr>
          <w:p w:rsidR="00003646" w:rsidRPr="00F9211E" w:rsidRDefault="00003646" w:rsidP="00203234">
            <w:pPr>
              <w:ind w:left="142"/>
            </w:pPr>
            <w:r w:rsidRPr="00F9211E">
              <w:t>References</w:t>
            </w:r>
          </w:p>
        </w:tc>
        <w:tc>
          <w:tcPr>
            <w:tcW w:w="6913" w:type="dxa"/>
            <w:tcMar>
              <w:top w:w="57" w:type="dxa"/>
              <w:left w:w="57" w:type="dxa"/>
              <w:bottom w:w="57" w:type="dxa"/>
              <w:right w:w="57" w:type="dxa"/>
            </w:tcMar>
          </w:tcPr>
          <w:p w:rsidR="00003646" w:rsidRPr="00F9211E" w:rsidRDefault="00ED068C" w:rsidP="00203234">
            <w:pPr>
              <w:ind w:left="142"/>
            </w:pPr>
            <w:r w:rsidRPr="00F9211E">
              <w:t xml:space="preserve">Eurostat (2015). Tourism statistics at regional level. </w:t>
            </w:r>
            <w:hyperlink r:id="rId5" w:history="1">
              <w:r w:rsidRPr="00F9211E">
                <w:rPr>
                  <w:rStyle w:val="Hipervnculo"/>
                </w:rPr>
                <w:t>http://ec.europa.eu/eurostat/statistics-explained/index.php/Tourism_statistics_at_regional_level</w:t>
              </w:r>
            </w:hyperlink>
            <w:r w:rsidRPr="00F9211E">
              <w:t xml:space="preserve"> </w:t>
            </w:r>
          </w:p>
        </w:tc>
      </w:tr>
      <w:tr w:rsidR="00003646" w:rsidRPr="00F9211E" w:rsidTr="00203234">
        <w:tc>
          <w:tcPr>
            <w:tcW w:w="2126" w:type="dxa"/>
            <w:gridSpan w:val="3"/>
            <w:tcBorders>
              <w:bottom w:val="single" w:sz="4" w:space="0" w:color="C4BC96"/>
            </w:tcBorders>
            <w:tcMar>
              <w:top w:w="57" w:type="dxa"/>
              <w:left w:w="57" w:type="dxa"/>
              <w:bottom w:w="57" w:type="dxa"/>
              <w:right w:w="57" w:type="dxa"/>
            </w:tcMar>
          </w:tcPr>
          <w:p w:rsidR="00003646" w:rsidRPr="00F9211E" w:rsidRDefault="00003646" w:rsidP="00203234">
            <w:pPr>
              <w:ind w:left="142"/>
            </w:pPr>
            <w:r w:rsidRPr="00F9211E">
              <w:t>Policy context</w:t>
            </w:r>
          </w:p>
        </w:tc>
        <w:tc>
          <w:tcPr>
            <w:tcW w:w="6913" w:type="dxa"/>
            <w:tcBorders>
              <w:bottom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c>
          <w:tcPr>
            <w:tcW w:w="959" w:type="dxa"/>
            <w:gridSpan w:val="2"/>
            <w:tcBorders>
              <w:top w:val="single" w:sz="4" w:space="0" w:color="C4BC96"/>
              <w:bottom w:val="nil"/>
              <w:right w:val="nil"/>
            </w:tcBorders>
            <w:tcMar>
              <w:top w:w="57" w:type="dxa"/>
              <w:left w:w="57" w:type="dxa"/>
              <w:bottom w:w="57" w:type="dxa"/>
              <w:right w:w="57" w:type="dxa"/>
            </w:tcMar>
          </w:tcPr>
          <w:p w:rsidR="00003646" w:rsidRPr="00F9211E" w:rsidRDefault="00003646" w:rsidP="00203234">
            <w:pPr>
              <w:ind w:left="142"/>
            </w:pPr>
          </w:p>
        </w:tc>
        <w:tc>
          <w:tcPr>
            <w:tcW w:w="1167" w:type="dxa"/>
            <w:tcBorders>
              <w:top w:val="single" w:sz="4" w:space="0" w:color="C4BC96"/>
              <w:left w:val="nil"/>
            </w:tcBorders>
            <w:tcMar>
              <w:top w:w="57" w:type="dxa"/>
              <w:left w:w="57" w:type="dxa"/>
              <w:bottom w:w="57" w:type="dxa"/>
              <w:right w:w="57" w:type="dxa"/>
            </w:tcMar>
          </w:tcPr>
          <w:p w:rsidR="00003646" w:rsidRPr="00F9211E" w:rsidRDefault="00003646" w:rsidP="00203234">
            <w:pPr>
              <w:ind w:left="142"/>
            </w:pPr>
            <w:r w:rsidRPr="00F9211E">
              <w:t>Policy context</w:t>
            </w:r>
          </w:p>
        </w:tc>
        <w:tc>
          <w:tcPr>
            <w:tcW w:w="6913" w:type="dxa"/>
            <w:tcBorders>
              <w:top w:val="single" w:sz="4" w:space="0" w:color="C4BC96"/>
            </w:tcBorders>
            <w:tcMar>
              <w:top w:w="57" w:type="dxa"/>
              <w:left w:w="57" w:type="dxa"/>
              <w:bottom w:w="57" w:type="dxa"/>
              <w:right w:w="57" w:type="dxa"/>
            </w:tcMar>
          </w:tcPr>
          <w:p w:rsidR="00003646" w:rsidRPr="00F9211E" w:rsidRDefault="00013862" w:rsidP="00203234">
            <w:pPr>
              <w:ind w:left="142"/>
              <w:rPr>
                <w:lang w:val="en-US"/>
              </w:rPr>
            </w:pPr>
            <w:r w:rsidRPr="00F9211E">
              <w:rPr>
                <w:lang w:val="en-US"/>
              </w:rPr>
              <w:t>EC and national policies on tourism and sustainable tourism.</w:t>
            </w:r>
          </w:p>
        </w:tc>
      </w:tr>
      <w:tr w:rsidR="00003646" w:rsidRPr="00F9211E" w:rsidTr="00203234">
        <w:tc>
          <w:tcPr>
            <w:tcW w:w="959" w:type="dxa"/>
            <w:gridSpan w:val="2"/>
            <w:tcBorders>
              <w:top w:val="nil"/>
              <w:bottom w:val="nil"/>
              <w:right w:val="nil"/>
            </w:tcBorders>
            <w:tcMar>
              <w:top w:w="57" w:type="dxa"/>
              <w:left w:w="57" w:type="dxa"/>
              <w:bottom w:w="57" w:type="dxa"/>
              <w:right w:w="57" w:type="dxa"/>
            </w:tcMar>
          </w:tcPr>
          <w:p w:rsidR="00003646" w:rsidRPr="00F9211E" w:rsidRDefault="00003646" w:rsidP="00203234">
            <w:pPr>
              <w:ind w:left="142"/>
              <w:rPr>
                <w:lang w:val="en-US"/>
              </w:rPr>
            </w:pPr>
          </w:p>
        </w:tc>
        <w:tc>
          <w:tcPr>
            <w:tcW w:w="1167" w:type="dxa"/>
            <w:tcBorders>
              <w:left w:val="nil"/>
            </w:tcBorders>
            <w:tcMar>
              <w:top w:w="57" w:type="dxa"/>
              <w:left w:w="57" w:type="dxa"/>
              <w:bottom w:w="57" w:type="dxa"/>
              <w:right w:w="57" w:type="dxa"/>
            </w:tcMar>
          </w:tcPr>
          <w:p w:rsidR="00003646" w:rsidRPr="00F9211E" w:rsidRDefault="00003646" w:rsidP="00203234">
            <w:pPr>
              <w:ind w:left="142"/>
            </w:pPr>
            <w:r w:rsidRPr="00F9211E">
              <w:t>Targets</w:t>
            </w:r>
          </w:p>
        </w:tc>
        <w:tc>
          <w:tcPr>
            <w:tcW w:w="6913" w:type="dxa"/>
            <w:tcMar>
              <w:top w:w="57" w:type="dxa"/>
              <w:left w:w="57" w:type="dxa"/>
              <w:bottom w:w="57" w:type="dxa"/>
              <w:right w:w="57" w:type="dxa"/>
            </w:tcMar>
          </w:tcPr>
          <w:p w:rsidR="00003646" w:rsidRPr="00F9211E" w:rsidRDefault="00013862" w:rsidP="00203234">
            <w:pPr>
              <w:ind w:left="142"/>
              <w:rPr>
                <w:lang w:val="en-US"/>
              </w:rPr>
            </w:pPr>
            <w:r w:rsidRPr="00F9211E">
              <w:rPr>
                <w:lang w:val="en-US"/>
              </w:rPr>
              <w:t>In terms of economic sustainability, the main target for the tourism industry would be to increase net occupancy rates at all levels (local, regional, and national), although this should be well balanced with environmental and social sustainability of tourism activity.</w:t>
            </w:r>
          </w:p>
        </w:tc>
      </w:tr>
      <w:tr w:rsidR="00003646" w:rsidRPr="00F9211E" w:rsidTr="00203234">
        <w:tc>
          <w:tcPr>
            <w:tcW w:w="959" w:type="dxa"/>
            <w:gridSpan w:val="2"/>
            <w:tcBorders>
              <w:top w:val="nil"/>
              <w:right w:val="nil"/>
            </w:tcBorders>
            <w:tcMar>
              <w:top w:w="57" w:type="dxa"/>
              <w:left w:w="57" w:type="dxa"/>
              <w:bottom w:w="57" w:type="dxa"/>
              <w:right w:w="57" w:type="dxa"/>
            </w:tcMar>
          </w:tcPr>
          <w:p w:rsidR="00003646" w:rsidRPr="00F9211E" w:rsidRDefault="00003646" w:rsidP="00203234">
            <w:pPr>
              <w:ind w:left="142"/>
              <w:rPr>
                <w:lang w:val="en-US"/>
              </w:rPr>
            </w:pPr>
          </w:p>
        </w:tc>
        <w:tc>
          <w:tcPr>
            <w:tcW w:w="1167" w:type="dxa"/>
            <w:tcBorders>
              <w:left w:val="nil"/>
            </w:tcBorders>
            <w:tcMar>
              <w:top w:w="57" w:type="dxa"/>
              <w:left w:w="57" w:type="dxa"/>
              <w:bottom w:w="57" w:type="dxa"/>
              <w:right w:w="57" w:type="dxa"/>
            </w:tcMar>
          </w:tcPr>
          <w:p w:rsidR="00003646" w:rsidRPr="00F9211E" w:rsidRDefault="00003646" w:rsidP="00203234">
            <w:pPr>
              <w:ind w:left="142"/>
            </w:pPr>
            <w:r w:rsidRPr="00F9211E">
              <w:t>Related policy documents</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2126" w:type="dxa"/>
            <w:gridSpan w:val="3"/>
            <w:tcBorders>
              <w:bottom w:val="single" w:sz="4" w:space="0" w:color="C4BC96"/>
            </w:tcBorders>
            <w:tcMar>
              <w:top w:w="57" w:type="dxa"/>
              <w:left w:w="57" w:type="dxa"/>
              <w:bottom w:w="57" w:type="dxa"/>
              <w:right w:w="57" w:type="dxa"/>
            </w:tcMar>
          </w:tcPr>
          <w:p w:rsidR="00003646" w:rsidRPr="00F9211E" w:rsidRDefault="00003646" w:rsidP="00203234">
            <w:pPr>
              <w:ind w:left="142"/>
            </w:pPr>
            <w:r w:rsidRPr="00F9211E">
              <w:t xml:space="preserve"> Methodology</w:t>
            </w:r>
          </w:p>
        </w:tc>
        <w:tc>
          <w:tcPr>
            <w:tcW w:w="6913" w:type="dxa"/>
            <w:tcBorders>
              <w:bottom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c>
          <w:tcPr>
            <w:tcW w:w="600" w:type="dxa"/>
            <w:tcBorders>
              <w:top w:val="single" w:sz="4" w:space="0" w:color="C4BC96"/>
              <w:bottom w:val="nil"/>
              <w:right w:val="nil"/>
            </w:tcBorders>
            <w:tcMar>
              <w:top w:w="57" w:type="dxa"/>
              <w:left w:w="57" w:type="dxa"/>
              <w:bottom w:w="57" w:type="dxa"/>
              <w:right w:w="57" w:type="dxa"/>
            </w:tcMar>
          </w:tcPr>
          <w:p w:rsidR="00003646" w:rsidRPr="00F9211E" w:rsidRDefault="00003646" w:rsidP="00203234">
            <w:pPr>
              <w:ind w:left="142"/>
            </w:pPr>
          </w:p>
        </w:tc>
        <w:tc>
          <w:tcPr>
            <w:tcW w:w="1526" w:type="dxa"/>
            <w:gridSpan w:val="2"/>
            <w:tcBorders>
              <w:top w:val="single" w:sz="4" w:space="0" w:color="C4BC96"/>
              <w:left w:val="nil"/>
            </w:tcBorders>
            <w:tcMar>
              <w:top w:w="57" w:type="dxa"/>
              <w:left w:w="57" w:type="dxa"/>
              <w:bottom w:w="57" w:type="dxa"/>
              <w:right w:w="57" w:type="dxa"/>
            </w:tcMar>
          </w:tcPr>
          <w:p w:rsidR="00003646" w:rsidRPr="00F9211E" w:rsidRDefault="00003646" w:rsidP="00203234">
            <w:pPr>
              <w:ind w:left="142"/>
              <w:jc w:val="left"/>
            </w:pPr>
            <w:r w:rsidRPr="00F9211E">
              <w:t>Methodology for indicator calculation</w:t>
            </w:r>
          </w:p>
        </w:tc>
        <w:tc>
          <w:tcPr>
            <w:tcW w:w="6913" w:type="dxa"/>
            <w:tcBorders>
              <w:top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rPr>
          <w:cantSplit/>
        </w:trPr>
        <w:tc>
          <w:tcPr>
            <w:tcW w:w="600" w:type="dxa"/>
            <w:tcBorders>
              <w:top w:val="nil"/>
              <w:bottom w:val="nil"/>
              <w:right w:val="nil"/>
            </w:tcBorders>
            <w:tcMar>
              <w:top w:w="57" w:type="dxa"/>
              <w:left w:w="57" w:type="dxa"/>
              <w:bottom w:w="57" w:type="dxa"/>
              <w:right w:w="57" w:type="dxa"/>
            </w:tcMar>
          </w:tcPr>
          <w:p w:rsidR="00003646" w:rsidRPr="00F9211E" w:rsidRDefault="00003646" w:rsidP="00203234">
            <w:pPr>
              <w:ind w:left="142"/>
            </w:pPr>
          </w:p>
        </w:tc>
        <w:tc>
          <w:tcPr>
            <w:tcW w:w="1526" w:type="dxa"/>
            <w:gridSpan w:val="2"/>
            <w:tcBorders>
              <w:left w:val="nil"/>
            </w:tcBorders>
            <w:tcMar>
              <w:top w:w="57" w:type="dxa"/>
              <w:left w:w="57" w:type="dxa"/>
              <w:bottom w:w="57" w:type="dxa"/>
              <w:right w:w="57" w:type="dxa"/>
            </w:tcMar>
          </w:tcPr>
          <w:p w:rsidR="00003646" w:rsidRPr="00F9211E" w:rsidRDefault="00003646" w:rsidP="00203234">
            <w:pPr>
              <w:ind w:left="142"/>
            </w:pPr>
            <w:r w:rsidRPr="00F9211E">
              <w:t>Methodology for gap filling</w:t>
            </w:r>
          </w:p>
        </w:tc>
        <w:tc>
          <w:tcPr>
            <w:tcW w:w="6913" w:type="dxa"/>
            <w:tcMar>
              <w:top w:w="57" w:type="dxa"/>
              <w:left w:w="57" w:type="dxa"/>
              <w:bottom w:w="57" w:type="dxa"/>
              <w:right w:w="57" w:type="dxa"/>
            </w:tcMar>
          </w:tcPr>
          <w:p w:rsidR="00003646" w:rsidRPr="00F9211E" w:rsidRDefault="00003646" w:rsidP="00203234">
            <w:pPr>
              <w:ind w:left="142"/>
            </w:pPr>
          </w:p>
        </w:tc>
      </w:tr>
      <w:tr w:rsidR="00003646" w:rsidRPr="00F9211E" w:rsidTr="00203234">
        <w:tc>
          <w:tcPr>
            <w:tcW w:w="600" w:type="dxa"/>
            <w:tcBorders>
              <w:top w:val="nil"/>
              <w:right w:val="nil"/>
            </w:tcBorders>
            <w:tcMar>
              <w:top w:w="57" w:type="dxa"/>
              <w:left w:w="57" w:type="dxa"/>
              <w:bottom w:w="57" w:type="dxa"/>
              <w:right w:w="57" w:type="dxa"/>
            </w:tcMar>
          </w:tcPr>
          <w:p w:rsidR="00003646" w:rsidRPr="00F9211E" w:rsidRDefault="00003646" w:rsidP="00203234">
            <w:pPr>
              <w:ind w:left="142"/>
            </w:pPr>
          </w:p>
        </w:tc>
        <w:tc>
          <w:tcPr>
            <w:tcW w:w="1526" w:type="dxa"/>
            <w:gridSpan w:val="2"/>
            <w:tcBorders>
              <w:left w:val="nil"/>
            </w:tcBorders>
            <w:tcMar>
              <w:top w:w="57" w:type="dxa"/>
              <w:left w:w="57" w:type="dxa"/>
              <w:bottom w:w="57" w:type="dxa"/>
              <w:right w:w="57" w:type="dxa"/>
            </w:tcMar>
          </w:tcPr>
          <w:p w:rsidR="00003646" w:rsidRPr="00F9211E" w:rsidRDefault="00003646" w:rsidP="00203234">
            <w:pPr>
              <w:ind w:left="142"/>
            </w:pPr>
            <w:r w:rsidRPr="00F9211E">
              <w:t>References</w:t>
            </w:r>
          </w:p>
        </w:tc>
        <w:tc>
          <w:tcPr>
            <w:tcW w:w="6913" w:type="dxa"/>
            <w:tcMar>
              <w:top w:w="57" w:type="dxa"/>
              <w:left w:w="57" w:type="dxa"/>
              <w:bottom w:w="57" w:type="dxa"/>
              <w:right w:w="57" w:type="dxa"/>
            </w:tcMar>
          </w:tcPr>
          <w:p w:rsidR="00003646" w:rsidRPr="00F9211E" w:rsidRDefault="00ED068C" w:rsidP="00203234">
            <w:pPr>
              <w:ind w:left="142"/>
            </w:pPr>
            <w:r w:rsidRPr="00F9211E">
              <w:t xml:space="preserve">Eurostat (2015). Tourism statistics at regional level. </w:t>
            </w:r>
            <w:hyperlink r:id="rId6" w:history="1">
              <w:r w:rsidRPr="00F9211E">
                <w:rPr>
                  <w:rStyle w:val="Hipervnculo"/>
                </w:rPr>
                <w:t>http://ec.europa.eu/eurostat/statistics-explained/index.php/Tourism_statistics_at_regional_level</w:t>
              </w:r>
            </w:hyperlink>
            <w:r w:rsidRPr="00F9211E">
              <w:t xml:space="preserve"> </w:t>
            </w:r>
          </w:p>
        </w:tc>
        <w:bookmarkStart w:id="0" w:name="_GoBack"/>
        <w:bookmarkEnd w:id="0"/>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Data specifications</w:t>
            </w:r>
          </w:p>
        </w:tc>
        <w:tc>
          <w:tcPr>
            <w:tcW w:w="6913" w:type="dxa"/>
            <w:tcMar>
              <w:top w:w="57" w:type="dxa"/>
              <w:left w:w="57" w:type="dxa"/>
              <w:bottom w:w="57" w:type="dxa"/>
              <w:right w:w="57" w:type="dxa"/>
            </w:tcMar>
          </w:tcPr>
          <w:p w:rsidR="00003646" w:rsidRPr="00F9211E" w:rsidRDefault="00FB5C19" w:rsidP="00203234">
            <w:pPr>
              <w:ind w:left="142"/>
            </w:pPr>
            <w:r w:rsidRPr="00F9211E">
              <w:t>Data comes from Eurostat (tour_occ_anor2).</w:t>
            </w:r>
          </w:p>
        </w:tc>
      </w:tr>
      <w:tr w:rsidR="00003646" w:rsidRPr="00F9211E" w:rsidTr="00203234">
        <w:tc>
          <w:tcPr>
            <w:tcW w:w="2126" w:type="dxa"/>
            <w:gridSpan w:val="3"/>
            <w:tcBorders>
              <w:bottom w:val="single" w:sz="4" w:space="0" w:color="C4BC96"/>
            </w:tcBorders>
            <w:tcMar>
              <w:top w:w="57" w:type="dxa"/>
              <w:left w:w="57" w:type="dxa"/>
              <w:bottom w:w="57" w:type="dxa"/>
              <w:right w:w="57" w:type="dxa"/>
            </w:tcMar>
          </w:tcPr>
          <w:p w:rsidR="00003646" w:rsidRPr="00F9211E" w:rsidRDefault="00003646" w:rsidP="00203234">
            <w:pPr>
              <w:ind w:left="142"/>
            </w:pPr>
            <w:r w:rsidRPr="00F9211E">
              <w:t xml:space="preserve"> Uncertainties</w:t>
            </w:r>
          </w:p>
        </w:tc>
        <w:tc>
          <w:tcPr>
            <w:tcW w:w="6913" w:type="dxa"/>
            <w:tcBorders>
              <w:bottom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c>
          <w:tcPr>
            <w:tcW w:w="600" w:type="dxa"/>
            <w:tcBorders>
              <w:top w:val="single" w:sz="4" w:space="0" w:color="C4BC96"/>
              <w:bottom w:val="nil"/>
              <w:right w:val="nil"/>
            </w:tcBorders>
            <w:tcMar>
              <w:top w:w="57" w:type="dxa"/>
              <w:left w:w="57" w:type="dxa"/>
              <w:bottom w:w="57" w:type="dxa"/>
              <w:right w:w="57" w:type="dxa"/>
            </w:tcMar>
          </w:tcPr>
          <w:p w:rsidR="00003646" w:rsidRPr="00F9211E" w:rsidRDefault="00003646" w:rsidP="00203234">
            <w:pPr>
              <w:ind w:left="142"/>
            </w:pPr>
          </w:p>
        </w:tc>
        <w:tc>
          <w:tcPr>
            <w:tcW w:w="1526" w:type="dxa"/>
            <w:gridSpan w:val="2"/>
            <w:tcBorders>
              <w:top w:val="single" w:sz="4" w:space="0" w:color="C4BC96"/>
              <w:left w:val="nil"/>
            </w:tcBorders>
            <w:tcMar>
              <w:top w:w="57" w:type="dxa"/>
              <w:left w:w="57" w:type="dxa"/>
              <w:bottom w:w="57" w:type="dxa"/>
              <w:right w:w="57" w:type="dxa"/>
            </w:tcMar>
          </w:tcPr>
          <w:p w:rsidR="00003646" w:rsidRPr="00F9211E" w:rsidRDefault="00003646" w:rsidP="00203234">
            <w:pPr>
              <w:ind w:left="142"/>
            </w:pPr>
            <w:r w:rsidRPr="00F9211E">
              <w:t>Methodology uncertainty</w:t>
            </w:r>
          </w:p>
        </w:tc>
        <w:tc>
          <w:tcPr>
            <w:tcW w:w="6913" w:type="dxa"/>
            <w:tcBorders>
              <w:top w:val="single" w:sz="4" w:space="0" w:color="C4BC96"/>
            </w:tcBorders>
            <w:tcMar>
              <w:top w:w="57" w:type="dxa"/>
              <w:left w:w="57" w:type="dxa"/>
              <w:bottom w:w="57" w:type="dxa"/>
              <w:right w:w="57" w:type="dxa"/>
            </w:tcMar>
          </w:tcPr>
          <w:p w:rsidR="00003646" w:rsidRPr="00F9211E" w:rsidRDefault="00003646" w:rsidP="00203234">
            <w:pPr>
              <w:ind w:left="142"/>
            </w:pPr>
          </w:p>
        </w:tc>
      </w:tr>
      <w:tr w:rsidR="00003646" w:rsidRPr="00F9211E" w:rsidTr="00203234">
        <w:tc>
          <w:tcPr>
            <w:tcW w:w="600" w:type="dxa"/>
            <w:tcBorders>
              <w:top w:val="nil"/>
              <w:bottom w:val="nil"/>
              <w:right w:val="nil"/>
            </w:tcBorders>
            <w:tcMar>
              <w:top w:w="57" w:type="dxa"/>
              <w:left w:w="57" w:type="dxa"/>
              <w:bottom w:w="57" w:type="dxa"/>
              <w:right w:w="57" w:type="dxa"/>
            </w:tcMar>
          </w:tcPr>
          <w:p w:rsidR="00003646" w:rsidRPr="00F9211E" w:rsidRDefault="00003646" w:rsidP="00203234">
            <w:pPr>
              <w:ind w:left="142"/>
            </w:pPr>
          </w:p>
        </w:tc>
        <w:tc>
          <w:tcPr>
            <w:tcW w:w="1526" w:type="dxa"/>
            <w:gridSpan w:val="2"/>
            <w:tcBorders>
              <w:left w:val="nil"/>
            </w:tcBorders>
            <w:tcMar>
              <w:top w:w="57" w:type="dxa"/>
              <w:left w:w="57" w:type="dxa"/>
              <w:bottom w:w="57" w:type="dxa"/>
              <w:right w:w="57" w:type="dxa"/>
            </w:tcMar>
          </w:tcPr>
          <w:p w:rsidR="00003646" w:rsidRPr="00F9211E" w:rsidRDefault="00003646" w:rsidP="00203234">
            <w:pPr>
              <w:ind w:left="142"/>
              <w:jc w:val="left"/>
            </w:pPr>
            <w:r w:rsidRPr="00F9211E">
              <w:t>Data sets uncertainties</w:t>
            </w:r>
          </w:p>
        </w:tc>
        <w:tc>
          <w:tcPr>
            <w:tcW w:w="6913" w:type="dxa"/>
            <w:tcMar>
              <w:top w:w="57" w:type="dxa"/>
              <w:left w:w="57" w:type="dxa"/>
              <w:bottom w:w="57" w:type="dxa"/>
              <w:right w:w="57" w:type="dxa"/>
            </w:tcMar>
          </w:tcPr>
          <w:p w:rsidR="00003646" w:rsidRPr="00F9211E" w:rsidRDefault="00206D7A" w:rsidP="00206D7A">
            <w:pPr>
              <w:pStyle w:val="Textocomentario"/>
              <w:ind w:left="142"/>
              <w:jc w:val="both"/>
              <w:rPr>
                <w:rFonts w:ascii="Times New Roman" w:hAnsi="Times New Roman"/>
                <w:sz w:val="24"/>
                <w:szCs w:val="24"/>
              </w:rPr>
            </w:pPr>
            <w:r w:rsidRPr="00F9211E">
              <w:rPr>
                <w:rFonts w:ascii="Times New Roman" w:hAnsi="Times New Roman"/>
                <w:sz w:val="24"/>
                <w:szCs w:val="24"/>
                <w:lang w:val="sk-SK"/>
              </w:rPr>
              <w:t>Data only takes in consideration official commercial establishments</w:t>
            </w:r>
            <w:r w:rsidRPr="00F9211E">
              <w:rPr>
                <w:rFonts w:ascii="Times New Roman" w:hAnsi="Times New Roman"/>
                <w:b/>
                <w:sz w:val="24"/>
                <w:szCs w:val="24"/>
                <w:lang w:val="sk-SK"/>
              </w:rPr>
              <w:t xml:space="preserve">. </w:t>
            </w:r>
            <w:r w:rsidRPr="00F9211E">
              <w:rPr>
                <w:rFonts w:ascii="Times New Roman" w:hAnsi="Times New Roman"/>
                <w:sz w:val="24"/>
                <w:szCs w:val="24"/>
                <w:lang w:val="sk-SK"/>
              </w:rPr>
              <w:t>It does not cover other types of tourism accomodation (B&amp;B, sharing economy establishments, second homes, etc.).</w:t>
            </w:r>
          </w:p>
        </w:tc>
      </w:tr>
      <w:tr w:rsidR="00003646" w:rsidRPr="00F9211E" w:rsidTr="00203234">
        <w:tc>
          <w:tcPr>
            <w:tcW w:w="600" w:type="dxa"/>
            <w:tcBorders>
              <w:top w:val="nil"/>
              <w:right w:val="nil"/>
            </w:tcBorders>
            <w:tcMar>
              <w:top w:w="57" w:type="dxa"/>
              <w:left w:w="57" w:type="dxa"/>
              <w:bottom w:w="57" w:type="dxa"/>
              <w:right w:w="57" w:type="dxa"/>
            </w:tcMar>
          </w:tcPr>
          <w:p w:rsidR="00003646" w:rsidRPr="00F9211E" w:rsidRDefault="00003646" w:rsidP="00203234">
            <w:pPr>
              <w:ind w:left="142"/>
              <w:rPr>
                <w:lang w:val="en-US"/>
              </w:rPr>
            </w:pPr>
          </w:p>
        </w:tc>
        <w:tc>
          <w:tcPr>
            <w:tcW w:w="1526" w:type="dxa"/>
            <w:gridSpan w:val="2"/>
            <w:tcBorders>
              <w:left w:val="nil"/>
            </w:tcBorders>
            <w:tcMar>
              <w:top w:w="57" w:type="dxa"/>
              <w:left w:w="57" w:type="dxa"/>
              <w:bottom w:w="57" w:type="dxa"/>
              <w:right w:w="57" w:type="dxa"/>
            </w:tcMar>
          </w:tcPr>
          <w:p w:rsidR="00003646" w:rsidRPr="00F9211E" w:rsidRDefault="00003646" w:rsidP="00203234">
            <w:pPr>
              <w:ind w:left="142"/>
            </w:pPr>
            <w:r w:rsidRPr="00F9211E">
              <w:t>Rationale uncertainty</w:t>
            </w:r>
          </w:p>
        </w:tc>
        <w:tc>
          <w:tcPr>
            <w:tcW w:w="6913" w:type="dxa"/>
            <w:tcMar>
              <w:top w:w="57" w:type="dxa"/>
              <w:left w:w="57" w:type="dxa"/>
              <w:bottom w:w="57" w:type="dxa"/>
              <w:right w:w="57" w:type="dxa"/>
            </w:tcMar>
          </w:tcPr>
          <w:p w:rsidR="00003646" w:rsidRPr="00F9211E" w:rsidRDefault="00206D7A" w:rsidP="00203234">
            <w:pPr>
              <w:ind w:left="142"/>
              <w:rPr>
                <w:lang w:val="en-US"/>
              </w:rPr>
            </w:pPr>
            <w:r w:rsidRPr="00F9211E">
              <w:rPr>
                <w:lang w:val="en-US"/>
              </w:rPr>
              <w:t>Same comment as data sets uncertainties.</w:t>
            </w:r>
          </w:p>
        </w:tc>
      </w:tr>
      <w:tr w:rsidR="00003646" w:rsidRPr="00F9211E" w:rsidTr="00203234">
        <w:tc>
          <w:tcPr>
            <w:tcW w:w="2126" w:type="dxa"/>
            <w:gridSpan w:val="3"/>
            <w:tcMar>
              <w:top w:w="57" w:type="dxa"/>
              <w:left w:w="57" w:type="dxa"/>
              <w:bottom w:w="57" w:type="dxa"/>
              <w:right w:w="57" w:type="dxa"/>
            </w:tcMar>
          </w:tcPr>
          <w:p w:rsidR="00003646" w:rsidRPr="00F9211E" w:rsidRDefault="00003646" w:rsidP="00203234">
            <w:pPr>
              <w:ind w:left="142"/>
            </w:pPr>
            <w:r w:rsidRPr="00F9211E">
              <w:t>Further work</w:t>
            </w:r>
          </w:p>
        </w:tc>
        <w:tc>
          <w:tcPr>
            <w:tcW w:w="6913" w:type="dxa"/>
            <w:tcMar>
              <w:top w:w="57" w:type="dxa"/>
              <w:left w:w="57" w:type="dxa"/>
              <w:bottom w:w="57" w:type="dxa"/>
              <w:right w:w="57" w:type="dxa"/>
            </w:tcMar>
          </w:tcPr>
          <w:p w:rsidR="00003646" w:rsidRPr="00F9211E" w:rsidRDefault="00003646" w:rsidP="00203234">
            <w:pPr>
              <w:ind w:left="142"/>
              <w:rPr>
                <w:lang w:val="en-US"/>
              </w:rPr>
            </w:pPr>
          </w:p>
        </w:tc>
      </w:tr>
      <w:tr w:rsidR="00003646" w:rsidRPr="0011039F" w:rsidTr="00203234">
        <w:tc>
          <w:tcPr>
            <w:tcW w:w="2126" w:type="dxa"/>
            <w:gridSpan w:val="3"/>
            <w:tcMar>
              <w:top w:w="57" w:type="dxa"/>
              <w:left w:w="57" w:type="dxa"/>
              <w:bottom w:w="57" w:type="dxa"/>
              <w:right w:w="57" w:type="dxa"/>
            </w:tcMar>
          </w:tcPr>
          <w:p w:rsidR="00003646" w:rsidRPr="00F9211E" w:rsidRDefault="00003646" w:rsidP="00203234">
            <w:pPr>
              <w:ind w:left="142"/>
              <w:jc w:val="left"/>
            </w:pPr>
            <w:r w:rsidRPr="00F9211E">
              <w:t xml:space="preserve">Ownership and contacts </w:t>
            </w:r>
          </w:p>
        </w:tc>
        <w:tc>
          <w:tcPr>
            <w:tcW w:w="6913" w:type="dxa"/>
            <w:tcMar>
              <w:top w:w="57" w:type="dxa"/>
              <w:left w:w="57" w:type="dxa"/>
              <w:bottom w:w="57" w:type="dxa"/>
              <w:right w:w="57" w:type="dxa"/>
            </w:tcMar>
          </w:tcPr>
          <w:p w:rsidR="00003646" w:rsidRPr="0011039F" w:rsidRDefault="00ED068C" w:rsidP="00203234">
            <w:pPr>
              <w:ind w:left="142"/>
            </w:pPr>
            <w:r w:rsidRPr="00F9211E">
              <w:t>ETC-ULS</w:t>
            </w:r>
          </w:p>
        </w:tc>
      </w:tr>
    </w:tbl>
    <w:p w:rsidR="00003646" w:rsidRDefault="00003646" w:rsidP="00C91D75">
      <w:pPr>
        <w:jc w:val="left"/>
        <w:rPr>
          <w:lang w:val="en-US"/>
        </w:rPr>
      </w:pPr>
    </w:p>
    <w:sectPr w:rsidR="00003646" w:rsidSect="001949EA">
      <w:pgSz w:w="11906" w:h="16838"/>
      <w:pgMar w:top="1417" w:right="1701"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EA"/>
    <w:rsid w:val="00003646"/>
    <w:rsid w:val="00005AE7"/>
    <w:rsid w:val="00013862"/>
    <w:rsid w:val="00040F85"/>
    <w:rsid w:val="00072D47"/>
    <w:rsid w:val="000906B0"/>
    <w:rsid w:val="00093E7D"/>
    <w:rsid w:val="000C6C72"/>
    <w:rsid w:val="0011039F"/>
    <w:rsid w:val="00127B8D"/>
    <w:rsid w:val="001949EA"/>
    <w:rsid w:val="00203234"/>
    <w:rsid w:val="00206D7A"/>
    <w:rsid w:val="002426E7"/>
    <w:rsid w:val="00253668"/>
    <w:rsid w:val="002741B5"/>
    <w:rsid w:val="0029618D"/>
    <w:rsid w:val="003B08ED"/>
    <w:rsid w:val="00447F24"/>
    <w:rsid w:val="00452847"/>
    <w:rsid w:val="00456402"/>
    <w:rsid w:val="004A215D"/>
    <w:rsid w:val="004E31E0"/>
    <w:rsid w:val="005A2094"/>
    <w:rsid w:val="005B2822"/>
    <w:rsid w:val="005D65E7"/>
    <w:rsid w:val="00634341"/>
    <w:rsid w:val="0065185E"/>
    <w:rsid w:val="006562BA"/>
    <w:rsid w:val="00734956"/>
    <w:rsid w:val="007F0071"/>
    <w:rsid w:val="007F218A"/>
    <w:rsid w:val="00841521"/>
    <w:rsid w:val="00865B4B"/>
    <w:rsid w:val="00872021"/>
    <w:rsid w:val="008927B4"/>
    <w:rsid w:val="00892EC7"/>
    <w:rsid w:val="008A19C6"/>
    <w:rsid w:val="008A6F13"/>
    <w:rsid w:val="00983CC5"/>
    <w:rsid w:val="009A2080"/>
    <w:rsid w:val="009B623B"/>
    <w:rsid w:val="009C6C56"/>
    <w:rsid w:val="009F267D"/>
    <w:rsid w:val="00A23B1F"/>
    <w:rsid w:val="00A55453"/>
    <w:rsid w:val="00A675CB"/>
    <w:rsid w:val="00AA2357"/>
    <w:rsid w:val="00B26116"/>
    <w:rsid w:val="00B621BD"/>
    <w:rsid w:val="00B749DF"/>
    <w:rsid w:val="00B912A5"/>
    <w:rsid w:val="00BA6C71"/>
    <w:rsid w:val="00BD4DF7"/>
    <w:rsid w:val="00BF1D93"/>
    <w:rsid w:val="00C1475F"/>
    <w:rsid w:val="00C7679E"/>
    <w:rsid w:val="00C91D75"/>
    <w:rsid w:val="00CD6D78"/>
    <w:rsid w:val="00CE0832"/>
    <w:rsid w:val="00D249E2"/>
    <w:rsid w:val="00D32C89"/>
    <w:rsid w:val="00D6314E"/>
    <w:rsid w:val="00D970BF"/>
    <w:rsid w:val="00DA02F3"/>
    <w:rsid w:val="00DD75D2"/>
    <w:rsid w:val="00DE5BE3"/>
    <w:rsid w:val="00E55AE6"/>
    <w:rsid w:val="00E80A5C"/>
    <w:rsid w:val="00E864FA"/>
    <w:rsid w:val="00EA07CE"/>
    <w:rsid w:val="00ED068C"/>
    <w:rsid w:val="00EF7796"/>
    <w:rsid w:val="00F321E4"/>
    <w:rsid w:val="00F9211E"/>
    <w:rsid w:val="00FB5C19"/>
    <w:rsid w:val="00FC063D"/>
    <w:rsid w:val="00FD0BC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29FCBA80"/>
  <w15:docId w15:val="{79BC7FCC-6CD6-4303-8B96-1F83A037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a-ES" w:eastAsia="ca-E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0F85"/>
    <w:pPr>
      <w:jc w:val="both"/>
    </w:pPr>
    <w:rPr>
      <w:rFonts w:ascii="Times New Roman" w:eastAsia="ヒラギノ角ゴ Pro W3" w:hAnsi="Times New Roman"/>
      <w:color w:val="000000"/>
      <w:sz w:val="24"/>
      <w:szCs w:val="24"/>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57">
    <w:name w:val="57"/>
    <w:uiPriority w:val="99"/>
    <w:pPr>
      <w:widowControl w:val="0"/>
      <w:autoSpaceDE w:val="0"/>
      <w:autoSpaceDN w:val="0"/>
      <w:adjustRightInd w:val="0"/>
    </w:pPr>
    <w:rPr>
      <w:rFonts w:ascii="Times New Roman" w:eastAsia="Times New Roman" w:hAnsi="Times New Roman"/>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1949EA"/>
    <w:pPr>
      <w:spacing w:after="200"/>
      <w:jc w:val="left"/>
    </w:pPr>
    <w:rPr>
      <w:rFonts w:ascii="Calibri" w:eastAsia="Times New Roman" w:hAnsi="Calibri"/>
      <w:color w:val="auto"/>
      <w:sz w:val="20"/>
      <w:szCs w:val="20"/>
      <w:lang w:eastAsia="en-GB"/>
    </w:rPr>
  </w:style>
  <w:style w:type="character" w:customStyle="1" w:styleId="TextocomentarioCar">
    <w:name w:val="Texto comentario Car"/>
    <w:basedOn w:val="Fuentedeprrafopredeter"/>
    <w:link w:val="Textocomentario"/>
    <w:uiPriority w:val="99"/>
    <w:locked/>
    <w:rsid w:val="001949EA"/>
    <w:rPr>
      <w:rFonts w:ascii="Calibri" w:hAnsi="Calibri" w:cs="Times New Roman"/>
      <w:sz w:val="20"/>
      <w:szCs w:val="20"/>
      <w:lang w:val="en-GB" w:eastAsia="en-GB"/>
    </w:rPr>
  </w:style>
  <w:style w:type="paragraph" w:styleId="Textodeglobo">
    <w:name w:val="Balloon Text"/>
    <w:basedOn w:val="Normal"/>
    <w:link w:val="TextodegloboCar"/>
    <w:uiPriority w:val="99"/>
    <w:semiHidden/>
    <w:rsid w:val="001949EA"/>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949EA"/>
    <w:rPr>
      <w:rFonts w:ascii="Tahoma" w:eastAsia="ヒラギノ角ゴ Pro W3" w:hAnsi="Tahoma" w:cs="Tahoma"/>
      <w:color w:val="000000"/>
      <w:sz w:val="16"/>
      <w:szCs w:val="16"/>
      <w:lang w:val="en-GB"/>
    </w:rPr>
  </w:style>
  <w:style w:type="character" w:styleId="Hipervnculo">
    <w:name w:val="Hyperlink"/>
    <w:basedOn w:val="Fuentedeprrafopredeter"/>
    <w:uiPriority w:val="99"/>
    <w:unhideWhenUsed/>
    <w:rsid w:val="00ED0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c.europa.eu/eurostat/statistics-explained/index.php/Tourism_statistics_at_regional_level" TargetMode="External"/><Relationship Id="rId5" Type="http://schemas.openxmlformats.org/officeDocument/2006/relationships/hyperlink" Target="http://ec.europa.eu/eurostat/statistics-explained/index.php/Tourism_statistics_at_regional_level"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556</Words>
  <Characters>3175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Indicator name</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name</dc:title>
  <dc:creator>ACER</dc:creator>
  <cp:lastModifiedBy>Jaume Fons Esteve</cp:lastModifiedBy>
  <cp:revision>6</cp:revision>
  <dcterms:created xsi:type="dcterms:W3CDTF">2016-10-17T16:03:00Z</dcterms:created>
  <dcterms:modified xsi:type="dcterms:W3CDTF">2017-06-01T15:53:00Z</dcterms:modified>
</cp:coreProperties>
</file>