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EA" w:rsidRDefault="001949EA" w:rsidP="00865B4B">
      <w:pPr>
        <w:rPr>
          <w:lang w:val="en-US"/>
        </w:rPr>
      </w:pPr>
    </w:p>
    <w:tbl>
      <w:tblPr>
        <w:tblStyle w:val="Tablaconcuadrcula"/>
        <w:tblW w:w="9641" w:type="dxa"/>
        <w:tblInd w:w="392" w:type="dxa"/>
        <w:tblLook w:val="04A0" w:firstRow="1" w:lastRow="0" w:firstColumn="1" w:lastColumn="0" w:noHBand="0" w:noVBand="1"/>
      </w:tblPr>
      <w:tblGrid>
        <w:gridCol w:w="573"/>
        <w:gridCol w:w="252"/>
        <w:gridCol w:w="1472"/>
        <w:gridCol w:w="7344"/>
      </w:tblGrid>
      <w:tr w:rsidR="001949EA" w:rsidRPr="00352449" w:rsidTr="00A13472">
        <w:tc>
          <w:tcPr>
            <w:tcW w:w="2297" w:type="dxa"/>
            <w:gridSpan w:val="3"/>
          </w:tcPr>
          <w:p w:rsidR="001949EA" w:rsidRPr="00352449" w:rsidRDefault="001949EA" w:rsidP="001949EA">
            <w:pPr>
              <w:ind w:left="142"/>
              <w:rPr>
                <w:b/>
              </w:rPr>
            </w:pPr>
            <w:r w:rsidRPr="00352449">
              <w:rPr>
                <w:b/>
              </w:rPr>
              <w:t>Indicator name</w:t>
            </w:r>
          </w:p>
        </w:tc>
        <w:tc>
          <w:tcPr>
            <w:tcW w:w="7344" w:type="dxa"/>
          </w:tcPr>
          <w:p w:rsidR="001949EA" w:rsidRPr="00352449" w:rsidRDefault="00D54685" w:rsidP="00D54685">
            <w:pPr>
              <w:ind w:left="142"/>
            </w:pPr>
            <w:r w:rsidRPr="00352449">
              <w:t>Tourism</w:t>
            </w:r>
            <w:r w:rsidR="00445455" w:rsidRPr="00352449">
              <w:t xml:space="preserve"> </w:t>
            </w:r>
            <w:r w:rsidR="00CF0B5C" w:rsidRPr="00352449">
              <w:t>density</w:t>
            </w:r>
          </w:p>
        </w:tc>
      </w:tr>
      <w:tr w:rsidR="001949EA" w:rsidRPr="00352449" w:rsidTr="00A13472">
        <w:tc>
          <w:tcPr>
            <w:tcW w:w="2297" w:type="dxa"/>
            <w:gridSpan w:val="3"/>
          </w:tcPr>
          <w:p w:rsidR="001949EA" w:rsidRPr="00352449" w:rsidRDefault="001949EA" w:rsidP="001949EA">
            <w:pPr>
              <w:ind w:left="142"/>
              <w:rPr>
                <w:b/>
              </w:rPr>
            </w:pPr>
            <w:r w:rsidRPr="00352449">
              <w:rPr>
                <w:b/>
              </w:rPr>
              <w:t>ASSESSMENT</w:t>
            </w:r>
          </w:p>
        </w:tc>
        <w:tc>
          <w:tcPr>
            <w:tcW w:w="7344" w:type="dxa"/>
          </w:tcPr>
          <w:p w:rsidR="001949EA" w:rsidRPr="00352449" w:rsidRDefault="001949EA" w:rsidP="001949EA">
            <w:pPr>
              <w:ind w:left="142"/>
            </w:pPr>
          </w:p>
        </w:tc>
      </w:tr>
      <w:tr w:rsidR="001949EA" w:rsidRPr="00352449" w:rsidTr="00A13472">
        <w:tc>
          <w:tcPr>
            <w:tcW w:w="2297" w:type="dxa"/>
            <w:gridSpan w:val="3"/>
          </w:tcPr>
          <w:p w:rsidR="001949EA" w:rsidRPr="00352449" w:rsidRDefault="001949EA" w:rsidP="001949EA">
            <w:pPr>
              <w:ind w:left="142"/>
            </w:pPr>
            <w:r w:rsidRPr="00352449">
              <w:t>Indicator Name</w:t>
            </w:r>
          </w:p>
        </w:tc>
        <w:tc>
          <w:tcPr>
            <w:tcW w:w="7344" w:type="dxa"/>
          </w:tcPr>
          <w:p w:rsidR="001949EA" w:rsidRPr="00A13472" w:rsidRDefault="001949EA" w:rsidP="00A13472">
            <w:pPr>
              <w:rPr>
                <w:lang w:val="en-US"/>
              </w:rPr>
            </w:pPr>
          </w:p>
          <w:p w:rsidR="008011FA" w:rsidRPr="008011FA" w:rsidRDefault="008011FA" w:rsidP="008011FA">
            <w:pPr>
              <w:rPr>
                <w:lang w:val="en-US"/>
              </w:rPr>
            </w:pPr>
            <w:r w:rsidRPr="008011FA">
              <w:rPr>
                <w:lang w:val="en-US"/>
              </w:rPr>
              <w:t>TOUR004a</w:t>
            </w:r>
            <w:r>
              <w:rPr>
                <w:lang w:val="en-US"/>
              </w:rPr>
              <w:t xml:space="preserve"> - Number of bed places per km2</w:t>
            </w:r>
            <w:r w:rsidR="00A13472">
              <w:rPr>
                <w:lang w:val="en-US"/>
              </w:rPr>
              <w:t xml:space="preserve"> by NUTS2</w:t>
            </w:r>
          </w:p>
          <w:p w:rsidR="008011FA" w:rsidRPr="008011FA" w:rsidRDefault="008011FA" w:rsidP="008011FA">
            <w:pPr>
              <w:rPr>
                <w:lang w:val="en-US"/>
              </w:rPr>
            </w:pPr>
            <w:r w:rsidRPr="008011FA">
              <w:rPr>
                <w:lang w:val="en-US"/>
              </w:rPr>
              <w:t>TOUR004b</w:t>
            </w:r>
            <w:r>
              <w:rPr>
                <w:lang w:val="en-US"/>
              </w:rPr>
              <w:t xml:space="preserve"> - </w:t>
            </w:r>
            <w:r w:rsidRPr="008011FA">
              <w:rPr>
                <w:lang w:val="en-US"/>
              </w:rPr>
              <w:t xml:space="preserve">Number of bed places per km2 in </w:t>
            </w:r>
            <w:r w:rsidRPr="008011FA">
              <w:rPr>
                <w:b/>
                <w:lang w:val="en-US"/>
              </w:rPr>
              <w:t>urban</w:t>
            </w:r>
            <w:r w:rsidRPr="008011FA">
              <w:rPr>
                <w:lang w:val="en-US"/>
              </w:rPr>
              <w:t xml:space="preserve"> areas</w:t>
            </w:r>
          </w:p>
          <w:p w:rsidR="008011FA" w:rsidRPr="008011FA" w:rsidRDefault="008011FA" w:rsidP="008011FA">
            <w:pPr>
              <w:rPr>
                <w:lang w:val="en-US"/>
              </w:rPr>
            </w:pPr>
            <w:r w:rsidRPr="008011FA">
              <w:rPr>
                <w:lang w:val="en-US"/>
              </w:rPr>
              <w:t>TOUR004c</w:t>
            </w:r>
            <w:r>
              <w:rPr>
                <w:lang w:val="en-US"/>
              </w:rPr>
              <w:t xml:space="preserve"> - </w:t>
            </w:r>
            <w:r w:rsidRPr="008011FA">
              <w:rPr>
                <w:lang w:val="en-US"/>
              </w:rPr>
              <w:t>Number of be</w:t>
            </w:r>
            <w:r>
              <w:rPr>
                <w:lang w:val="en-US"/>
              </w:rPr>
              <w:t xml:space="preserve">d places per km2 in </w:t>
            </w:r>
            <w:r w:rsidRPr="008011FA">
              <w:rPr>
                <w:b/>
                <w:lang w:val="en-US"/>
              </w:rPr>
              <w:t>rural</w:t>
            </w:r>
            <w:r>
              <w:rPr>
                <w:lang w:val="en-US"/>
              </w:rPr>
              <w:t xml:space="preserve"> areas</w:t>
            </w:r>
          </w:p>
          <w:p w:rsidR="008011FA" w:rsidRDefault="008011FA" w:rsidP="008011FA">
            <w:pPr>
              <w:rPr>
                <w:lang w:val="en-US"/>
              </w:rPr>
            </w:pPr>
            <w:r w:rsidRPr="008011FA">
              <w:rPr>
                <w:lang w:val="en-US"/>
              </w:rPr>
              <w:t>TOUR004d</w:t>
            </w:r>
            <w:r>
              <w:rPr>
                <w:lang w:val="en-US"/>
              </w:rPr>
              <w:t xml:space="preserve"> - </w:t>
            </w:r>
            <w:r w:rsidRPr="008011FA">
              <w:rPr>
                <w:lang w:val="en-US"/>
              </w:rPr>
              <w:t xml:space="preserve">Number of bed places per km2 in </w:t>
            </w:r>
            <w:r w:rsidRPr="008011FA">
              <w:rPr>
                <w:b/>
                <w:lang w:val="en-US"/>
              </w:rPr>
              <w:t>coastal</w:t>
            </w:r>
            <w:r w:rsidRPr="008011FA">
              <w:rPr>
                <w:lang w:val="en-US"/>
              </w:rPr>
              <w:t xml:space="preserve"> areas</w:t>
            </w:r>
          </w:p>
          <w:p w:rsidR="00A13472" w:rsidRPr="008011FA" w:rsidRDefault="00A13472" w:rsidP="008011FA">
            <w:pPr>
              <w:rPr>
                <w:lang w:val="en-US"/>
              </w:rPr>
            </w:pPr>
            <w:r>
              <w:rPr>
                <w:lang w:val="en-US"/>
              </w:rPr>
              <w:t xml:space="preserve">TOUR004l -  </w:t>
            </w:r>
            <w:r w:rsidRPr="00352449">
              <w:rPr>
                <w:lang w:val="en-US"/>
              </w:rPr>
              <w:t>Number of overnight stays per km</w:t>
            </w:r>
            <w:r w:rsidRPr="00352449">
              <w:rPr>
                <w:vertAlign w:val="superscript"/>
                <w:lang w:val="en-US"/>
              </w:rPr>
              <w:t>2</w:t>
            </w:r>
            <w:r w:rsidRPr="00352449">
              <w:rPr>
                <w:lang w:val="en-US"/>
              </w:rPr>
              <w:t xml:space="preserve"> by NUTS 2</w:t>
            </w:r>
          </w:p>
        </w:tc>
      </w:tr>
      <w:tr w:rsidR="001949EA" w:rsidRPr="00352449" w:rsidTr="00A13472">
        <w:tc>
          <w:tcPr>
            <w:tcW w:w="2297" w:type="dxa"/>
            <w:gridSpan w:val="3"/>
          </w:tcPr>
          <w:p w:rsidR="001949EA" w:rsidRPr="00352449" w:rsidRDefault="001949EA" w:rsidP="001949EA">
            <w:pPr>
              <w:ind w:left="142"/>
            </w:pPr>
            <w:r w:rsidRPr="00352449">
              <w:t>Key policy question</w:t>
            </w:r>
          </w:p>
        </w:tc>
        <w:tc>
          <w:tcPr>
            <w:tcW w:w="7344" w:type="dxa"/>
          </w:tcPr>
          <w:p w:rsidR="007F218A" w:rsidRPr="00352449" w:rsidRDefault="00FB1FDD" w:rsidP="00A23B1F">
            <w:pPr>
              <w:spacing w:line="276" w:lineRule="auto"/>
              <w:ind w:left="142"/>
              <w:rPr>
                <w:lang w:val="en-US"/>
              </w:rPr>
            </w:pPr>
            <w:r w:rsidRPr="00352449">
              <w:rPr>
                <w:bCs/>
                <w:lang w:val="en-US" w:eastAsia="es-ES"/>
              </w:rPr>
              <w:t>How is tourism concentrated in space?</w:t>
            </w:r>
          </w:p>
        </w:tc>
      </w:tr>
      <w:tr w:rsidR="001949EA" w:rsidRPr="00352449" w:rsidTr="00A13472">
        <w:tc>
          <w:tcPr>
            <w:tcW w:w="2297" w:type="dxa"/>
            <w:gridSpan w:val="3"/>
          </w:tcPr>
          <w:p w:rsidR="001949EA" w:rsidRPr="00352449" w:rsidRDefault="001949EA" w:rsidP="001949EA">
            <w:pPr>
              <w:ind w:left="142"/>
            </w:pPr>
            <w:r w:rsidRPr="00352449">
              <w:t>Key message</w:t>
            </w:r>
          </w:p>
        </w:tc>
        <w:tc>
          <w:tcPr>
            <w:tcW w:w="7344" w:type="dxa"/>
          </w:tcPr>
          <w:p w:rsidR="00BA6C71" w:rsidRPr="00352449" w:rsidRDefault="00FB1FDD" w:rsidP="00307BC9">
            <w:pPr>
              <w:ind w:left="142"/>
            </w:pPr>
            <w:r w:rsidRPr="00352449">
              <w:rPr>
                <w:lang w:val="en-US"/>
              </w:rPr>
              <w:t xml:space="preserve">Some European regions (regardless of their territorial context: mountain, coastal, rural, etc.) have a high density of tourist accommodation </w:t>
            </w:r>
            <w:r w:rsidR="009145A1" w:rsidRPr="00352449">
              <w:rPr>
                <w:lang w:val="en-US"/>
              </w:rPr>
              <w:t>supply (official commercial bed-</w:t>
            </w:r>
            <w:r w:rsidRPr="00352449">
              <w:rPr>
                <w:lang w:val="en-US"/>
              </w:rPr>
              <w:t>places) per km</w:t>
            </w:r>
            <w:r w:rsidRPr="00352449">
              <w:rPr>
                <w:vertAlign w:val="superscript"/>
                <w:lang w:val="en-US"/>
              </w:rPr>
              <w:t>2</w:t>
            </w:r>
            <w:r w:rsidRPr="00352449">
              <w:rPr>
                <w:lang w:val="en-US"/>
              </w:rPr>
              <w:t xml:space="preserve">, showing a potential high pressure on the territory, and as a consequence, potential environmental and social impact, especially on sensitive areas.  </w:t>
            </w:r>
            <w:r w:rsidRPr="00352449">
              <w:t xml:space="preserve">On the contrary, other regions </w:t>
            </w:r>
            <w:r w:rsidRPr="00352449">
              <w:rPr>
                <w:lang w:val="en-US"/>
              </w:rPr>
              <w:t xml:space="preserve">(most of them in rural areas of Europe) </w:t>
            </w:r>
            <w:r w:rsidRPr="00352449">
              <w:t>show a low density.</w:t>
            </w:r>
            <w:r w:rsidR="003C7687" w:rsidRPr="00352449">
              <w:t xml:space="preserve"> Regarding tourists or demand density, measured through the total overnight stays per km</w:t>
            </w:r>
            <w:r w:rsidR="003C7687" w:rsidRPr="00352449">
              <w:rPr>
                <w:vertAlign w:val="superscript"/>
              </w:rPr>
              <w:t>2</w:t>
            </w:r>
            <w:r w:rsidR="003C7687" w:rsidRPr="00352449">
              <w:t>, in most of the European regions is relatively low (below 2,500 annual stays per km</w:t>
            </w:r>
            <w:r w:rsidR="003C7687" w:rsidRPr="00352449">
              <w:rPr>
                <w:vertAlign w:val="superscript"/>
              </w:rPr>
              <w:t>2</w:t>
            </w:r>
            <w:r w:rsidR="003C7687" w:rsidRPr="00352449">
              <w:t xml:space="preserve">). Higher numbers are mainly concentrated in urban and metropolitan regions. </w:t>
            </w:r>
          </w:p>
        </w:tc>
      </w:tr>
      <w:tr w:rsidR="001949EA" w:rsidRPr="00352449" w:rsidTr="00A13472">
        <w:tc>
          <w:tcPr>
            <w:tcW w:w="2297" w:type="dxa"/>
            <w:gridSpan w:val="3"/>
            <w:tcMar>
              <w:top w:w="0" w:type="nil"/>
              <w:left w:w="0" w:type="nil"/>
              <w:bottom w:w="0" w:type="nil"/>
              <w:right w:w="0" w:type="nil"/>
            </w:tcMar>
          </w:tcPr>
          <w:p w:rsidR="001949EA" w:rsidRPr="00352449" w:rsidRDefault="001949EA" w:rsidP="001949EA">
            <w:pPr>
              <w:ind w:left="142"/>
            </w:pPr>
            <w:r w:rsidRPr="00352449">
              <w:t xml:space="preserve">Key assessment </w:t>
            </w:r>
          </w:p>
        </w:tc>
        <w:tc>
          <w:tcPr>
            <w:tcW w:w="7344" w:type="dxa"/>
            <w:tcMar>
              <w:top w:w="0" w:type="nil"/>
              <w:left w:w="0" w:type="nil"/>
              <w:bottom w:w="0" w:type="nil"/>
              <w:right w:w="0" w:type="nil"/>
            </w:tcMar>
          </w:tcPr>
          <w:p w:rsidR="00691A27" w:rsidRPr="00352449" w:rsidRDefault="009145A1" w:rsidP="00310AC0">
            <w:pPr>
              <w:ind w:left="147"/>
            </w:pPr>
            <w:r w:rsidRPr="00352449">
              <w:t>Density of tourist accommodation at regional level in Europe (bed- places per km</w:t>
            </w:r>
            <w:r w:rsidRPr="00352449">
              <w:rPr>
                <w:vertAlign w:val="superscript"/>
              </w:rPr>
              <w:t>2</w:t>
            </w:r>
            <w:r w:rsidRPr="00352449">
              <w:t>) is relatively low (below 10 bed places per km</w:t>
            </w:r>
            <w:r w:rsidRPr="00352449">
              <w:rPr>
                <w:vertAlign w:val="superscript"/>
              </w:rPr>
              <w:t>2</w:t>
            </w:r>
            <w:r w:rsidRPr="00352449">
              <w:t>) for the majority of regions and countries. Higher densities (between 10 and 50 bed-places per km</w:t>
            </w:r>
            <w:r w:rsidRPr="00352449">
              <w:rPr>
                <w:vertAlign w:val="superscript"/>
              </w:rPr>
              <w:t>2</w:t>
            </w:r>
            <w:r w:rsidRPr="00352449">
              <w:t>) can be found in most of the regions of England, Netherlands, the continental Italy, Montenegro, and some of the regions of Spain, France, Germany, and Austria, among other countries.</w:t>
            </w:r>
            <w:r w:rsidR="00310AC0" w:rsidRPr="00352449">
              <w:t xml:space="preserve"> The highest densities (more than 50 bed-places per km</w:t>
            </w:r>
            <w:r w:rsidR="00310AC0" w:rsidRPr="00352449">
              <w:rPr>
                <w:vertAlign w:val="superscript"/>
              </w:rPr>
              <w:t>2</w:t>
            </w:r>
            <w:r w:rsidR="00DF0155" w:rsidRPr="00352449">
              <w:t>) appear</w:t>
            </w:r>
            <w:r w:rsidR="00310AC0" w:rsidRPr="00352449">
              <w:t xml:space="preserve"> in very small NUTS 2 regions</w:t>
            </w:r>
            <w:r w:rsidR="00DF0155" w:rsidRPr="00352449">
              <w:t>, with the exception of the Balearic and the Canary islands in Spain</w:t>
            </w:r>
            <w:r w:rsidR="00310AC0" w:rsidRPr="00352449">
              <w:t>.</w:t>
            </w:r>
          </w:p>
          <w:p w:rsidR="00B9281E" w:rsidRPr="00352449" w:rsidRDefault="00B9281E" w:rsidP="00310AC0">
            <w:pPr>
              <w:ind w:left="147"/>
            </w:pPr>
          </w:p>
          <w:p w:rsidR="00DF0155" w:rsidRPr="00352449" w:rsidRDefault="00B9281E" w:rsidP="00B9281E">
            <w:pPr>
              <w:ind w:left="147"/>
            </w:pPr>
            <w:r w:rsidRPr="00352449">
              <w:t xml:space="preserve">However, </w:t>
            </w:r>
            <w:r w:rsidR="00C665EC" w:rsidRPr="00352449">
              <w:t xml:space="preserve">differences can be seen </w:t>
            </w:r>
            <w:r w:rsidRPr="00352449">
              <w:t xml:space="preserve">if the analysis considers only urban areas, rural areas, or coastal areas inside each </w:t>
            </w:r>
            <w:proofErr w:type="gramStart"/>
            <w:r w:rsidRPr="00352449">
              <w:t>NUTS</w:t>
            </w:r>
            <w:proofErr w:type="gramEnd"/>
            <w:r w:rsidRPr="00352449">
              <w:t xml:space="preserve"> 2 region. </w:t>
            </w:r>
            <w:r w:rsidR="00DF0155" w:rsidRPr="00352449">
              <w:t xml:space="preserve">The urban areas that have higher densities of tourist accommodation supply are </w:t>
            </w:r>
            <w:r w:rsidRPr="00352449">
              <w:t xml:space="preserve">mainly </w:t>
            </w:r>
            <w:r w:rsidR="00DF0155" w:rsidRPr="00352449">
              <w:t>located in those regions that have high levels of urbanisation</w:t>
            </w:r>
            <w:r w:rsidRPr="00352449">
              <w:t xml:space="preserve"> (although not all of them, i.e. Madrid, Dublin, Warsaw, Budapest, etc.)</w:t>
            </w:r>
            <w:r w:rsidR="00DF0155" w:rsidRPr="00352449">
              <w:t xml:space="preserve">. </w:t>
            </w:r>
            <w:r w:rsidRPr="00352449">
              <w:t>R</w:t>
            </w:r>
            <w:r w:rsidR="00DF0155" w:rsidRPr="00352449">
              <w:t>ural areas</w:t>
            </w:r>
            <w:r w:rsidRPr="00352449">
              <w:t xml:space="preserve"> of high density of bed-places are important in France, Italy, Greece, Austria, Czech Republic, England, Denmark, among other countries.</w:t>
            </w:r>
            <w:r w:rsidR="00FF4061" w:rsidRPr="00352449">
              <w:t xml:space="preserve"> Coastal municipalities that have very high levels of bed-places density are located in regions such as Balearic and Canary islands in Spain, Liguria in Italy, coastal Croatia, Ionia Nisia and</w:t>
            </w:r>
            <w:r w:rsidRPr="00352449">
              <w:t xml:space="preserve"> </w:t>
            </w:r>
            <w:r w:rsidR="00FF4061" w:rsidRPr="00352449">
              <w:t>Notio Aigaio archipelago regions in Greece, Southern and Western coastal regions of England, Noord Holland and Zeeland in the Netherlands, Algarve and metropolitan area of Lisbon in Portugal, Hovedstaden in Denmark, etc.</w:t>
            </w:r>
          </w:p>
          <w:p w:rsidR="005B0AEE" w:rsidRPr="00352449" w:rsidRDefault="005B0AEE" w:rsidP="00B9281E">
            <w:pPr>
              <w:ind w:left="147"/>
            </w:pPr>
          </w:p>
          <w:p w:rsidR="00445455" w:rsidRPr="00352449" w:rsidRDefault="00445455" w:rsidP="00445455">
            <w:pPr>
              <w:ind w:left="5"/>
            </w:pPr>
            <w:r w:rsidRPr="00352449">
              <w:rPr>
                <w:noProof/>
                <w:lang w:val="ca-ES" w:eastAsia="ca-ES"/>
              </w:rPr>
              <w:lastRenderedPageBreak/>
              <w:drawing>
                <wp:inline distT="0" distB="0" distL="0" distR="0" wp14:anchorId="69AF3033" wp14:editId="00D905AC">
                  <wp:extent cx="4435433" cy="3139404"/>
                  <wp:effectExtent l="0" t="0" r="3810" b="4445"/>
                  <wp:docPr id="3" name="Imagen 3" descr="D:\EEA Turisme\Activitats 2016 - TOUERM report\Indicator fact-sheets\Maps and graphs last version 17-10-2016\density\Tourism_Density_tour_cap_nu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A Turisme\Activitats 2016 - TOUERM report\Indicator fact-sheets\Maps and graphs last version 17-10-2016\density\Tourism_Density_tour_cap_nut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5389" cy="3139373"/>
                          </a:xfrm>
                          <a:prstGeom prst="rect">
                            <a:avLst/>
                          </a:prstGeom>
                          <a:noFill/>
                          <a:ln>
                            <a:noFill/>
                          </a:ln>
                        </pic:spPr>
                      </pic:pic>
                    </a:graphicData>
                  </a:graphic>
                </wp:inline>
              </w:drawing>
            </w:r>
          </w:p>
          <w:p w:rsidR="005B0AEE" w:rsidRPr="00352449" w:rsidRDefault="00A13472" w:rsidP="005B0AEE">
            <w:pPr>
              <w:ind w:left="5"/>
            </w:pPr>
            <w:r>
              <w:rPr>
                <w:noProof/>
              </w:rPr>
              <w:drawing>
                <wp:inline distT="0" distB="0" distL="0" distR="0" wp14:anchorId="7C0AEC4B" wp14:editId="12CF994A">
                  <wp:extent cx="4523383" cy="3201035"/>
                  <wp:effectExtent l="0" t="0" r="0" b="0"/>
                  <wp:docPr id="2" name="Imagen 1">
                    <a:extLst xmlns:a="http://schemas.openxmlformats.org/drawingml/2006/main">
                      <a:ext uri="{FF2B5EF4-FFF2-40B4-BE49-F238E27FC236}">
                        <a16:creationId xmlns:a16="http://schemas.microsoft.com/office/drawing/2014/main" id="{C9BBD42A-7613-49BE-A8E6-F9DEE83C1E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C9BBD42A-7613-49BE-A8E6-F9DEE83C1EAF}"/>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24733" cy="3201990"/>
                          </a:xfrm>
                          <a:prstGeom prst="rect">
                            <a:avLst/>
                          </a:prstGeom>
                        </pic:spPr>
                      </pic:pic>
                    </a:graphicData>
                  </a:graphic>
                </wp:inline>
              </w:drawing>
            </w:r>
          </w:p>
          <w:p w:rsidR="00DA1A9D" w:rsidRPr="00352449" w:rsidRDefault="00A13472" w:rsidP="00D249E2">
            <w:pPr>
              <w:spacing w:before="120"/>
            </w:pPr>
            <w:r>
              <w:rPr>
                <w:noProof/>
              </w:rPr>
              <w:lastRenderedPageBreak/>
              <w:drawing>
                <wp:inline distT="0" distB="0" distL="0" distR="0" wp14:anchorId="103B304F" wp14:editId="58AFFE87">
                  <wp:extent cx="4065994" cy="2877357"/>
                  <wp:effectExtent l="0" t="0" r="0" b="0"/>
                  <wp:docPr id="1" name="Imagen 2">
                    <a:extLst xmlns:a="http://schemas.openxmlformats.org/drawingml/2006/main">
                      <a:ext uri="{FF2B5EF4-FFF2-40B4-BE49-F238E27FC236}">
                        <a16:creationId xmlns:a16="http://schemas.microsoft.com/office/drawing/2014/main" id="{87DD9DEA-A34D-41A7-9779-99A62E50D8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87DD9DEA-A34D-41A7-9779-99A62E50D87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7447" cy="2878385"/>
                          </a:xfrm>
                          <a:prstGeom prst="rect">
                            <a:avLst/>
                          </a:prstGeom>
                        </pic:spPr>
                      </pic:pic>
                    </a:graphicData>
                  </a:graphic>
                </wp:inline>
              </w:drawing>
            </w:r>
          </w:p>
          <w:p w:rsidR="00DA1A9D" w:rsidRPr="00352449" w:rsidRDefault="00A13472" w:rsidP="00D249E2">
            <w:pPr>
              <w:spacing w:before="120"/>
            </w:pPr>
            <w:r>
              <w:rPr>
                <w:noProof/>
              </w:rPr>
              <w:drawing>
                <wp:inline distT="0" distB="0" distL="0" distR="0" wp14:anchorId="0FB68B16" wp14:editId="230A8D1E">
                  <wp:extent cx="4367228" cy="3090530"/>
                  <wp:effectExtent l="0" t="0" r="0" b="0"/>
                  <wp:docPr id="5" name="Imagen 2">
                    <a:extLst xmlns:a="http://schemas.openxmlformats.org/drawingml/2006/main">
                      <a:ext uri="{FF2B5EF4-FFF2-40B4-BE49-F238E27FC236}">
                        <a16:creationId xmlns:a16="http://schemas.microsoft.com/office/drawing/2014/main" id="{04938775-DA6B-49CE-B293-2B0A12D9DD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4938775-DA6B-49CE-B293-2B0A12D9DDB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9317" cy="3092008"/>
                          </a:xfrm>
                          <a:prstGeom prst="rect">
                            <a:avLst/>
                          </a:prstGeom>
                        </pic:spPr>
                      </pic:pic>
                    </a:graphicData>
                  </a:graphic>
                </wp:inline>
              </w:drawing>
            </w:r>
          </w:p>
          <w:p w:rsidR="009D157F" w:rsidRPr="00352449" w:rsidRDefault="009D157F" w:rsidP="00D249E2">
            <w:pPr>
              <w:spacing w:before="120"/>
            </w:pPr>
            <w:r w:rsidRPr="00352449">
              <w:t>Regarding tourists or demand density, measured through the total overnight stays per km</w:t>
            </w:r>
            <w:r w:rsidRPr="00352449">
              <w:rPr>
                <w:vertAlign w:val="superscript"/>
              </w:rPr>
              <w:t>2</w:t>
            </w:r>
            <w:r w:rsidRPr="00352449">
              <w:t>, in most of the European regions is relatively low (below 2,500 annual stays per km</w:t>
            </w:r>
            <w:r w:rsidRPr="00352449">
              <w:rPr>
                <w:vertAlign w:val="superscript"/>
              </w:rPr>
              <w:t>2</w:t>
            </w:r>
            <w:r w:rsidRPr="00352449">
              <w:t>). Higher numbers are mainly concentrated in urban and metropolitan regions</w:t>
            </w:r>
            <w:r w:rsidR="00434DDD" w:rsidRPr="00352449">
              <w:t>, in some cases with a very small territory</w:t>
            </w:r>
            <w:r w:rsidRPr="00352449">
              <w:t>.</w:t>
            </w:r>
            <w:r w:rsidR="00434DDD" w:rsidRPr="00352449">
              <w:t xml:space="preserve"> These are the cases of country capitals such as London, Paris, Berlin, Madrid, Lisbon, Brussels, Amsterdam, Prague, Copenhagen, or Vienna, but also other metropolitan areas, such as Greater Manchester, Merseyside (Liverpool), and the West Midlands (Birmingham) in the United Kingdom; Bremen and Hamburg in Germany; or Zuid Holland (Rotterdam) in the Netherlands. If we do not consider those urban areas, there are only few regions that received in 2014 more than 2,500 overnight stays per km</w:t>
            </w:r>
            <w:r w:rsidR="00434DDD" w:rsidRPr="00352449">
              <w:rPr>
                <w:vertAlign w:val="superscript"/>
              </w:rPr>
              <w:t>2</w:t>
            </w:r>
            <w:r w:rsidR="00434DDD" w:rsidRPr="00352449">
              <w:t xml:space="preserve"> during the year. Most of them</w:t>
            </w:r>
            <w:r w:rsidR="0002021E" w:rsidRPr="00352449">
              <w:t xml:space="preserve"> -but not all-</w:t>
            </w:r>
            <w:r w:rsidR="00434DDD" w:rsidRPr="00352449">
              <w:t xml:space="preserve"> are located in Southern Europe: the Algarve and Madeira Islands in Portugal; the Balearic and Canary Islands in Spain; the Veneto and Bolzano-Bozen regions in Italy; the coastal region of Croatia; </w:t>
            </w:r>
            <w:r w:rsidR="00434DDD" w:rsidRPr="00352449">
              <w:lastRenderedPageBreak/>
              <w:t xml:space="preserve">the Greek insular regions of Notio Aigaio, Kriti, and Ionia Nisia; the Tirol and Salzburg regions in Austria; </w:t>
            </w:r>
            <w:r w:rsidR="0002021E" w:rsidRPr="00352449">
              <w:t xml:space="preserve">Zeeland and Lindburg in the Netherlands; </w:t>
            </w:r>
            <w:r w:rsidR="00434DDD" w:rsidRPr="00352449">
              <w:t>and</w:t>
            </w:r>
            <w:r w:rsidR="0002021E" w:rsidRPr="00352449">
              <w:t xml:space="preserve"> Cornwall in the United Kingdom.</w:t>
            </w:r>
            <w:r w:rsidR="00434DDD" w:rsidRPr="00352449">
              <w:t xml:space="preserve"> </w:t>
            </w:r>
            <w:r w:rsidR="0002021E" w:rsidRPr="00352449">
              <w:t>From all this previous list of regions, though, only the Balearic Islands and Zeeland had more than 5,000 overnight stays per km</w:t>
            </w:r>
            <w:r w:rsidR="0002021E" w:rsidRPr="00352449">
              <w:rPr>
                <w:vertAlign w:val="superscript"/>
              </w:rPr>
              <w:t>2</w:t>
            </w:r>
            <w:r w:rsidR="0002021E" w:rsidRPr="00352449">
              <w:t xml:space="preserve"> in 2014.</w:t>
            </w:r>
          </w:p>
          <w:p w:rsidR="009D157F" w:rsidRPr="00352449" w:rsidRDefault="00445455" w:rsidP="00D249E2">
            <w:pPr>
              <w:spacing w:before="120"/>
            </w:pPr>
            <w:r w:rsidRPr="00352449">
              <w:rPr>
                <w:noProof/>
                <w:lang w:val="ca-ES" w:eastAsia="ca-ES"/>
              </w:rPr>
              <w:drawing>
                <wp:inline distT="0" distB="0" distL="0" distR="0" wp14:anchorId="28C31A42" wp14:editId="5FD31B49">
                  <wp:extent cx="4454499" cy="3152899"/>
                  <wp:effectExtent l="0" t="0" r="3810" b="0"/>
                  <wp:docPr id="9" name="Imagen 9" descr="D:\EEA Turisme\Activitats 2016 - TOUERM report\Indicator fact-sheets\Maps and graphs last version 17-10-2016\density\Tourism_Density_Overnights_tgs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EA Turisme\Activitats 2016 - TOUERM report\Indicator fact-sheets\Maps and graphs last version 17-10-2016\density\Tourism_Density_Overnights_tgs0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6814" cy="3154538"/>
                          </a:xfrm>
                          <a:prstGeom prst="rect">
                            <a:avLst/>
                          </a:prstGeom>
                          <a:noFill/>
                          <a:ln>
                            <a:noFill/>
                          </a:ln>
                        </pic:spPr>
                      </pic:pic>
                    </a:graphicData>
                  </a:graphic>
                </wp:inline>
              </w:drawing>
            </w:r>
          </w:p>
        </w:tc>
      </w:tr>
      <w:tr w:rsidR="001949EA" w:rsidRPr="00352449" w:rsidTr="00A13472">
        <w:tc>
          <w:tcPr>
            <w:tcW w:w="2297" w:type="dxa"/>
            <w:gridSpan w:val="3"/>
          </w:tcPr>
          <w:p w:rsidR="001949EA" w:rsidRPr="00352449" w:rsidRDefault="001949EA" w:rsidP="00841521">
            <w:pPr>
              <w:ind w:left="142"/>
              <w:jc w:val="left"/>
            </w:pPr>
            <w:r w:rsidRPr="00352449">
              <w:lastRenderedPageBreak/>
              <w:t>Specific policy question</w:t>
            </w:r>
          </w:p>
        </w:tc>
        <w:tc>
          <w:tcPr>
            <w:tcW w:w="7344" w:type="dxa"/>
          </w:tcPr>
          <w:p w:rsidR="001949EA" w:rsidRPr="00352449" w:rsidRDefault="001949EA" w:rsidP="001949EA">
            <w:pPr>
              <w:ind w:left="142"/>
            </w:pPr>
          </w:p>
        </w:tc>
      </w:tr>
      <w:tr w:rsidR="001949EA" w:rsidRPr="00352449" w:rsidTr="00A13472">
        <w:tc>
          <w:tcPr>
            <w:tcW w:w="2297" w:type="dxa"/>
            <w:gridSpan w:val="3"/>
          </w:tcPr>
          <w:p w:rsidR="001949EA" w:rsidRPr="00352449" w:rsidRDefault="001949EA" w:rsidP="001949EA">
            <w:pPr>
              <w:ind w:left="142"/>
            </w:pPr>
            <w:r w:rsidRPr="00352449">
              <w:t xml:space="preserve">Specific assessment </w:t>
            </w:r>
          </w:p>
        </w:tc>
        <w:tc>
          <w:tcPr>
            <w:tcW w:w="7344" w:type="dxa"/>
          </w:tcPr>
          <w:p w:rsidR="001949EA" w:rsidRPr="00352449" w:rsidRDefault="001949EA" w:rsidP="001949EA">
            <w:pPr>
              <w:ind w:left="142"/>
            </w:pPr>
          </w:p>
        </w:tc>
      </w:tr>
      <w:tr w:rsidR="001949EA" w:rsidRPr="00352449" w:rsidTr="00A13472">
        <w:tc>
          <w:tcPr>
            <w:tcW w:w="2297" w:type="dxa"/>
            <w:gridSpan w:val="3"/>
          </w:tcPr>
          <w:p w:rsidR="001949EA" w:rsidRPr="00352449" w:rsidRDefault="001949EA" w:rsidP="001949EA">
            <w:pPr>
              <w:ind w:left="142"/>
            </w:pPr>
            <w:r w:rsidRPr="00352449">
              <w:t>Examples</w:t>
            </w:r>
          </w:p>
        </w:tc>
        <w:tc>
          <w:tcPr>
            <w:tcW w:w="7344" w:type="dxa"/>
          </w:tcPr>
          <w:p w:rsidR="001949EA" w:rsidRPr="00352449" w:rsidRDefault="001949EA" w:rsidP="001949EA">
            <w:pPr>
              <w:ind w:left="142"/>
            </w:pPr>
          </w:p>
        </w:tc>
      </w:tr>
      <w:tr w:rsidR="001949EA" w:rsidRPr="00352449" w:rsidTr="00A13472">
        <w:tc>
          <w:tcPr>
            <w:tcW w:w="2297" w:type="dxa"/>
            <w:gridSpan w:val="3"/>
          </w:tcPr>
          <w:p w:rsidR="001949EA" w:rsidRPr="00352449" w:rsidRDefault="001949EA" w:rsidP="001949EA">
            <w:pPr>
              <w:ind w:left="142"/>
              <w:rPr>
                <w:b/>
              </w:rPr>
            </w:pPr>
            <w:r w:rsidRPr="00352449">
              <w:rPr>
                <w:b/>
              </w:rPr>
              <w:t>SPECIFICATIONS</w:t>
            </w:r>
          </w:p>
        </w:tc>
        <w:tc>
          <w:tcPr>
            <w:tcW w:w="7344" w:type="dxa"/>
          </w:tcPr>
          <w:p w:rsidR="001949EA" w:rsidRPr="00352449" w:rsidRDefault="001949EA" w:rsidP="001949EA">
            <w:pPr>
              <w:ind w:left="142"/>
            </w:pPr>
          </w:p>
        </w:tc>
      </w:tr>
      <w:tr w:rsidR="001949EA" w:rsidRPr="00352449" w:rsidTr="00A13472">
        <w:tc>
          <w:tcPr>
            <w:tcW w:w="2297" w:type="dxa"/>
            <w:gridSpan w:val="3"/>
          </w:tcPr>
          <w:p w:rsidR="001949EA" w:rsidRPr="00352449" w:rsidRDefault="001949EA" w:rsidP="001949EA">
            <w:pPr>
              <w:ind w:left="142"/>
              <w:rPr>
                <w:b/>
              </w:rPr>
            </w:pPr>
            <w:r w:rsidRPr="00352449">
              <w:t>Indicator definition</w:t>
            </w:r>
          </w:p>
        </w:tc>
        <w:tc>
          <w:tcPr>
            <w:tcW w:w="7344" w:type="dxa"/>
          </w:tcPr>
          <w:p w:rsidR="001949EA" w:rsidRPr="00352449" w:rsidRDefault="00FB1FDD" w:rsidP="00D54685">
            <w:pPr>
              <w:ind w:left="142"/>
              <w:rPr>
                <w:lang w:val="en-US"/>
              </w:rPr>
            </w:pPr>
            <w:r w:rsidRPr="00352449">
              <w:rPr>
                <w:lang w:val="en-US"/>
              </w:rPr>
              <w:t xml:space="preserve">The indicator shows the social intensity </w:t>
            </w:r>
            <w:r w:rsidR="00D54685" w:rsidRPr="00352449">
              <w:rPr>
                <w:lang w:val="en-US"/>
              </w:rPr>
              <w:t xml:space="preserve">geographical density </w:t>
            </w:r>
            <w:r w:rsidRPr="00352449">
              <w:rPr>
                <w:lang w:val="en-US"/>
              </w:rPr>
              <w:t>of tourism supply</w:t>
            </w:r>
            <w:r w:rsidR="00D54685" w:rsidRPr="00352449">
              <w:rPr>
                <w:lang w:val="en-US"/>
              </w:rPr>
              <w:t xml:space="preserve"> and demand.</w:t>
            </w:r>
            <w:r w:rsidRPr="00352449">
              <w:rPr>
                <w:lang w:val="en-US"/>
              </w:rPr>
              <w:t xml:space="preserve"> </w:t>
            </w:r>
            <w:r w:rsidR="00D54685" w:rsidRPr="00352449">
              <w:rPr>
                <w:lang w:val="en-US"/>
              </w:rPr>
              <w:t xml:space="preserve">From the supply side, it measures the density </w:t>
            </w:r>
            <w:r w:rsidRPr="00352449">
              <w:rPr>
                <w:lang w:val="en-US"/>
              </w:rPr>
              <w:t xml:space="preserve">specifically from the commercial lodging point of view (data is based on the number of official bed places </w:t>
            </w:r>
            <w:r w:rsidR="00BF487E" w:rsidRPr="00352449">
              <w:rPr>
                <w:lang w:val="en-US"/>
              </w:rPr>
              <w:t xml:space="preserve">in tourist accommodation establishments </w:t>
            </w:r>
            <w:r w:rsidRPr="00352449">
              <w:rPr>
                <w:lang w:val="en-US"/>
              </w:rPr>
              <w:t>available per each NUTS 2 region</w:t>
            </w:r>
            <w:r w:rsidR="00D54685" w:rsidRPr="00352449">
              <w:rPr>
                <w:lang w:val="en-US"/>
              </w:rPr>
              <w:t xml:space="preserve"> per km</w:t>
            </w:r>
            <w:r w:rsidR="00D54685" w:rsidRPr="00352449">
              <w:rPr>
                <w:vertAlign w:val="superscript"/>
                <w:lang w:val="en-US"/>
              </w:rPr>
              <w:t>2</w:t>
            </w:r>
            <w:r w:rsidR="00D54685" w:rsidRPr="00352449">
              <w:rPr>
                <w:lang w:val="en-US"/>
              </w:rPr>
              <w:t>.</w:t>
            </w:r>
            <w:r w:rsidRPr="00352449">
              <w:rPr>
                <w:lang w:val="en-US"/>
              </w:rPr>
              <w:t xml:space="preserve"> in relation to the </w:t>
            </w:r>
            <w:r w:rsidR="00CF0B5C" w:rsidRPr="00352449">
              <w:rPr>
                <w:lang w:val="en-US"/>
              </w:rPr>
              <w:t>surface</w:t>
            </w:r>
            <w:r w:rsidRPr="00352449">
              <w:rPr>
                <w:lang w:val="en-US"/>
              </w:rPr>
              <w:t xml:space="preserve"> of that region)</w:t>
            </w:r>
            <w:r w:rsidR="00D54685" w:rsidRPr="00352449">
              <w:rPr>
                <w:lang w:val="en-US"/>
              </w:rPr>
              <w:t>. From the demand side, it measures the</w:t>
            </w:r>
            <w:r w:rsidR="00BF487E" w:rsidRPr="00352449">
              <w:rPr>
                <w:lang w:val="en-US"/>
              </w:rPr>
              <w:t xml:space="preserve"> as well as tourism demand (</w:t>
            </w:r>
            <w:r w:rsidR="00D54685" w:rsidRPr="00352449">
              <w:rPr>
                <w:lang w:val="en-US"/>
              </w:rPr>
              <w:t xml:space="preserve"> </w:t>
            </w:r>
            <w:r w:rsidR="00BF487E" w:rsidRPr="00352449">
              <w:rPr>
                <w:lang w:val="en-US"/>
              </w:rPr>
              <w:t>overnights spend at tourist accommodation establishments) also per NUTS 2</w:t>
            </w:r>
            <w:r w:rsidRPr="00352449">
              <w:rPr>
                <w:lang w:val="en-US"/>
              </w:rPr>
              <w:t xml:space="preserve">. </w:t>
            </w:r>
            <w:r w:rsidR="00D54685" w:rsidRPr="00352449">
              <w:rPr>
                <w:lang w:val="en-US"/>
              </w:rPr>
              <w:t xml:space="preserve">Accordingly, it </w:t>
            </w:r>
            <w:r w:rsidRPr="00352449">
              <w:rPr>
                <w:lang w:val="en-US"/>
              </w:rPr>
              <w:t xml:space="preserve">is presented as </w:t>
            </w:r>
            <w:r w:rsidR="00BF487E" w:rsidRPr="00352449">
              <w:rPr>
                <w:lang w:val="en-US"/>
              </w:rPr>
              <w:t xml:space="preserve">two subindicators: 1) </w:t>
            </w:r>
            <w:r w:rsidRPr="00352449">
              <w:rPr>
                <w:lang w:val="en-US"/>
              </w:rPr>
              <w:t xml:space="preserve">number of </w:t>
            </w:r>
            <w:r w:rsidR="00CF0B5C" w:rsidRPr="00352449">
              <w:rPr>
                <w:lang w:val="en-US"/>
              </w:rPr>
              <w:t xml:space="preserve">available </w:t>
            </w:r>
            <w:r w:rsidRPr="00352449">
              <w:rPr>
                <w:lang w:val="en-US"/>
              </w:rPr>
              <w:t xml:space="preserve">beds per </w:t>
            </w:r>
            <w:r w:rsidR="00CF0B5C" w:rsidRPr="00352449">
              <w:rPr>
                <w:lang w:val="en-US"/>
              </w:rPr>
              <w:t>km</w:t>
            </w:r>
            <w:r w:rsidR="00CF0B5C" w:rsidRPr="00352449">
              <w:rPr>
                <w:vertAlign w:val="superscript"/>
                <w:lang w:val="en-US"/>
              </w:rPr>
              <w:t>2</w:t>
            </w:r>
            <w:r w:rsidR="00BF487E" w:rsidRPr="00352449">
              <w:rPr>
                <w:lang w:val="en-US"/>
              </w:rPr>
              <w:t xml:space="preserve"> (global, </w:t>
            </w:r>
            <w:r w:rsidRPr="00352449">
              <w:t>in urban areas, in rural areas, and in coastal areas</w:t>
            </w:r>
            <w:r w:rsidR="00BF487E" w:rsidRPr="00352449">
              <w:t xml:space="preserve">; and 2) </w:t>
            </w:r>
            <w:r w:rsidR="009D41AC" w:rsidRPr="00352449">
              <w:t>number of overnights spent in tourist accommodation establishments per km</w:t>
            </w:r>
            <w:r w:rsidR="009D41AC" w:rsidRPr="00352449">
              <w:rPr>
                <w:vertAlign w:val="superscript"/>
              </w:rPr>
              <w:t>2</w:t>
            </w:r>
          </w:p>
        </w:tc>
      </w:tr>
      <w:tr w:rsidR="001949EA" w:rsidRPr="00352449" w:rsidTr="00A13472">
        <w:tc>
          <w:tcPr>
            <w:tcW w:w="2297" w:type="dxa"/>
            <w:gridSpan w:val="3"/>
            <w:tcBorders>
              <w:bottom w:val="single" w:sz="4" w:space="0" w:color="auto"/>
            </w:tcBorders>
          </w:tcPr>
          <w:p w:rsidR="001949EA" w:rsidRPr="00352449" w:rsidRDefault="001949EA" w:rsidP="001949EA">
            <w:pPr>
              <w:ind w:left="142"/>
            </w:pPr>
            <w:r w:rsidRPr="00352449">
              <w:t>DPSIR</w:t>
            </w:r>
          </w:p>
        </w:tc>
        <w:tc>
          <w:tcPr>
            <w:tcW w:w="7344" w:type="dxa"/>
            <w:tcBorders>
              <w:bottom w:val="single" w:sz="4" w:space="0" w:color="auto"/>
            </w:tcBorders>
          </w:tcPr>
          <w:p w:rsidR="001949EA" w:rsidRPr="00352449" w:rsidRDefault="008011FA" w:rsidP="001949EA">
            <w:pPr>
              <w:ind w:left="142"/>
            </w:pPr>
            <w:r>
              <w:t>P</w:t>
            </w:r>
          </w:p>
        </w:tc>
      </w:tr>
      <w:tr w:rsidR="001949EA" w:rsidRPr="00352449" w:rsidTr="00A13472">
        <w:tc>
          <w:tcPr>
            <w:tcW w:w="2297" w:type="dxa"/>
            <w:gridSpan w:val="3"/>
            <w:tcBorders>
              <w:bottom w:val="single" w:sz="4" w:space="0" w:color="C4BC96" w:themeColor="background2" w:themeShade="BF"/>
            </w:tcBorders>
          </w:tcPr>
          <w:p w:rsidR="001949EA" w:rsidRPr="00352449" w:rsidRDefault="001949EA" w:rsidP="001949EA">
            <w:pPr>
              <w:ind w:left="142"/>
            </w:pPr>
            <w:r w:rsidRPr="00352449">
              <w:t>Justification</w:t>
            </w:r>
          </w:p>
        </w:tc>
        <w:tc>
          <w:tcPr>
            <w:tcW w:w="7344" w:type="dxa"/>
            <w:tcBorders>
              <w:bottom w:val="single" w:sz="4" w:space="0" w:color="C4BC96" w:themeColor="background2" w:themeShade="BF"/>
            </w:tcBorders>
          </w:tcPr>
          <w:p w:rsidR="001949EA" w:rsidRPr="00352449" w:rsidRDefault="001949EA" w:rsidP="001949EA">
            <w:pPr>
              <w:ind w:left="142"/>
            </w:pPr>
          </w:p>
        </w:tc>
      </w:tr>
      <w:tr w:rsidR="001949EA" w:rsidRPr="00352449" w:rsidTr="00A13472">
        <w:tc>
          <w:tcPr>
            <w:tcW w:w="825" w:type="dxa"/>
            <w:gridSpan w:val="2"/>
            <w:tcBorders>
              <w:top w:val="single" w:sz="4" w:space="0" w:color="C4BC96" w:themeColor="background2" w:themeShade="BF"/>
              <w:bottom w:val="nil"/>
              <w:right w:val="nil"/>
            </w:tcBorders>
          </w:tcPr>
          <w:p w:rsidR="001949EA" w:rsidRPr="00352449" w:rsidRDefault="001949EA" w:rsidP="001949EA">
            <w:pPr>
              <w:ind w:left="142"/>
            </w:pPr>
          </w:p>
        </w:tc>
        <w:tc>
          <w:tcPr>
            <w:tcW w:w="1472" w:type="dxa"/>
            <w:tcBorders>
              <w:top w:val="single" w:sz="4" w:space="0" w:color="C4BC96" w:themeColor="background2" w:themeShade="BF"/>
              <w:left w:val="nil"/>
            </w:tcBorders>
          </w:tcPr>
          <w:p w:rsidR="001949EA" w:rsidRPr="00352449" w:rsidRDefault="001949EA" w:rsidP="001949EA">
            <w:pPr>
              <w:ind w:left="142"/>
            </w:pPr>
            <w:r w:rsidRPr="00352449">
              <w:t>Rationale</w:t>
            </w:r>
          </w:p>
        </w:tc>
        <w:tc>
          <w:tcPr>
            <w:tcW w:w="7344" w:type="dxa"/>
            <w:tcBorders>
              <w:top w:val="single" w:sz="4" w:space="0" w:color="C4BC96" w:themeColor="background2" w:themeShade="BF"/>
            </w:tcBorders>
          </w:tcPr>
          <w:p w:rsidR="001949EA" w:rsidRPr="00352449" w:rsidRDefault="00FB1FDD" w:rsidP="009D157F">
            <w:pPr>
              <w:tabs>
                <w:tab w:val="left" w:pos="8127"/>
              </w:tabs>
              <w:ind w:left="142"/>
              <w:rPr>
                <w:lang w:val="en-US"/>
              </w:rPr>
            </w:pPr>
            <w:r w:rsidRPr="00352449">
              <w:rPr>
                <w:lang w:val="en-US"/>
              </w:rPr>
              <w:t xml:space="preserve">This indicator is highly relevant since it shows the relative importance of tourism lodging supply </w:t>
            </w:r>
            <w:r w:rsidR="009D157F" w:rsidRPr="00352449">
              <w:rPr>
                <w:lang w:val="en-US"/>
              </w:rPr>
              <w:t xml:space="preserve">as well as total annual overnight stays </w:t>
            </w:r>
            <w:r w:rsidRPr="00352449">
              <w:rPr>
                <w:lang w:val="en-US"/>
              </w:rPr>
              <w:t xml:space="preserve">in each territory in relation to its </w:t>
            </w:r>
            <w:r w:rsidR="00CF0B5C" w:rsidRPr="00352449">
              <w:rPr>
                <w:lang w:val="en-US"/>
              </w:rPr>
              <w:t>surface</w:t>
            </w:r>
            <w:r w:rsidRPr="00352449">
              <w:rPr>
                <w:lang w:val="en-US"/>
              </w:rPr>
              <w:t xml:space="preserve"> (</w:t>
            </w:r>
            <w:r w:rsidR="009D157F" w:rsidRPr="00352449">
              <w:rPr>
                <w:lang w:val="en-US"/>
              </w:rPr>
              <w:t xml:space="preserve">pressure </w:t>
            </w:r>
            <w:r w:rsidRPr="00352449">
              <w:rPr>
                <w:lang w:val="en-US"/>
              </w:rPr>
              <w:t xml:space="preserve">indicator). Tracking the number of available beds in a destination is also a way of measuring the </w:t>
            </w:r>
            <w:r w:rsidR="009D157F" w:rsidRPr="00352449">
              <w:rPr>
                <w:lang w:val="en-US"/>
              </w:rPr>
              <w:t xml:space="preserve">potential </w:t>
            </w:r>
            <w:r w:rsidRPr="00352449">
              <w:rPr>
                <w:lang w:val="en-US"/>
              </w:rPr>
              <w:t>impact of tourism on residents’ way of life.</w:t>
            </w:r>
          </w:p>
        </w:tc>
      </w:tr>
      <w:tr w:rsidR="001949EA" w:rsidRPr="00352449" w:rsidTr="00A13472">
        <w:tc>
          <w:tcPr>
            <w:tcW w:w="825" w:type="dxa"/>
            <w:gridSpan w:val="2"/>
            <w:tcBorders>
              <w:top w:val="nil"/>
              <w:right w:val="nil"/>
            </w:tcBorders>
          </w:tcPr>
          <w:p w:rsidR="001949EA" w:rsidRPr="00352449" w:rsidRDefault="001949EA" w:rsidP="001949EA">
            <w:pPr>
              <w:ind w:left="142"/>
              <w:rPr>
                <w:lang w:val="en-US"/>
              </w:rPr>
            </w:pPr>
          </w:p>
        </w:tc>
        <w:tc>
          <w:tcPr>
            <w:tcW w:w="1472" w:type="dxa"/>
            <w:tcBorders>
              <w:left w:val="nil"/>
            </w:tcBorders>
          </w:tcPr>
          <w:p w:rsidR="001949EA" w:rsidRPr="00352449" w:rsidRDefault="001949EA" w:rsidP="001949EA">
            <w:pPr>
              <w:ind w:left="142"/>
            </w:pPr>
            <w:r w:rsidRPr="00352449">
              <w:t>References</w:t>
            </w:r>
          </w:p>
        </w:tc>
        <w:tc>
          <w:tcPr>
            <w:tcW w:w="7344" w:type="dxa"/>
          </w:tcPr>
          <w:p w:rsidR="001949EA" w:rsidRPr="00352449" w:rsidRDefault="001949EA" w:rsidP="00E80A5C">
            <w:pPr>
              <w:ind w:left="142"/>
            </w:pPr>
          </w:p>
        </w:tc>
      </w:tr>
      <w:tr w:rsidR="001949EA" w:rsidRPr="00352449" w:rsidTr="00A13472">
        <w:tc>
          <w:tcPr>
            <w:tcW w:w="2297" w:type="dxa"/>
            <w:gridSpan w:val="3"/>
            <w:tcBorders>
              <w:bottom w:val="single" w:sz="4" w:space="0" w:color="C4BC96" w:themeColor="background2" w:themeShade="BF"/>
            </w:tcBorders>
          </w:tcPr>
          <w:p w:rsidR="001949EA" w:rsidRPr="00352449" w:rsidRDefault="001949EA" w:rsidP="001949EA">
            <w:pPr>
              <w:ind w:left="142"/>
            </w:pPr>
            <w:r w:rsidRPr="00352449">
              <w:t>Policy context</w:t>
            </w:r>
          </w:p>
        </w:tc>
        <w:tc>
          <w:tcPr>
            <w:tcW w:w="7344" w:type="dxa"/>
            <w:tcBorders>
              <w:bottom w:val="single" w:sz="4" w:space="0" w:color="C4BC96" w:themeColor="background2" w:themeShade="BF"/>
            </w:tcBorders>
          </w:tcPr>
          <w:p w:rsidR="001949EA" w:rsidRPr="00352449" w:rsidRDefault="001949EA" w:rsidP="001949EA">
            <w:pPr>
              <w:ind w:left="142"/>
            </w:pPr>
          </w:p>
        </w:tc>
      </w:tr>
      <w:tr w:rsidR="001949EA" w:rsidRPr="00352449" w:rsidTr="00A13472">
        <w:tc>
          <w:tcPr>
            <w:tcW w:w="825" w:type="dxa"/>
            <w:gridSpan w:val="2"/>
            <w:tcBorders>
              <w:top w:val="single" w:sz="4" w:space="0" w:color="C4BC96" w:themeColor="background2" w:themeShade="BF"/>
              <w:bottom w:val="nil"/>
              <w:right w:val="nil"/>
            </w:tcBorders>
          </w:tcPr>
          <w:p w:rsidR="001949EA" w:rsidRPr="00352449" w:rsidRDefault="001949EA" w:rsidP="001949EA">
            <w:pPr>
              <w:ind w:left="142"/>
            </w:pPr>
          </w:p>
        </w:tc>
        <w:tc>
          <w:tcPr>
            <w:tcW w:w="1472" w:type="dxa"/>
            <w:tcBorders>
              <w:top w:val="single" w:sz="4" w:space="0" w:color="C4BC96" w:themeColor="background2" w:themeShade="BF"/>
              <w:left w:val="nil"/>
            </w:tcBorders>
          </w:tcPr>
          <w:p w:rsidR="001949EA" w:rsidRPr="00352449" w:rsidRDefault="001949EA" w:rsidP="001949EA">
            <w:pPr>
              <w:ind w:left="142"/>
            </w:pPr>
            <w:r w:rsidRPr="00352449">
              <w:t>Policy context</w:t>
            </w:r>
          </w:p>
        </w:tc>
        <w:tc>
          <w:tcPr>
            <w:tcW w:w="7344" w:type="dxa"/>
            <w:tcBorders>
              <w:top w:val="single" w:sz="4" w:space="0" w:color="C4BC96" w:themeColor="background2" w:themeShade="BF"/>
            </w:tcBorders>
          </w:tcPr>
          <w:p w:rsidR="001949EA" w:rsidRPr="00352449" w:rsidRDefault="00FB1FDD" w:rsidP="001949EA">
            <w:pPr>
              <w:ind w:left="142"/>
              <w:rPr>
                <w:lang w:val="en-US"/>
              </w:rPr>
            </w:pPr>
            <w:r w:rsidRPr="00352449">
              <w:rPr>
                <w:lang w:val="en-US"/>
              </w:rPr>
              <w:t>EC and national policies on tourism and sustainable tourism.</w:t>
            </w:r>
          </w:p>
        </w:tc>
      </w:tr>
      <w:tr w:rsidR="001949EA" w:rsidRPr="00352449" w:rsidTr="00A13472">
        <w:tc>
          <w:tcPr>
            <w:tcW w:w="825" w:type="dxa"/>
            <w:gridSpan w:val="2"/>
            <w:tcBorders>
              <w:top w:val="nil"/>
              <w:bottom w:val="nil"/>
              <w:right w:val="nil"/>
            </w:tcBorders>
          </w:tcPr>
          <w:p w:rsidR="001949EA" w:rsidRPr="00352449" w:rsidRDefault="001949EA" w:rsidP="001949EA">
            <w:pPr>
              <w:ind w:left="142"/>
              <w:rPr>
                <w:lang w:val="en-US"/>
              </w:rPr>
            </w:pPr>
          </w:p>
        </w:tc>
        <w:tc>
          <w:tcPr>
            <w:tcW w:w="1472" w:type="dxa"/>
            <w:tcBorders>
              <w:left w:val="nil"/>
            </w:tcBorders>
          </w:tcPr>
          <w:p w:rsidR="001949EA" w:rsidRPr="00352449" w:rsidRDefault="001949EA" w:rsidP="001949EA">
            <w:pPr>
              <w:ind w:left="142"/>
            </w:pPr>
            <w:r w:rsidRPr="00352449">
              <w:t>Targets</w:t>
            </w:r>
          </w:p>
        </w:tc>
        <w:tc>
          <w:tcPr>
            <w:tcW w:w="7344" w:type="dxa"/>
          </w:tcPr>
          <w:p w:rsidR="001949EA" w:rsidRPr="00352449" w:rsidRDefault="00FB1FDD" w:rsidP="00CF0B5C">
            <w:pPr>
              <w:ind w:left="142"/>
              <w:rPr>
                <w:lang w:val="en-US"/>
              </w:rPr>
            </w:pPr>
            <w:r w:rsidRPr="00352449">
              <w:rPr>
                <w:lang w:val="en-US"/>
              </w:rPr>
              <w:t>Different depending on the region / country. Some mountain and rural regions</w:t>
            </w:r>
            <w:r w:rsidR="00752D8F" w:rsidRPr="00352449">
              <w:rPr>
                <w:lang w:val="en-US"/>
              </w:rPr>
              <w:t>,</w:t>
            </w:r>
            <w:r w:rsidRPr="00352449">
              <w:rPr>
                <w:lang w:val="en-US"/>
              </w:rPr>
              <w:t xml:space="preserve"> as well as some coastal regions show a high number of tourism supply </w:t>
            </w:r>
            <w:r w:rsidR="009D157F" w:rsidRPr="00352449">
              <w:rPr>
                <w:lang w:val="en-US"/>
              </w:rPr>
              <w:t xml:space="preserve">and overnight stays </w:t>
            </w:r>
            <w:r w:rsidRPr="00352449">
              <w:rPr>
                <w:lang w:val="en-US"/>
              </w:rPr>
              <w:t xml:space="preserve">in relation to their </w:t>
            </w:r>
            <w:r w:rsidR="00752D8F" w:rsidRPr="00352449">
              <w:rPr>
                <w:lang w:val="en-US"/>
              </w:rPr>
              <w:t>territory</w:t>
            </w:r>
            <w:r w:rsidRPr="00352449">
              <w:rPr>
                <w:lang w:val="en-US"/>
              </w:rPr>
              <w:t xml:space="preserve">. It would seem that in those areas it would be recommendable to control further growing in order to avoid the exceeding of the social carrying capacity. On the contrary, </w:t>
            </w:r>
            <w:r w:rsidR="00752D8F" w:rsidRPr="00352449">
              <w:rPr>
                <w:lang w:val="en-US"/>
              </w:rPr>
              <w:t>some rural regions have</w:t>
            </w:r>
            <w:r w:rsidRPr="00352449">
              <w:rPr>
                <w:lang w:val="en-US"/>
              </w:rPr>
              <w:t xml:space="preserve"> a low </w:t>
            </w:r>
            <w:r w:rsidR="00752D8F" w:rsidRPr="00352449">
              <w:rPr>
                <w:lang w:val="en-US"/>
              </w:rPr>
              <w:t xml:space="preserve">density </w:t>
            </w:r>
            <w:r w:rsidRPr="00352449">
              <w:rPr>
                <w:lang w:val="en-US"/>
              </w:rPr>
              <w:t>of tourism lodging supply</w:t>
            </w:r>
            <w:r w:rsidR="009D157F" w:rsidRPr="00352449">
              <w:rPr>
                <w:lang w:val="en-US"/>
              </w:rPr>
              <w:t xml:space="preserve"> and overnight stays</w:t>
            </w:r>
            <w:r w:rsidRPr="00352449">
              <w:rPr>
                <w:lang w:val="en-US"/>
              </w:rPr>
              <w:t xml:space="preserve">. </w:t>
            </w:r>
            <w:r w:rsidR="00752D8F" w:rsidRPr="00352449">
              <w:rPr>
                <w:lang w:val="en-US"/>
              </w:rPr>
              <w:t>They</w:t>
            </w:r>
            <w:r w:rsidRPr="00352449">
              <w:rPr>
                <w:lang w:val="en-US"/>
              </w:rPr>
              <w:t xml:space="preserve"> would</w:t>
            </w:r>
            <w:r w:rsidR="00752D8F" w:rsidRPr="00352449">
              <w:rPr>
                <w:lang w:val="en-US"/>
              </w:rPr>
              <w:t xml:space="preserve"> apparently have space to grow</w:t>
            </w:r>
            <w:r w:rsidRPr="00352449">
              <w:rPr>
                <w:lang w:val="en-US"/>
              </w:rPr>
              <w:t xml:space="preserve"> in the future</w:t>
            </w:r>
            <w:r w:rsidR="00752D8F" w:rsidRPr="00352449">
              <w:rPr>
                <w:lang w:val="en-US"/>
              </w:rPr>
              <w:t>, though specific assessments should be done in each case, considering specific territorial and environmental constraints</w:t>
            </w:r>
            <w:r w:rsidRPr="00352449">
              <w:rPr>
                <w:lang w:val="en-US"/>
              </w:rPr>
              <w:t>.</w:t>
            </w:r>
          </w:p>
        </w:tc>
      </w:tr>
      <w:tr w:rsidR="001949EA" w:rsidRPr="00352449" w:rsidTr="00A13472">
        <w:tc>
          <w:tcPr>
            <w:tcW w:w="825" w:type="dxa"/>
            <w:gridSpan w:val="2"/>
            <w:tcBorders>
              <w:top w:val="nil"/>
              <w:bottom w:val="single" w:sz="4" w:space="0" w:color="auto"/>
              <w:right w:val="nil"/>
            </w:tcBorders>
          </w:tcPr>
          <w:p w:rsidR="001949EA" w:rsidRPr="00352449" w:rsidRDefault="001949EA" w:rsidP="001949EA">
            <w:pPr>
              <w:ind w:left="142"/>
              <w:rPr>
                <w:lang w:val="en-US"/>
              </w:rPr>
            </w:pPr>
          </w:p>
        </w:tc>
        <w:tc>
          <w:tcPr>
            <w:tcW w:w="1472" w:type="dxa"/>
            <w:tcBorders>
              <w:left w:val="nil"/>
              <w:bottom w:val="single" w:sz="4" w:space="0" w:color="auto"/>
            </w:tcBorders>
          </w:tcPr>
          <w:p w:rsidR="001949EA" w:rsidRPr="00352449" w:rsidRDefault="001949EA" w:rsidP="001949EA">
            <w:pPr>
              <w:ind w:left="142"/>
            </w:pPr>
            <w:r w:rsidRPr="00352449">
              <w:t>Related policy documents</w:t>
            </w:r>
          </w:p>
        </w:tc>
        <w:tc>
          <w:tcPr>
            <w:tcW w:w="7344" w:type="dxa"/>
            <w:tcBorders>
              <w:bottom w:val="single" w:sz="4" w:space="0" w:color="auto"/>
            </w:tcBorders>
          </w:tcPr>
          <w:p w:rsidR="001949EA" w:rsidRPr="00352449" w:rsidRDefault="001949EA" w:rsidP="001949EA">
            <w:pPr>
              <w:ind w:left="142"/>
            </w:pPr>
          </w:p>
        </w:tc>
      </w:tr>
      <w:tr w:rsidR="001949EA" w:rsidRPr="00352449" w:rsidTr="00A13472">
        <w:tc>
          <w:tcPr>
            <w:tcW w:w="2297" w:type="dxa"/>
            <w:gridSpan w:val="3"/>
            <w:tcBorders>
              <w:bottom w:val="single" w:sz="4" w:space="0" w:color="C4BC96" w:themeColor="background2" w:themeShade="BF"/>
            </w:tcBorders>
          </w:tcPr>
          <w:p w:rsidR="001949EA" w:rsidRPr="00352449" w:rsidRDefault="001949EA" w:rsidP="001949EA">
            <w:pPr>
              <w:ind w:left="142"/>
            </w:pPr>
            <w:r w:rsidRPr="00352449">
              <w:t xml:space="preserve"> Methodology</w:t>
            </w:r>
          </w:p>
        </w:tc>
        <w:tc>
          <w:tcPr>
            <w:tcW w:w="7344" w:type="dxa"/>
            <w:tcBorders>
              <w:bottom w:val="single" w:sz="4" w:space="0" w:color="C4BC96" w:themeColor="background2" w:themeShade="BF"/>
            </w:tcBorders>
          </w:tcPr>
          <w:p w:rsidR="001949EA" w:rsidRPr="00352449" w:rsidRDefault="001949EA" w:rsidP="001949EA">
            <w:pPr>
              <w:ind w:left="142"/>
            </w:pPr>
          </w:p>
        </w:tc>
      </w:tr>
      <w:tr w:rsidR="001949EA" w:rsidRPr="00352449" w:rsidTr="00A13472">
        <w:tc>
          <w:tcPr>
            <w:tcW w:w="573" w:type="dxa"/>
            <w:tcBorders>
              <w:top w:val="single" w:sz="4" w:space="0" w:color="C4BC96" w:themeColor="background2" w:themeShade="BF"/>
              <w:bottom w:val="nil"/>
              <w:right w:val="nil"/>
            </w:tcBorders>
          </w:tcPr>
          <w:p w:rsidR="001949EA" w:rsidRPr="00352449" w:rsidRDefault="001949EA" w:rsidP="001949EA">
            <w:pPr>
              <w:ind w:left="142"/>
            </w:pPr>
          </w:p>
        </w:tc>
        <w:tc>
          <w:tcPr>
            <w:tcW w:w="1724" w:type="dxa"/>
            <w:gridSpan w:val="2"/>
            <w:tcBorders>
              <w:top w:val="single" w:sz="4" w:space="0" w:color="C4BC96" w:themeColor="background2" w:themeShade="BF"/>
              <w:left w:val="nil"/>
            </w:tcBorders>
          </w:tcPr>
          <w:p w:rsidR="001949EA" w:rsidRPr="00352449" w:rsidRDefault="001949EA" w:rsidP="001949EA">
            <w:pPr>
              <w:ind w:left="142"/>
              <w:jc w:val="left"/>
            </w:pPr>
            <w:r w:rsidRPr="00352449">
              <w:t>Methodology for indicator calculation</w:t>
            </w:r>
          </w:p>
        </w:tc>
        <w:tc>
          <w:tcPr>
            <w:tcW w:w="7344" w:type="dxa"/>
            <w:tcBorders>
              <w:top w:val="single" w:sz="4" w:space="0" w:color="C4BC96" w:themeColor="background2" w:themeShade="BF"/>
            </w:tcBorders>
          </w:tcPr>
          <w:p w:rsidR="00C91D75" w:rsidRPr="00352449" w:rsidRDefault="00CF0B5C" w:rsidP="009D157F">
            <w:pPr>
              <w:ind w:left="142"/>
            </w:pPr>
            <w:r w:rsidRPr="00352449">
              <w:t xml:space="preserve">The </w:t>
            </w:r>
            <w:r w:rsidR="009D157F" w:rsidRPr="00352449">
              <w:t>first sub</w:t>
            </w:r>
            <w:r w:rsidRPr="00352449">
              <w:t>i</w:t>
            </w:r>
            <w:r w:rsidR="00FB1FDD" w:rsidRPr="00352449">
              <w:rPr>
                <w:lang w:val="en-US"/>
              </w:rPr>
              <w:t xml:space="preserve">ndicator </w:t>
            </w:r>
            <w:r w:rsidRPr="00352449">
              <w:rPr>
                <w:lang w:val="en-US"/>
              </w:rPr>
              <w:t>has been</w:t>
            </w:r>
            <w:r w:rsidR="00FB1FDD" w:rsidRPr="00352449">
              <w:rPr>
                <w:lang w:val="en-US"/>
              </w:rPr>
              <w:t xml:space="preserve"> developed by calculating the ratio of number of commercial tourism lodging (bed places) divided by </w:t>
            </w:r>
            <w:r w:rsidRPr="00352449">
              <w:rPr>
                <w:lang w:val="en-US"/>
              </w:rPr>
              <w:t>the surface of the region (NUTS 2)</w:t>
            </w:r>
            <w:r w:rsidR="00FB1FDD" w:rsidRPr="00352449">
              <w:rPr>
                <w:lang w:val="en-US"/>
              </w:rPr>
              <w:t xml:space="preserve">. </w:t>
            </w:r>
            <w:r w:rsidR="00FB1FDD" w:rsidRPr="00352449">
              <w:t xml:space="preserve">Numbers are expressed as bed places per </w:t>
            </w:r>
            <w:r w:rsidRPr="00352449">
              <w:t>km</w:t>
            </w:r>
            <w:r w:rsidRPr="00352449">
              <w:rPr>
                <w:vertAlign w:val="superscript"/>
              </w:rPr>
              <w:t>2</w:t>
            </w:r>
            <w:r w:rsidR="00FB1FDD" w:rsidRPr="00352449">
              <w:t>.</w:t>
            </w:r>
            <w:r w:rsidRPr="00352449">
              <w:t xml:space="preserve"> </w:t>
            </w:r>
            <w:r w:rsidR="009D157F" w:rsidRPr="00352449">
              <w:t>T</w:t>
            </w:r>
            <w:r w:rsidR="00FB1FDD" w:rsidRPr="00352449">
              <w:t xml:space="preserve">he same methodology </w:t>
            </w:r>
            <w:r w:rsidR="009D157F" w:rsidRPr="00352449">
              <w:t xml:space="preserve">has also </w:t>
            </w:r>
            <w:r w:rsidR="00FB1FDD" w:rsidRPr="00352449">
              <w:t>been developed</w:t>
            </w:r>
            <w:r w:rsidR="009D157F" w:rsidRPr="00352449">
              <w:t xml:space="preserve"> for calculation of</w:t>
            </w:r>
            <w:r w:rsidR="00FB1FDD" w:rsidRPr="00352449">
              <w:t xml:space="preserve"> bed places </w:t>
            </w:r>
            <w:r w:rsidRPr="00352449">
              <w:t xml:space="preserve">density </w:t>
            </w:r>
            <w:r w:rsidR="00FB1FDD" w:rsidRPr="00352449">
              <w:t xml:space="preserve">in urban areas, bed places </w:t>
            </w:r>
            <w:r w:rsidRPr="00352449">
              <w:t xml:space="preserve">density </w:t>
            </w:r>
            <w:r w:rsidR="00FB1FDD" w:rsidRPr="00352449">
              <w:t>in rural areas, and bed places</w:t>
            </w:r>
            <w:r w:rsidRPr="00352449">
              <w:t xml:space="preserve"> density</w:t>
            </w:r>
            <w:r w:rsidR="00FB1FDD" w:rsidRPr="00352449">
              <w:t xml:space="preserve"> in coastal areas, in all these cases according to EUROSTAT classification of types of territory</w:t>
            </w:r>
            <w:r w:rsidR="00752D8F" w:rsidRPr="00352449">
              <w:t>.</w:t>
            </w:r>
          </w:p>
          <w:p w:rsidR="009D157F" w:rsidRPr="00352449" w:rsidRDefault="009D157F" w:rsidP="009D157F">
            <w:pPr>
              <w:ind w:left="142"/>
            </w:pPr>
            <w:r w:rsidRPr="00352449">
              <w:t>The second subindicator has been developed by calculating the ratio of total annual overnight stays in commercial tourist accommodations divided by the surface of the region (NUTS 2). Numbers are expressed as overnight stays per km</w:t>
            </w:r>
            <w:r w:rsidRPr="00352449">
              <w:rPr>
                <w:vertAlign w:val="superscript"/>
              </w:rPr>
              <w:t>2</w:t>
            </w:r>
            <w:r w:rsidRPr="00352449">
              <w:t>.</w:t>
            </w:r>
          </w:p>
        </w:tc>
      </w:tr>
      <w:tr w:rsidR="001949EA" w:rsidRPr="00352449" w:rsidTr="00A13472">
        <w:trPr>
          <w:cantSplit/>
        </w:trPr>
        <w:tc>
          <w:tcPr>
            <w:tcW w:w="573" w:type="dxa"/>
            <w:tcBorders>
              <w:top w:val="nil"/>
              <w:bottom w:val="nil"/>
              <w:right w:val="nil"/>
            </w:tcBorders>
          </w:tcPr>
          <w:p w:rsidR="001949EA" w:rsidRPr="00352449" w:rsidRDefault="001949EA" w:rsidP="001949EA">
            <w:pPr>
              <w:ind w:left="142"/>
            </w:pPr>
          </w:p>
        </w:tc>
        <w:tc>
          <w:tcPr>
            <w:tcW w:w="1724" w:type="dxa"/>
            <w:gridSpan w:val="2"/>
            <w:tcBorders>
              <w:left w:val="nil"/>
            </w:tcBorders>
          </w:tcPr>
          <w:p w:rsidR="001949EA" w:rsidRPr="00352449" w:rsidRDefault="001949EA" w:rsidP="001949EA">
            <w:pPr>
              <w:ind w:left="142"/>
            </w:pPr>
            <w:r w:rsidRPr="00352449">
              <w:t>Methodology for gap filling</w:t>
            </w:r>
          </w:p>
        </w:tc>
        <w:tc>
          <w:tcPr>
            <w:tcW w:w="7344" w:type="dxa"/>
          </w:tcPr>
          <w:p w:rsidR="001949EA" w:rsidRPr="00352449" w:rsidRDefault="001949EA" w:rsidP="001949EA">
            <w:pPr>
              <w:ind w:left="142"/>
            </w:pPr>
          </w:p>
        </w:tc>
      </w:tr>
      <w:tr w:rsidR="001949EA" w:rsidRPr="00352449" w:rsidTr="00A13472">
        <w:tc>
          <w:tcPr>
            <w:tcW w:w="573" w:type="dxa"/>
            <w:tcBorders>
              <w:top w:val="nil"/>
              <w:right w:val="nil"/>
            </w:tcBorders>
          </w:tcPr>
          <w:p w:rsidR="001949EA" w:rsidRPr="00352449" w:rsidRDefault="001949EA" w:rsidP="001949EA">
            <w:pPr>
              <w:ind w:left="142"/>
            </w:pPr>
          </w:p>
        </w:tc>
        <w:tc>
          <w:tcPr>
            <w:tcW w:w="1724" w:type="dxa"/>
            <w:gridSpan w:val="2"/>
            <w:tcBorders>
              <w:left w:val="nil"/>
            </w:tcBorders>
          </w:tcPr>
          <w:p w:rsidR="001949EA" w:rsidRPr="00352449" w:rsidRDefault="001949EA" w:rsidP="001949EA">
            <w:pPr>
              <w:ind w:left="142"/>
            </w:pPr>
            <w:r w:rsidRPr="00352449">
              <w:t>References</w:t>
            </w:r>
          </w:p>
        </w:tc>
        <w:tc>
          <w:tcPr>
            <w:tcW w:w="7344" w:type="dxa"/>
          </w:tcPr>
          <w:p w:rsidR="001949EA" w:rsidRPr="00352449" w:rsidRDefault="001949EA" w:rsidP="001949EA">
            <w:pPr>
              <w:ind w:left="142"/>
            </w:pPr>
          </w:p>
        </w:tc>
      </w:tr>
      <w:tr w:rsidR="001949EA" w:rsidRPr="00352449" w:rsidTr="00A13472">
        <w:tc>
          <w:tcPr>
            <w:tcW w:w="2297" w:type="dxa"/>
            <w:gridSpan w:val="3"/>
            <w:tcBorders>
              <w:bottom w:val="single" w:sz="4" w:space="0" w:color="auto"/>
            </w:tcBorders>
          </w:tcPr>
          <w:p w:rsidR="001949EA" w:rsidRPr="00352449" w:rsidRDefault="001949EA" w:rsidP="001949EA">
            <w:pPr>
              <w:ind w:left="142"/>
            </w:pPr>
            <w:r w:rsidRPr="00352449">
              <w:t>Data specifications</w:t>
            </w:r>
          </w:p>
        </w:tc>
        <w:tc>
          <w:tcPr>
            <w:tcW w:w="7344" w:type="dxa"/>
            <w:tcBorders>
              <w:bottom w:val="single" w:sz="4" w:space="0" w:color="auto"/>
            </w:tcBorders>
          </w:tcPr>
          <w:p w:rsidR="00A13472" w:rsidRPr="00A13472" w:rsidRDefault="00FB1FDD" w:rsidP="00A13472">
            <w:pPr>
              <w:ind w:left="142"/>
              <w:rPr>
                <w:lang w:val="fr-FR"/>
              </w:rPr>
            </w:pPr>
            <w:r w:rsidRPr="00352449">
              <w:rPr>
                <w:lang w:val="fr-FR"/>
              </w:rPr>
              <w:t>Data comes from EUROSTAT</w:t>
            </w:r>
            <w:r w:rsidR="00E8144D" w:rsidRPr="00352449">
              <w:rPr>
                <w:lang w:val="fr-FR"/>
              </w:rPr>
              <w:t xml:space="preserve"> (tour_cap_nuts</w:t>
            </w:r>
            <w:proofErr w:type="gramStart"/>
            <w:r w:rsidR="00E8144D" w:rsidRPr="00352449">
              <w:rPr>
                <w:lang w:val="fr-FR"/>
              </w:rPr>
              <w:t>2;</w:t>
            </w:r>
            <w:proofErr w:type="gramEnd"/>
            <w:r w:rsidR="00E8144D" w:rsidRPr="00352449">
              <w:rPr>
                <w:lang w:val="fr-FR"/>
              </w:rPr>
              <w:t xml:space="preserve"> tour_cap_nuts2c; tour_cap_nuts2d; tgs00111)</w:t>
            </w:r>
            <w:r w:rsidRPr="00352449">
              <w:rPr>
                <w:lang w:val="fr-FR"/>
              </w:rPr>
              <w:t>.</w:t>
            </w:r>
            <w:r w:rsidR="00A13472">
              <w:rPr>
                <w:lang w:val="fr-FR"/>
              </w:rPr>
              <w:t xml:space="preserve"> </w:t>
            </w:r>
            <w:r w:rsidR="00A13472" w:rsidRPr="00A13472">
              <w:rPr>
                <w:lang w:val="fr-FR"/>
              </w:rPr>
              <w:t xml:space="preserve">Data from Albania, Bosnia and Hercegovina and Switzerland is reported at NUTS0. </w:t>
            </w:r>
          </w:p>
          <w:p w:rsidR="001949EA" w:rsidRPr="00352449" w:rsidRDefault="00A13472" w:rsidP="00A13472">
            <w:pPr>
              <w:ind w:left="142"/>
              <w:rPr>
                <w:lang w:val="fr-FR"/>
              </w:rPr>
            </w:pPr>
            <w:r w:rsidRPr="00A13472">
              <w:rPr>
                <w:lang w:val="fr-FR"/>
              </w:rPr>
              <w:t>Data from Switzerland and Turkey has been provided by national tourism statistics.</w:t>
            </w:r>
            <w:bookmarkStart w:id="0" w:name="_GoBack"/>
            <w:bookmarkEnd w:id="0"/>
          </w:p>
        </w:tc>
      </w:tr>
      <w:tr w:rsidR="001949EA" w:rsidRPr="00352449" w:rsidTr="00A13472">
        <w:tc>
          <w:tcPr>
            <w:tcW w:w="2297" w:type="dxa"/>
            <w:gridSpan w:val="3"/>
            <w:tcBorders>
              <w:bottom w:val="single" w:sz="4" w:space="0" w:color="C4BC96" w:themeColor="background2" w:themeShade="BF"/>
            </w:tcBorders>
          </w:tcPr>
          <w:p w:rsidR="001949EA" w:rsidRPr="00352449" w:rsidRDefault="001949EA" w:rsidP="001949EA">
            <w:pPr>
              <w:ind w:left="142"/>
            </w:pPr>
            <w:r w:rsidRPr="00352449">
              <w:rPr>
                <w:lang w:val="fr-FR"/>
              </w:rPr>
              <w:t xml:space="preserve"> </w:t>
            </w:r>
            <w:r w:rsidRPr="00352449">
              <w:t>Uncertainties</w:t>
            </w:r>
          </w:p>
        </w:tc>
        <w:tc>
          <w:tcPr>
            <w:tcW w:w="7344" w:type="dxa"/>
            <w:tcBorders>
              <w:bottom w:val="single" w:sz="4" w:space="0" w:color="C4BC96" w:themeColor="background2" w:themeShade="BF"/>
            </w:tcBorders>
          </w:tcPr>
          <w:p w:rsidR="001949EA" w:rsidRPr="00352449" w:rsidRDefault="001949EA" w:rsidP="001949EA">
            <w:pPr>
              <w:ind w:left="142"/>
            </w:pPr>
          </w:p>
        </w:tc>
      </w:tr>
      <w:tr w:rsidR="001949EA" w:rsidRPr="00352449" w:rsidTr="00A13472">
        <w:tc>
          <w:tcPr>
            <w:tcW w:w="573" w:type="dxa"/>
            <w:tcBorders>
              <w:top w:val="single" w:sz="4" w:space="0" w:color="C4BC96" w:themeColor="background2" w:themeShade="BF"/>
              <w:bottom w:val="nil"/>
              <w:right w:val="nil"/>
            </w:tcBorders>
          </w:tcPr>
          <w:p w:rsidR="001949EA" w:rsidRPr="00352449" w:rsidRDefault="001949EA" w:rsidP="001949EA">
            <w:pPr>
              <w:ind w:left="142"/>
            </w:pPr>
          </w:p>
        </w:tc>
        <w:tc>
          <w:tcPr>
            <w:tcW w:w="1724" w:type="dxa"/>
            <w:gridSpan w:val="2"/>
            <w:tcBorders>
              <w:top w:val="single" w:sz="4" w:space="0" w:color="C4BC96" w:themeColor="background2" w:themeShade="BF"/>
              <w:left w:val="nil"/>
            </w:tcBorders>
          </w:tcPr>
          <w:p w:rsidR="001949EA" w:rsidRPr="00352449" w:rsidRDefault="001949EA" w:rsidP="001949EA">
            <w:pPr>
              <w:ind w:left="142"/>
            </w:pPr>
            <w:r w:rsidRPr="00352449">
              <w:t>Methodology uncertainty</w:t>
            </w:r>
          </w:p>
        </w:tc>
        <w:tc>
          <w:tcPr>
            <w:tcW w:w="7344" w:type="dxa"/>
            <w:tcBorders>
              <w:top w:val="single" w:sz="4" w:space="0" w:color="C4BC96" w:themeColor="background2" w:themeShade="BF"/>
            </w:tcBorders>
          </w:tcPr>
          <w:p w:rsidR="001949EA" w:rsidRPr="00352449" w:rsidRDefault="001949EA" w:rsidP="001949EA">
            <w:pPr>
              <w:ind w:left="142"/>
            </w:pPr>
          </w:p>
        </w:tc>
      </w:tr>
      <w:tr w:rsidR="001949EA" w:rsidRPr="00352449" w:rsidTr="00A13472">
        <w:tc>
          <w:tcPr>
            <w:tcW w:w="573" w:type="dxa"/>
            <w:tcBorders>
              <w:top w:val="nil"/>
              <w:bottom w:val="nil"/>
              <w:right w:val="nil"/>
            </w:tcBorders>
          </w:tcPr>
          <w:p w:rsidR="001949EA" w:rsidRPr="00352449" w:rsidRDefault="001949EA" w:rsidP="001949EA">
            <w:pPr>
              <w:ind w:left="142"/>
            </w:pPr>
          </w:p>
        </w:tc>
        <w:tc>
          <w:tcPr>
            <w:tcW w:w="1724" w:type="dxa"/>
            <w:gridSpan w:val="2"/>
            <w:tcBorders>
              <w:left w:val="nil"/>
            </w:tcBorders>
          </w:tcPr>
          <w:p w:rsidR="001949EA" w:rsidRPr="00352449" w:rsidRDefault="001949EA" w:rsidP="001949EA">
            <w:pPr>
              <w:ind w:left="142"/>
              <w:jc w:val="left"/>
            </w:pPr>
            <w:r w:rsidRPr="00352449">
              <w:t>Data sets uncertainties</w:t>
            </w:r>
          </w:p>
        </w:tc>
        <w:tc>
          <w:tcPr>
            <w:tcW w:w="7344" w:type="dxa"/>
          </w:tcPr>
          <w:p w:rsidR="001949EA" w:rsidRPr="00352449" w:rsidRDefault="00AE1EA0" w:rsidP="009D157F">
            <w:pPr>
              <w:pStyle w:val="Textocomentario"/>
              <w:ind w:left="142"/>
              <w:jc w:val="both"/>
              <w:rPr>
                <w:rFonts w:ascii="Times New Roman" w:hAnsi="Times New Roman"/>
                <w:sz w:val="24"/>
                <w:szCs w:val="24"/>
              </w:rPr>
            </w:pPr>
            <w:r w:rsidRPr="00352449">
              <w:rPr>
                <w:rFonts w:ascii="Times New Roman" w:hAnsi="Times New Roman"/>
                <w:sz w:val="24"/>
                <w:szCs w:val="24"/>
                <w:lang w:val="sk-SK"/>
              </w:rPr>
              <w:t>Data only takes in consideration official commercial establishments</w:t>
            </w:r>
            <w:r w:rsidRPr="00352449">
              <w:rPr>
                <w:rFonts w:ascii="Times New Roman" w:hAnsi="Times New Roman"/>
                <w:b/>
                <w:sz w:val="24"/>
                <w:szCs w:val="24"/>
                <w:lang w:val="sk-SK"/>
              </w:rPr>
              <w:t xml:space="preserve">. </w:t>
            </w:r>
            <w:r w:rsidRPr="00352449">
              <w:rPr>
                <w:rFonts w:ascii="Times New Roman" w:hAnsi="Times New Roman"/>
                <w:sz w:val="24"/>
                <w:szCs w:val="24"/>
                <w:lang w:val="sk-SK"/>
              </w:rPr>
              <w:t>It does not cover other types of tourism accomodation (B&amp;B, sharing economy establishments, second homes, etc.).</w:t>
            </w:r>
            <w:r w:rsidR="00FB1FDD" w:rsidRPr="00352449">
              <w:rPr>
                <w:rFonts w:ascii="Times New Roman" w:hAnsi="Times New Roman"/>
                <w:sz w:val="24"/>
                <w:szCs w:val="24"/>
              </w:rPr>
              <w:t>.</w:t>
            </w:r>
          </w:p>
        </w:tc>
      </w:tr>
      <w:tr w:rsidR="001949EA" w:rsidRPr="00352449" w:rsidTr="00A13472">
        <w:tc>
          <w:tcPr>
            <w:tcW w:w="573" w:type="dxa"/>
            <w:tcBorders>
              <w:top w:val="nil"/>
              <w:right w:val="nil"/>
            </w:tcBorders>
          </w:tcPr>
          <w:p w:rsidR="001949EA" w:rsidRPr="00352449" w:rsidRDefault="001949EA" w:rsidP="001949EA">
            <w:pPr>
              <w:ind w:left="142"/>
              <w:rPr>
                <w:lang w:val="en-US"/>
              </w:rPr>
            </w:pPr>
          </w:p>
        </w:tc>
        <w:tc>
          <w:tcPr>
            <w:tcW w:w="1724" w:type="dxa"/>
            <w:gridSpan w:val="2"/>
            <w:tcBorders>
              <w:left w:val="nil"/>
            </w:tcBorders>
          </w:tcPr>
          <w:p w:rsidR="001949EA" w:rsidRPr="00352449" w:rsidRDefault="001949EA" w:rsidP="001949EA">
            <w:pPr>
              <w:ind w:left="142"/>
            </w:pPr>
            <w:r w:rsidRPr="00352449">
              <w:t xml:space="preserve">Rationale </w:t>
            </w:r>
            <w:r w:rsidRPr="00352449">
              <w:lastRenderedPageBreak/>
              <w:t>uncertainty</w:t>
            </w:r>
          </w:p>
        </w:tc>
        <w:tc>
          <w:tcPr>
            <w:tcW w:w="7344" w:type="dxa"/>
          </w:tcPr>
          <w:p w:rsidR="001949EA" w:rsidRPr="00352449" w:rsidRDefault="00FB1FDD" w:rsidP="001949EA">
            <w:pPr>
              <w:ind w:left="142"/>
              <w:rPr>
                <w:lang w:val="en-US"/>
              </w:rPr>
            </w:pPr>
            <w:r w:rsidRPr="00352449">
              <w:rPr>
                <w:lang w:val="en-US"/>
              </w:rPr>
              <w:lastRenderedPageBreak/>
              <w:t>Same comment as data sets uncertainties.</w:t>
            </w:r>
          </w:p>
        </w:tc>
      </w:tr>
      <w:tr w:rsidR="001949EA" w:rsidRPr="00352449" w:rsidTr="00A13472">
        <w:tc>
          <w:tcPr>
            <w:tcW w:w="2297" w:type="dxa"/>
            <w:gridSpan w:val="3"/>
          </w:tcPr>
          <w:p w:rsidR="001949EA" w:rsidRPr="00352449" w:rsidRDefault="001949EA" w:rsidP="001949EA">
            <w:pPr>
              <w:ind w:left="142"/>
            </w:pPr>
            <w:r w:rsidRPr="00352449">
              <w:t>Further work</w:t>
            </w:r>
          </w:p>
        </w:tc>
        <w:tc>
          <w:tcPr>
            <w:tcW w:w="7344" w:type="dxa"/>
          </w:tcPr>
          <w:p w:rsidR="001949EA" w:rsidRPr="00352449" w:rsidRDefault="00FB1FDD" w:rsidP="00E80A5C">
            <w:pPr>
              <w:ind w:left="142"/>
              <w:rPr>
                <w:lang w:val="en-US"/>
              </w:rPr>
            </w:pPr>
            <w:r w:rsidRPr="00352449">
              <w:rPr>
                <w:lang w:val="en-US"/>
              </w:rPr>
              <w:t>Data needs to be regularly updated. This will allow analyzing trends.</w:t>
            </w:r>
          </w:p>
        </w:tc>
      </w:tr>
      <w:tr w:rsidR="001949EA" w:rsidRPr="0011039F" w:rsidTr="00A13472">
        <w:tc>
          <w:tcPr>
            <w:tcW w:w="2297" w:type="dxa"/>
            <w:gridSpan w:val="3"/>
          </w:tcPr>
          <w:p w:rsidR="001949EA" w:rsidRPr="00352449" w:rsidRDefault="001949EA" w:rsidP="001949EA">
            <w:pPr>
              <w:ind w:left="142"/>
              <w:jc w:val="left"/>
            </w:pPr>
            <w:r w:rsidRPr="00352449">
              <w:t xml:space="preserve">Ownership and contacts </w:t>
            </w:r>
          </w:p>
        </w:tc>
        <w:tc>
          <w:tcPr>
            <w:tcW w:w="7344" w:type="dxa"/>
          </w:tcPr>
          <w:p w:rsidR="001949EA" w:rsidRPr="0011039F" w:rsidRDefault="00FB1FDD" w:rsidP="001949EA">
            <w:pPr>
              <w:ind w:left="142"/>
            </w:pPr>
            <w:r w:rsidRPr="00352449">
              <w:t>ETC – ULS</w:t>
            </w:r>
          </w:p>
        </w:tc>
      </w:tr>
    </w:tbl>
    <w:p w:rsidR="001949EA" w:rsidRDefault="001949EA" w:rsidP="00C91D75">
      <w:pPr>
        <w:jc w:val="left"/>
        <w:rPr>
          <w:lang w:val="en-US"/>
        </w:rPr>
      </w:pPr>
    </w:p>
    <w:sectPr w:rsidR="001949EA" w:rsidSect="001949EA">
      <w:pgSz w:w="11906" w:h="16838"/>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3D2"/>
    <w:multiLevelType w:val="hybridMultilevel"/>
    <w:tmpl w:val="1FC4EE76"/>
    <w:lvl w:ilvl="0" w:tplc="3BB296EA">
      <w:numFmt w:val="bullet"/>
      <w:lvlText w:val="-"/>
      <w:lvlJc w:val="left"/>
      <w:pPr>
        <w:tabs>
          <w:tab w:val="num" w:pos="502"/>
        </w:tabs>
        <w:ind w:left="502" w:hanging="360"/>
      </w:pPr>
      <w:rPr>
        <w:rFonts w:ascii="Times New Roman" w:eastAsia="ヒラギノ角ゴ Pro W3" w:hAnsi="Times New Roman" w:hint="default"/>
      </w:rPr>
    </w:lvl>
    <w:lvl w:ilvl="1" w:tplc="04030003" w:tentative="1">
      <w:start w:val="1"/>
      <w:numFmt w:val="bullet"/>
      <w:lvlText w:val="o"/>
      <w:lvlJc w:val="left"/>
      <w:pPr>
        <w:tabs>
          <w:tab w:val="num" w:pos="1222"/>
        </w:tabs>
        <w:ind w:left="1222" w:hanging="360"/>
      </w:pPr>
      <w:rPr>
        <w:rFonts w:ascii="Courier New" w:hAnsi="Courier New" w:hint="default"/>
      </w:rPr>
    </w:lvl>
    <w:lvl w:ilvl="2" w:tplc="04030005" w:tentative="1">
      <w:start w:val="1"/>
      <w:numFmt w:val="bullet"/>
      <w:lvlText w:val=""/>
      <w:lvlJc w:val="left"/>
      <w:pPr>
        <w:tabs>
          <w:tab w:val="num" w:pos="1942"/>
        </w:tabs>
        <w:ind w:left="1942" w:hanging="360"/>
      </w:pPr>
      <w:rPr>
        <w:rFonts w:ascii="Wingdings" w:hAnsi="Wingdings" w:hint="default"/>
      </w:rPr>
    </w:lvl>
    <w:lvl w:ilvl="3" w:tplc="04030001" w:tentative="1">
      <w:start w:val="1"/>
      <w:numFmt w:val="bullet"/>
      <w:lvlText w:val=""/>
      <w:lvlJc w:val="left"/>
      <w:pPr>
        <w:tabs>
          <w:tab w:val="num" w:pos="2662"/>
        </w:tabs>
        <w:ind w:left="2662" w:hanging="360"/>
      </w:pPr>
      <w:rPr>
        <w:rFonts w:ascii="Symbol" w:hAnsi="Symbol" w:hint="default"/>
      </w:rPr>
    </w:lvl>
    <w:lvl w:ilvl="4" w:tplc="04030003" w:tentative="1">
      <w:start w:val="1"/>
      <w:numFmt w:val="bullet"/>
      <w:lvlText w:val="o"/>
      <w:lvlJc w:val="left"/>
      <w:pPr>
        <w:tabs>
          <w:tab w:val="num" w:pos="3382"/>
        </w:tabs>
        <w:ind w:left="3382" w:hanging="360"/>
      </w:pPr>
      <w:rPr>
        <w:rFonts w:ascii="Courier New" w:hAnsi="Courier New" w:hint="default"/>
      </w:rPr>
    </w:lvl>
    <w:lvl w:ilvl="5" w:tplc="04030005" w:tentative="1">
      <w:start w:val="1"/>
      <w:numFmt w:val="bullet"/>
      <w:lvlText w:val=""/>
      <w:lvlJc w:val="left"/>
      <w:pPr>
        <w:tabs>
          <w:tab w:val="num" w:pos="4102"/>
        </w:tabs>
        <w:ind w:left="4102" w:hanging="360"/>
      </w:pPr>
      <w:rPr>
        <w:rFonts w:ascii="Wingdings" w:hAnsi="Wingdings" w:hint="default"/>
      </w:rPr>
    </w:lvl>
    <w:lvl w:ilvl="6" w:tplc="04030001" w:tentative="1">
      <w:start w:val="1"/>
      <w:numFmt w:val="bullet"/>
      <w:lvlText w:val=""/>
      <w:lvlJc w:val="left"/>
      <w:pPr>
        <w:tabs>
          <w:tab w:val="num" w:pos="4822"/>
        </w:tabs>
        <w:ind w:left="4822" w:hanging="360"/>
      </w:pPr>
      <w:rPr>
        <w:rFonts w:ascii="Symbol" w:hAnsi="Symbol" w:hint="default"/>
      </w:rPr>
    </w:lvl>
    <w:lvl w:ilvl="7" w:tplc="04030003" w:tentative="1">
      <w:start w:val="1"/>
      <w:numFmt w:val="bullet"/>
      <w:lvlText w:val="o"/>
      <w:lvlJc w:val="left"/>
      <w:pPr>
        <w:tabs>
          <w:tab w:val="num" w:pos="5542"/>
        </w:tabs>
        <w:ind w:left="5542" w:hanging="360"/>
      </w:pPr>
      <w:rPr>
        <w:rFonts w:ascii="Courier New" w:hAnsi="Courier New" w:hint="default"/>
      </w:rPr>
    </w:lvl>
    <w:lvl w:ilvl="8" w:tplc="0403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3E655DCE"/>
    <w:multiLevelType w:val="hybridMultilevel"/>
    <w:tmpl w:val="4D588C24"/>
    <w:lvl w:ilvl="0" w:tplc="6316BB5C">
      <w:start w:val="13"/>
      <w:numFmt w:val="bullet"/>
      <w:lvlText w:val="-"/>
      <w:lvlJc w:val="left"/>
      <w:pPr>
        <w:ind w:left="506" w:hanging="360"/>
      </w:pPr>
      <w:rPr>
        <w:rFonts w:ascii="Times New Roman" w:eastAsia="ヒラギノ角ゴ Pro W3" w:hAnsi="Times New Roman" w:cs="Times New Roman" w:hint="default"/>
      </w:rPr>
    </w:lvl>
    <w:lvl w:ilvl="1" w:tplc="04030003" w:tentative="1">
      <w:start w:val="1"/>
      <w:numFmt w:val="bullet"/>
      <w:lvlText w:val="o"/>
      <w:lvlJc w:val="left"/>
      <w:pPr>
        <w:ind w:left="1226" w:hanging="360"/>
      </w:pPr>
      <w:rPr>
        <w:rFonts w:ascii="Courier New" w:hAnsi="Courier New" w:cs="Courier New" w:hint="default"/>
      </w:rPr>
    </w:lvl>
    <w:lvl w:ilvl="2" w:tplc="04030005" w:tentative="1">
      <w:start w:val="1"/>
      <w:numFmt w:val="bullet"/>
      <w:lvlText w:val=""/>
      <w:lvlJc w:val="left"/>
      <w:pPr>
        <w:ind w:left="1946" w:hanging="360"/>
      </w:pPr>
      <w:rPr>
        <w:rFonts w:ascii="Wingdings" w:hAnsi="Wingdings" w:hint="default"/>
      </w:rPr>
    </w:lvl>
    <w:lvl w:ilvl="3" w:tplc="04030001" w:tentative="1">
      <w:start w:val="1"/>
      <w:numFmt w:val="bullet"/>
      <w:lvlText w:val=""/>
      <w:lvlJc w:val="left"/>
      <w:pPr>
        <w:ind w:left="2666" w:hanging="360"/>
      </w:pPr>
      <w:rPr>
        <w:rFonts w:ascii="Symbol" w:hAnsi="Symbol" w:hint="default"/>
      </w:rPr>
    </w:lvl>
    <w:lvl w:ilvl="4" w:tplc="04030003" w:tentative="1">
      <w:start w:val="1"/>
      <w:numFmt w:val="bullet"/>
      <w:lvlText w:val="o"/>
      <w:lvlJc w:val="left"/>
      <w:pPr>
        <w:ind w:left="3386" w:hanging="360"/>
      </w:pPr>
      <w:rPr>
        <w:rFonts w:ascii="Courier New" w:hAnsi="Courier New" w:cs="Courier New" w:hint="default"/>
      </w:rPr>
    </w:lvl>
    <w:lvl w:ilvl="5" w:tplc="04030005" w:tentative="1">
      <w:start w:val="1"/>
      <w:numFmt w:val="bullet"/>
      <w:lvlText w:val=""/>
      <w:lvlJc w:val="left"/>
      <w:pPr>
        <w:ind w:left="4106" w:hanging="360"/>
      </w:pPr>
      <w:rPr>
        <w:rFonts w:ascii="Wingdings" w:hAnsi="Wingdings" w:hint="default"/>
      </w:rPr>
    </w:lvl>
    <w:lvl w:ilvl="6" w:tplc="04030001" w:tentative="1">
      <w:start w:val="1"/>
      <w:numFmt w:val="bullet"/>
      <w:lvlText w:val=""/>
      <w:lvlJc w:val="left"/>
      <w:pPr>
        <w:ind w:left="4826" w:hanging="360"/>
      </w:pPr>
      <w:rPr>
        <w:rFonts w:ascii="Symbol" w:hAnsi="Symbol" w:hint="default"/>
      </w:rPr>
    </w:lvl>
    <w:lvl w:ilvl="7" w:tplc="04030003" w:tentative="1">
      <w:start w:val="1"/>
      <w:numFmt w:val="bullet"/>
      <w:lvlText w:val="o"/>
      <w:lvlJc w:val="left"/>
      <w:pPr>
        <w:ind w:left="5546" w:hanging="360"/>
      </w:pPr>
      <w:rPr>
        <w:rFonts w:ascii="Courier New" w:hAnsi="Courier New" w:cs="Courier New" w:hint="default"/>
      </w:rPr>
    </w:lvl>
    <w:lvl w:ilvl="8" w:tplc="04030005" w:tentative="1">
      <w:start w:val="1"/>
      <w:numFmt w:val="bullet"/>
      <w:lvlText w:val=""/>
      <w:lvlJc w:val="left"/>
      <w:pPr>
        <w:ind w:left="626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EA"/>
    <w:rsid w:val="00005AE7"/>
    <w:rsid w:val="0002021E"/>
    <w:rsid w:val="00040F85"/>
    <w:rsid w:val="000906B0"/>
    <w:rsid w:val="00093E7D"/>
    <w:rsid w:val="000C6C72"/>
    <w:rsid w:val="00126BBD"/>
    <w:rsid w:val="00127B8D"/>
    <w:rsid w:val="001949EA"/>
    <w:rsid w:val="002426E7"/>
    <w:rsid w:val="00253668"/>
    <w:rsid w:val="002741B5"/>
    <w:rsid w:val="0029618D"/>
    <w:rsid w:val="00307BC9"/>
    <w:rsid w:val="00310AC0"/>
    <w:rsid w:val="00352449"/>
    <w:rsid w:val="003C7687"/>
    <w:rsid w:val="00420415"/>
    <w:rsid w:val="00434DDD"/>
    <w:rsid w:val="00445455"/>
    <w:rsid w:val="00447F24"/>
    <w:rsid w:val="00456402"/>
    <w:rsid w:val="004A215D"/>
    <w:rsid w:val="004E31E0"/>
    <w:rsid w:val="005B0AEE"/>
    <w:rsid w:val="005C239E"/>
    <w:rsid w:val="005D65E7"/>
    <w:rsid w:val="00634341"/>
    <w:rsid w:val="00691A27"/>
    <w:rsid w:val="00700A1E"/>
    <w:rsid w:val="00734956"/>
    <w:rsid w:val="00752D8F"/>
    <w:rsid w:val="007572A0"/>
    <w:rsid w:val="007F0071"/>
    <w:rsid w:val="007F218A"/>
    <w:rsid w:val="008011FA"/>
    <w:rsid w:val="00841521"/>
    <w:rsid w:val="00865B4B"/>
    <w:rsid w:val="00872021"/>
    <w:rsid w:val="008927B4"/>
    <w:rsid w:val="00892EC7"/>
    <w:rsid w:val="008A19C6"/>
    <w:rsid w:val="008A6F13"/>
    <w:rsid w:val="0090271D"/>
    <w:rsid w:val="009145A1"/>
    <w:rsid w:val="009A2080"/>
    <w:rsid w:val="009C6C56"/>
    <w:rsid w:val="009D157F"/>
    <w:rsid w:val="009D41AC"/>
    <w:rsid w:val="009E0FA5"/>
    <w:rsid w:val="009F267D"/>
    <w:rsid w:val="00A10962"/>
    <w:rsid w:val="00A13472"/>
    <w:rsid w:val="00A23B1F"/>
    <w:rsid w:val="00A55453"/>
    <w:rsid w:val="00AA2357"/>
    <w:rsid w:val="00AE1EA0"/>
    <w:rsid w:val="00B26116"/>
    <w:rsid w:val="00B621BD"/>
    <w:rsid w:val="00B912A5"/>
    <w:rsid w:val="00B9281E"/>
    <w:rsid w:val="00BA6C71"/>
    <w:rsid w:val="00BD4DF7"/>
    <w:rsid w:val="00BF487E"/>
    <w:rsid w:val="00C1475F"/>
    <w:rsid w:val="00C665EC"/>
    <w:rsid w:val="00C7679E"/>
    <w:rsid w:val="00C91D75"/>
    <w:rsid w:val="00CD6D78"/>
    <w:rsid w:val="00CE0832"/>
    <w:rsid w:val="00CF0B5C"/>
    <w:rsid w:val="00D249E2"/>
    <w:rsid w:val="00D32C89"/>
    <w:rsid w:val="00D54685"/>
    <w:rsid w:val="00D6314E"/>
    <w:rsid w:val="00D970BF"/>
    <w:rsid w:val="00DA02F3"/>
    <w:rsid w:val="00DA1A9D"/>
    <w:rsid w:val="00DE5BE3"/>
    <w:rsid w:val="00DF0155"/>
    <w:rsid w:val="00E55AE6"/>
    <w:rsid w:val="00E80A5C"/>
    <w:rsid w:val="00E8144D"/>
    <w:rsid w:val="00E864FA"/>
    <w:rsid w:val="00EA07CE"/>
    <w:rsid w:val="00EF7796"/>
    <w:rsid w:val="00F321E4"/>
    <w:rsid w:val="00FA6106"/>
    <w:rsid w:val="00FB1FDD"/>
    <w:rsid w:val="00FF406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FB86"/>
  <w15:docId w15:val="{827184B0-C903-447D-B800-AC51FB45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0F85"/>
    <w:pPr>
      <w:spacing w:after="0" w:line="240" w:lineRule="auto"/>
      <w:jc w:val="both"/>
    </w:pPr>
    <w:rPr>
      <w:rFonts w:ascii="Times New Roman" w:eastAsia="ヒラギノ角ゴ Pro W3" w:hAnsi="Times New Roman" w:cs="Times New Roman"/>
      <w:color w:val="000000"/>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9E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rsid w:val="001949EA"/>
    <w:rPr>
      <w:rFonts w:ascii="Calibri" w:eastAsia="Times New Roman" w:hAnsi="Calibri" w:cs="Times New Roman"/>
      <w:sz w:val="20"/>
      <w:szCs w:val="20"/>
      <w:lang w:val="en-GB" w:eastAsia="en-GB"/>
    </w:rPr>
  </w:style>
  <w:style w:type="paragraph" w:styleId="Textodeglobo">
    <w:name w:val="Balloon Text"/>
    <w:basedOn w:val="Normal"/>
    <w:link w:val="TextodegloboCar"/>
    <w:uiPriority w:val="99"/>
    <w:semiHidden/>
    <w:unhideWhenUsed/>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EA"/>
    <w:rPr>
      <w:rFonts w:ascii="Tahoma" w:eastAsia="ヒラギノ角ゴ Pro W3" w:hAnsi="Tahoma" w:cs="Tahoma"/>
      <w:color w:val="000000"/>
      <w:sz w:val="16"/>
      <w:szCs w:val="16"/>
      <w:lang w:val="en-GB"/>
    </w:rPr>
  </w:style>
  <w:style w:type="paragraph" w:styleId="Prrafodelista">
    <w:name w:val="List Paragraph"/>
    <w:basedOn w:val="Normal"/>
    <w:uiPriority w:val="34"/>
    <w:qFormat/>
    <w:rsid w:val="00307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1115</Words>
  <Characters>6361</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Jaume Fons Esteve</cp:lastModifiedBy>
  <cp:revision>6</cp:revision>
  <dcterms:created xsi:type="dcterms:W3CDTF">2016-10-17T15:40:00Z</dcterms:created>
  <dcterms:modified xsi:type="dcterms:W3CDTF">2017-06-01T15:31:00Z</dcterms:modified>
</cp:coreProperties>
</file>