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985" w:type="dxa"/>
        <w:tblInd w:w="-733" w:type="dxa"/>
        <w:tblLayout w:type="fixed"/>
        <w:tblLook w:val="04A0" w:firstRow="1" w:lastRow="0" w:firstColumn="1" w:lastColumn="0" w:noHBand="0" w:noVBand="1"/>
      </w:tblPr>
      <w:tblGrid>
        <w:gridCol w:w="205"/>
        <w:gridCol w:w="25"/>
        <w:gridCol w:w="1926"/>
        <w:gridCol w:w="7829"/>
      </w:tblGrid>
      <w:tr w:rsidR="00E2092F" w:rsidRPr="00125528" w:rsidTr="00F6715F">
        <w:tc>
          <w:tcPr>
            <w:tcW w:w="2156" w:type="dxa"/>
            <w:gridSpan w:val="3"/>
          </w:tcPr>
          <w:p w:rsidR="00E2092F" w:rsidRPr="00125528" w:rsidRDefault="00E2092F" w:rsidP="00E2092F">
            <w:pPr>
              <w:rPr>
                <w:b/>
              </w:rPr>
            </w:pPr>
            <w:r w:rsidRPr="00125528">
              <w:rPr>
                <w:b/>
              </w:rPr>
              <w:t xml:space="preserve">Indicator name </w:t>
            </w:r>
          </w:p>
        </w:tc>
        <w:tc>
          <w:tcPr>
            <w:tcW w:w="7829" w:type="dxa"/>
          </w:tcPr>
          <w:p w:rsidR="00E2092F" w:rsidRPr="00125528" w:rsidRDefault="009124FF" w:rsidP="00317338">
            <w:pPr>
              <w:ind w:left="137"/>
            </w:pPr>
            <w:r w:rsidRPr="00125528">
              <w:t xml:space="preserve">Tourism </w:t>
            </w:r>
            <w:r w:rsidR="001B78E2" w:rsidRPr="00125528">
              <w:t>pressure on protected areas</w:t>
            </w:r>
          </w:p>
        </w:tc>
      </w:tr>
      <w:tr w:rsidR="00E2092F" w:rsidRPr="00125528" w:rsidTr="00F6715F">
        <w:tc>
          <w:tcPr>
            <w:tcW w:w="2156" w:type="dxa"/>
            <w:gridSpan w:val="3"/>
          </w:tcPr>
          <w:p w:rsidR="00E2092F" w:rsidRPr="00125528" w:rsidRDefault="00E2092F" w:rsidP="00E2092F">
            <w:pPr>
              <w:rPr>
                <w:b/>
              </w:rPr>
            </w:pPr>
            <w:r w:rsidRPr="00125528">
              <w:rPr>
                <w:b/>
              </w:rPr>
              <w:t>ASSESSMENT</w:t>
            </w:r>
          </w:p>
        </w:tc>
        <w:tc>
          <w:tcPr>
            <w:tcW w:w="7829" w:type="dxa"/>
          </w:tcPr>
          <w:p w:rsidR="00E2092F" w:rsidRPr="00125528" w:rsidRDefault="00E2092F" w:rsidP="00E2092F"/>
        </w:tc>
      </w:tr>
      <w:tr w:rsidR="00E2092F" w:rsidRPr="00125528" w:rsidTr="00F6715F">
        <w:tc>
          <w:tcPr>
            <w:tcW w:w="2156" w:type="dxa"/>
            <w:gridSpan w:val="3"/>
          </w:tcPr>
          <w:p w:rsidR="00E2092F" w:rsidRPr="00125528" w:rsidRDefault="00E2092F" w:rsidP="00E2092F">
            <w:pPr>
              <w:ind w:left="284"/>
            </w:pPr>
            <w:r w:rsidRPr="00125528">
              <w:t>Indicator Name</w:t>
            </w:r>
          </w:p>
        </w:tc>
        <w:tc>
          <w:tcPr>
            <w:tcW w:w="7829" w:type="dxa"/>
          </w:tcPr>
          <w:p w:rsidR="00E2092F" w:rsidRPr="00125528" w:rsidRDefault="007128CB" w:rsidP="00317338">
            <w:pPr>
              <w:tabs>
                <w:tab w:val="left" w:pos="1095"/>
              </w:tabs>
              <w:ind w:left="137"/>
              <w:jc w:val="left"/>
            </w:pPr>
            <w:r>
              <w:t>TOUR005c – Number of bed places in rural areas per km</w:t>
            </w:r>
            <w:r w:rsidRPr="007128CB">
              <w:rPr>
                <w:vertAlign w:val="superscript"/>
              </w:rPr>
              <w:t>2</w:t>
            </w:r>
            <w:r>
              <w:t xml:space="preserve"> of protected areas</w:t>
            </w:r>
          </w:p>
        </w:tc>
      </w:tr>
      <w:tr w:rsidR="00E2092F" w:rsidRPr="00125528" w:rsidTr="00F6715F">
        <w:tc>
          <w:tcPr>
            <w:tcW w:w="2156" w:type="dxa"/>
            <w:gridSpan w:val="3"/>
          </w:tcPr>
          <w:p w:rsidR="00E2092F" w:rsidRPr="00125528" w:rsidRDefault="00E2092F" w:rsidP="00566F0F">
            <w:pPr>
              <w:ind w:left="284"/>
              <w:jc w:val="left"/>
            </w:pPr>
            <w:r w:rsidRPr="00125528">
              <w:t>Key policy question</w:t>
            </w:r>
          </w:p>
        </w:tc>
        <w:tc>
          <w:tcPr>
            <w:tcW w:w="7829" w:type="dxa"/>
          </w:tcPr>
          <w:p w:rsidR="00E2092F" w:rsidRPr="00125528" w:rsidRDefault="00EB5784" w:rsidP="00317338">
            <w:pPr>
              <w:ind w:left="137"/>
            </w:pPr>
            <w:r w:rsidRPr="00125528">
              <w:rPr>
                <w:lang w:val="en-US"/>
              </w:rPr>
              <w:t xml:space="preserve">Where are the potentially most frequented </w:t>
            </w:r>
            <w:r w:rsidR="007128CB">
              <w:rPr>
                <w:lang w:val="en-US"/>
              </w:rPr>
              <w:t>protected areas</w:t>
            </w:r>
            <w:r w:rsidR="00E2092F" w:rsidRPr="00125528">
              <w:rPr>
                <w:lang w:val="en-US"/>
              </w:rPr>
              <w:t>?</w:t>
            </w:r>
          </w:p>
        </w:tc>
      </w:tr>
      <w:tr w:rsidR="00E2092F" w:rsidRPr="00125528" w:rsidTr="00F6715F">
        <w:tc>
          <w:tcPr>
            <w:tcW w:w="2156" w:type="dxa"/>
            <w:gridSpan w:val="3"/>
          </w:tcPr>
          <w:p w:rsidR="00E2092F" w:rsidRPr="00125528" w:rsidRDefault="00E2092F" w:rsidP="00E2092F">
            <w:pPr>
              <w:ind w:left="284"/>
            </w:pPr>
            <w:r w:rsidRPr="00125528">
              <w:t>Key message</w:t>
            </w:r>
          </w:p>
        </w:tc>
        <w:tc>
          <w:tcPr>
            <w:tcW w:w="7829" w:type="dxa"/>
          </w:tcPr>
          <w:p w:rsidR="00E2092F" w:rsidRPr="00125528" w:rsidRDefault="007128CB" w:rsidP="00317338">
            <w:pPr>
              <w:ind w:left="137"/>
            </w:pPr>
            <w:r>
              <w:t>Protected areas (</w:t>
            </w:r>
            <w:r w:rsidR="009124FF" w:rsidRPr="00125528">
              <w:t xml:space="preserve">Natura 2000 </w:t>
            </w:r>
            <w:r>
              <w:t xml:space="preserve">and similar ones) </w:t>
            </w:r>
            <w:r w:rsidR="009124FF" w:rsidRPr="00125528">
              <w:t>could be very popular places given i</w:t>
            </w:r>
            <w:r w:rsidR="00F60D0D" w:rsidRPr="00125528">
              <w:t xml:space="preserve">ts natural and aesthetic values and, consequently, be exposed to the pressure of high </w:t>
            </w:r>
            <w:r>
              <w:t>levels of visitation</w:t>
            </w:r>
            <w:r w:rsidR="00F60D0D" w:rsidRPr="00125528">
              <w:t>.</w:t>
            </w:r>
            <w:r>
              <w:t xml:space="preserve"> Leaving aside the urban and suburban parks, a good number of protected areas in Europe are located in rural areas. As we can identify the rural tourism lodging offer (bed places in rural areas) per each NUTS2, a proxy of the potential pressure on those protected areas is to calculate the number of bed places located in rural areas in relation to the protected areas surface of the region.</w:t>
            </w:r>
            <w:r w:rsidR="00317338">
              <w:t xml:space="preserve"> </w:t>
            </w:r>
          </w:p>
        </w:tc>
      </w:tr>
      <w:tr w:rsidR="00E2092F" w:rsidRPr="00125528" w:rsidTr="00F6715F">
        <w:tc>
          <w:tcPr>
            <w:tcW w:w="2156" w:type="dxa"/>
            <w:gridSpan w:val="3"/>
          </w:tcPr>
          <w:p w:rsidR="00E2092F" w:rsidRPr="00125528" w:rsidRDefault="00E2092F" w:rsidP="00E2092F">
            <w:pPr>
              <w:ind w:left="284"/>
            </w:pPr>
            <w:r w:rsidRPr="00125528">
              <w:t xml:space="preserve">Key assessment </w:t>
            </w:r>
          </w:p>
        </w:tc>
        <w:tc>
          <w:tcPr>
            <w:tcW w:w="7829" w:type="dxa"/>
          </w:tcPr>
          <w:p w:rsidR="00E2092F" w:rsidRPr="00317338" w:rsidRDefault="00317338" w:rsidP="00317338">
            <w:pPr>
              <w:ind w:left="137"/>
              <w:rPr>
                <w:noProof/>
                <w:lang w:val="en-US" w:eastAsia="es-ES"/>
              </w:rPr>
            </w:pPr>
            <w:r w:rsidRPr="00317338">
              <w:t>One of the possible approaches to understand the potential disturbance of recreation and tourism to biodiversity and the natural environment is to look at the tourism supply located around the most vulnerable and attractive areas, that is, the protected areas. In this regard, a first proxy has been calculated by combining the number of bed places offered by tourist establishments located in rural areas, with the land’s protected surface (in this case, the Common Database on Designated Areas, that include all the Natura 2000 network as well as other national protected areas). The results of this exercise show that in the majority of EU regions there is a relatively low pressure on natural sites (although we are referring always at the regional level and the spatial scale of this assessment do not look in detail specific cases of concrete protected areas). In any case, most of the NUTS 2 regions have an average of less than 1 bed place per km</w:t>
            </w:r>
            <w:r w:rsidRPr="00C40629">
              <w:rPr>
                <w:vertAlign w:val="superscript"/>
              </w:rPr>
              <w:t>2</w:t>
            </w:r>
            <w:r w:rsidRPr="00317338">
              <w:t xml:space="preserve"> of protected area. The exceptions, with higher numbers -and potentially higher pressures-, are found in Ireland, Northern Italy, Western Austria, the coastal region of Croatia, among other specific regions in other countries.</w:t>
            </w:r>
          </w:p>
          <w:p w:rsidR="00F6715F" w:rsidRPr="00125528" w:rsidRDefault="00317338" w:rsidP="00222651">
            <w:r>
              <w:rPr>
                <w:noProof/>
                <w:lang w:val="es-ES" w:eastAsia="es-ES"/>
              </w:rPr>
              <w:lastRenderedPageBreak/>
              <w:drawing>
                <wp:inline distT="0" distB="0" distL="0" distR="0">
                  <wp:extent cx="4880759" cy="3454607"/>
                  <wp:effectExtent l="0" t="0" r="0" b="0"/>
                  <wp:docPr id="2" name="Imagen 2" descr="C:\Users\2012351\AppData\Local\Temp\Rar$DIa0.038\Tour_00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2351\AppData\Local\Temp\Rar$DIa0.038\Tour_005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1610" cy="3455210"/>
                          </a:xfrm>
                          <a:prstGeom prst="rect">
                            <a:avLst/>
                          </a:prstGeom>
                          <a:noFill/>
                          <a:ln>
                            <a:noFill/>
                          </a:ln>
                        </pic:spPr>
                      </pic:pic>
                    </a:graphicData>
                  </a:graphic>
                </wp:inline>
              </w:drawing>
            </w:r>
          </w:p>
          <w:p w:rsidR="00F6715F" w:rsidRPr="00125528" w:rsidRDefault="00F6715F" w:rsidP="00222651"/>
        </w:tc>
      </w:tr>
      <w:tr w:rsidR="00E2092F" w:rsidRPr="00125528" w:rsidTr="00F6715F">
        <w:tc>
          <w:tcPr>
            <w:tcW w:w="2156" w:type="dxa"/>
            <w:gridSpan w:val="3"/>
          </w:tcPr>
          <w:p w:rsidR="00E2092F" w:rsidRPr="00125528" w:rsidRDefault="00E2092F" w:rsidP="00E2092F">
            <w:pPr>
              <w:ind w:left="284"/>
            </w:pPr>
            <w:r w:rsidRPr="00125528">
              <w:lastRenderedPageBreak/>
              <w:t xml:space="preserve">Specific policy question </w:t>
            </w:r>
          </w:p>
        </w:tc>
        <w:tc>
          <w:tcPr>
            <w:tcW w:w="7829" w:type="dxa"/>
          </w:tcPr>
          <w:p w:rsidR="00E2092F" w:rsidRPr="00125528" w:rsidRDefault="00E2092F" w:rsidP="00E2092F"/>
        </w:tc>
      </w:tr>
      <w:tr w:rsidR="00E2092F" w:rsidRPr="00125528" w:rsidTr="00F6715F">
        <w:tc>
          <w:tcPr>
            <w:tcW w:w="2156" w:type="dxa"/>
            <w:gridSpan w:val="3"/>
          </w:tcPr>
          <w:p w:rsidR="00E2092F" w:rsidRPr="00125528" w:rsidRDefault="00E2092F" w:rsidP="00E2092F">
            <w:pPr>
              <w:ind w:left="284"/>
            </w:pPr>
            <w:r w:rsidRPr="00125528">
              <w:t xml:space="preserve">Specific assessment </w:t>
            </w:r>
          </w:p>
        </w:tc>
        <w:tc>
          <w:tcPr>
            <w:tcW w:w="7829" w:type="dxa"/>
          </w:tcPr>
          <w:p w:rsidR="00E2092F" w:rsidRPr="00125528" w:rsidRDefault="00E2092F" w:rsidP="00E2092F"/>
        </w:tc>
      </w:tr>
      <w:tr w:rsidR="00E2092F" w:rsidRPr="00125528" w:rsidTr="00F6715F">
        <w:trPr>
          <w:trHeight w:val="936"/>
        </w:trPr>
        <w:tc>
          <w:tcPr>
            <w:tcW w:w="2156" w:type="dxa"/>
            <w:gridSpan w:val="3"/>
          </w:tcPr>
          <w:p w:rsidR="00E2092F" w:rsidRPr="00125528" w:rsidRDefault="00E2092F" w:rsidP="00E2092F">
            <w:pPr>
              <w:ind w:left="284"/>
            </w:pPr>
            <w:r w:rsidRPr="00125528">
              <w:t>Examples</w:t>
            </w:r>
          </w:p>
        </w:tc>
        <w:tc>
          <w:tcPr>
            <w:tcW w:w="7829" w:type="dxa"/>
          </w:tcPr>
          <w:p w:rsidR="00E2092F" w:rsidRPr="00125528" w:rsidRDefault="00E2092F" w:rsidP="00E2092F"/>
        </w:tc>
      </w:tr>
      <w:tr w:rsidR="00E2092F" w:rsidRPr="00125528" w:rsidTr="00F6715F">
        <w:tc>
          <w:tcPr>
            <w:tcW w:w="2156" w:type="dxa"/>
            <w:gridSpan w:val="3"/>
          </w:tcPr>
          <w:p w:rsidR="00E2092F" w:rsidRPr="00125528" w:rsidRDefault="00E2092F" w:rsidP="00E2092F">
            <w:pPr>
              <w:rPr>
                <w:b/>
              </w:rPr>
            </w:pPr>
            <w:r w:rsidRPr="00125528">
              <w:rPr>
                <w:b/>
              </w:rPr>
              <w:t>SPECIFICATIONS</w:t>
            </w:r>
          </w:p>
        </w:tc>
        <w:tc>
          <w:tcPr>
            <w:tcW w:w="7829" w:type="dxa"/>
          </w:tcPr>
          <w:p w:rsidR="00E2092F" w:rsidRPr="00125528" w:rsidRDefault="00E2092F" w:rsidP="00E2092F"/>
        </w:tc>
      </w:tr>
      <w:tr w:rsidR="00E2092F" w:rsidRPr="00125528" w:rsidTr="00F6715F">
        <w:tc>
          <w:tcPr>
            <w:tcW w:w="2156" w:type="dxa"/>
            <w:gridSpan w:val="3"/>
          </w:tcPr>
          <w:p w:rsidR="00E2092F" w:rsidRPr="006B18BC" w:rsidRDefault="00E2092F" w:rsidP="00E2092F">
            <w:pPr>
              <w:rPr>
                <w:b/>
                <w:highlight w:val="yellow"/>
              </w:rPr>
            </w:pPr>
            <w:r w:rsidRPr="004D2920">
              <w:t>Indicator definition</w:t>
            </w:r>
          </w:p>
        </w:tc>
        <w:tc>
          <w:tcPr>
            <w:tcW w:w="7829" w:type="dxa"/>
          </w:tcPr>
          <w:p w:rsidR="00E2092F" w:rsidRPr="006B18BC" w:rsidRDefault="004D2920" w:rsidP="004D2920">
            <w:pPr>
              <w:ind w:left="140"/>
              <w:rPr>
                <w:highlight w:val="yellow"/>
              </w:rPr>
            </w:pPr>
            <w:r>
              <w:t>Number of bed places in official</w:t>
            </w:r>
            <w:r w:rsidRPr="004D2920">
              <w:t xml:space="preserve"> tourist accommodation establishments </w:t>
            </w:r>
            <w:r>
              <w:t>located in rural areas per square kilometre of protected areas at</w:t>
            </w:r>
            <w:r w:rsidRPr="004D2920">
              <w:t xml:space="preserve"> NUTS 2 region </w:t>
            </w:r>
            <w:r>
              <w:t>level. Protected areas as</w:t>
            </w:r>
            <w:r w:rsidRPr="004D2920">
              <w:t xml:space="preserve"> territory designated for protection under different protection figures included in the nationally designated areas (CCDA or Common Database on Designated Areas).</w:t>
            </w:r>
          </w:p>
        </w:tc>
      </w:tr>
      <w:tr w:rsidR="00E2092F" w:rsidRPr="00125528" w:rsidTr="00F6715F">
        <w:tc>
          <w:tcPr>
            <w:tcW w:w="2156" w:type="dxa"/>
            <w:gridSpan w:val="3"/>
            <w:tcBorders>
              <w:bottom w:val="single" w:sz="4" w:space="0" w:color="auto"/>
            </w:tcBorders>
          </w:tcPr>
          <w:p w:rsidR="00E2092F" w:rsidRPr="00125528" w:rsidRDefault="00E2092F" w:rsidP="00E2092F">
            <w:pPr>
              <w:ind w:left="284"/>
            </w:pPr>
            <w:r w:rsidRPr="00125528">
              <w:t>DPSIR</w:t>
            </w:r>
          </w:p>
        </w:tc>
        <w:tc>
          <w:tcPr>
            <w:tcW w:w="7829" w:type="dxa"/>
            <w:tcBorders>
              <w:bottom w:val="single" w:sz="4" w:space="0" w:color="auto"/>
            </w:tcBorders>
          </w:tcPr>
          <w:p w:rsidR="00E2092F" w:rsidRPr="00125528" w:rsidRDefault="00E2092F" w:rsidP="004D2920">
            <w:pPr>
              <w:ind w:left="140"/>
            </w:pPr>
            <w:r w:rsidRPr="00125528">
              <w:t>P</w:t>
            </w:r>
          </w:p>
        </w:tc>
      </w:tr>
      <w:tr w:rsidR="00E2092F" w:rsidRPr="00125528" w:rsidTr="00F6715F">
        <w:tc>
          <w:tcPr>
            <w:tcW w:w="2156" w:type="dxa"/>
            <w:gridSpan w:val="3"/>
            <w:tcBorders>
              <w:bottom w:val="single" w:sz="4" w:space="0" w:color="C4BC96" w:themeColor="background2" w:themeShade="BF"/>
            </w:tcBorders>
          </w:tcPr>
          <w:p w:rsidR="00E2092F" w:rsidRPr="004D2920" w:rsidRDefault="00E2092F" w:rsidP="00E2092F">
            <w:pPr>
              <w:ind w:left="284"/>
            </w:pPr>
            <w:r w:rsidRPr="004D2920">
              <w:t>Justification</w:t>
            </w:r>
          </w:p>
        </w:tc>
        <w:tc>
          <w:tcPr>
            <w:tcW w:w="7829" w:type="dxa"/>
            <w:tcBorders>
              <w:bottom w:val="single" w:sz="4" w:space="0" w:color="C4BC96" w:themeColor="background2" w:themeShade="BF"/>
            </w:tcBorders>
          </w:tcPr>
          <w:p w:rsidR="00853A31" w:rsidRPr="006B18BC" w:rsidRDefault="00853A31" w:rsidP="00853A31">
            <w:pPr>
              <w:rPr>
                <w:highlight w:val="yellow"/>
              </w:rPr>
            </w:pPr>
          </w:p>
        </w:tc>
      </w:tr>
      <w:tr w:rsidR="00E2092F" w:rsidRPr="00125528" w:rsidTr="00F6715F">
        <w:tc>
          <w:tcPr>
            <w:tcW w:w="230" w:type="dxa"/>
            <w:gridSpan w:val="2"/>
            <w:tcBorders>
              <w:top w:val="single" w:sz="4" w:space="0" w:color="C4BC96" w:themeColor="background2" w:themeShade="BF"/>
              <w:bottom w:val="nil"/>
              <w:right w:val="nil"/>
            </w:tcBorders>
          </w:tcPr>
          <w:p w:rsidR="00E2092F" w:rsidRPr="004D2920" w:rsidRDefault="00E2092F" w:rsidP="00E2092F">
            <w:pPr>
              <w:ind w:left="284"/>
            </w:pPr>
          </w:p>
        </w:tc>
        <w:tc>
          <w:tcPr>
            <w:tcW w:w="1926" w:type="dxa"/>
            <w:tcBorders>
              <w:top w:val="single" w:sz="4" w:space="0" w:color="C4BC96" w:themeColor="background2" w:themeShade="BF"/>
              <w:left w:val="nil"/>
            </w:tcBorders>
          </w:tcPr>
          <w:p w:rsidR="00E2092F" w:rsidRPr="004D2920" w:rsidRDefault="00E2092F" w:rsidP="00E2092F">
            <w:pPr>
              <w:ind w:left="284"/>
            </w:pPr>
            <w:r w:rsidRPr="004D2920">
              <w:t>Rationale</w:t>
            </w:r>
          </w:p>
        </w:tc>
        <w:tc>
          <w:tcPr>
            <w:tcW w:w="7829" w:type="dxa"/>
            <w:tcBorders>
              <w:top w:val="single" w:sz="4" w:space="0" w:color="C4BC96" w:themeColor="background2" w:themeShade="BF"/>
            </w:tcBorders>
          </w:tcPr>
          <w:p w:rsidR="00E2092F" w:rsidRPr="006B18BC" w:rsidRDefault="004D2920" w:rsidP="004D2920">
            <w:pPr>
              <w:ind w:left="140"/>
              <w:rPr>
                <w:highlight w:val="yellow"/>
              </w:rPr>
            </w:pPr>
            <w:r w:rsidRPr="004D2920">
              <w:t>This is a first proxy</w:t>
            </w:r>
            <w:r w:rsidR="0086237F">
              <w:t xml:space="preserve"> indicator</w:t>
            </w:r>
            <w:r>
              <w:t xml:space="preserve"> created in order to identify those regions with </w:t>
            </w:r>
            <w:r w:rsidR="0086237F">
              <w:t xml:space="preserve">a </w:t>
            </w:r>
            <w:r>
              <w:t xml:space="preserve">higher or </w:t>
            </w:r>
            <w:r w:rsidR="0086237F">
              <w:t xml:space="preserve">a </w:t>
            </w:r>
            <w:r>
              <w:t>lowe</w:t>
            </w:r>
            <w:r w:rsidR="0086237F">
              <w:t xml:space="preserve">r potential tourism pressure </w:t>
            </w:r>
            <w:r w:rsidR="005A5C83">
              <w:t>on</w:t>
            </w:r>
            <w:r w:rsidR="0086237F">
              <w:t xml:space="preserve"> the protected areas. I</w:t>
            </w:r>
            <w:r>
              <w:t>n this case</w:t>
            </w:r>
            <w:r w:rsidR="0086237F">
              <w:t>,</w:t>
            </w:r>
            <w:r>
              <w:t xml:space="preserve"> </w:t>
            </w:r>
            <w:r w:rsidR="0086237F">
              <w:t xml:space="preserve">it is </w:t>
            </w:r>
            <w:r>
              <w:t>calculated through 1) the tourism lodging offer in rural areas (</w:t>
            </w:r>
            <w:r w:rsidR="0086237F">
              <w:t>these data substitute the unavailable tourism demand -overnight stays- in rural areas), and 2) the protected area surface, both at regional level. Combining these two types of data, it is possible to establish a potential pressure index.</w:t>
            </w:r>
            <w:r w:rsidR="008B32CE">
              <w:t xml:space="preserve"> The specific rationale is that while it is not possible to know the actual number of visitors to protected areas at a reliable and at a whole European scale, some proxy had to be created. This proxy assumes as a hypothesis that most of the potential protected areas visitors that are tourists (excluding excursionists, that </w:t>
            </w:r>
            <w:r w:rsidR="008B32CE">
              <w:lastRenderedPageBreak/>
              <w:t>tend to be nearby residents from protected areas) are lodged in rural areas (because most part of protected areas are located in rural areas, with some exceptions of suburban protected areas). Then, the more the tourism offer (and, as a consequence, the tourism demand) in rural areas, the more the potential visitation levels of protected areas.</w:t>
            </w:r>
          </w:p>
        </w:tc>
      </w:tr>
      <w:tr w:rsidR="00E2092F" w:rsidRPr="00125528" w:rsidTr="00F6715F">
        <w:tc>
          <w:tcPr>
            <w:tcW w:w="230" w:type="dxa"/>
            <w:gridSpan w:val="2"/>
            <w:tcBorders>
              <w:top w:val="nil"/>
              <w:right w:val="nil"/>
            </w:tcBorders>
          </w:tcPr>
          <w:p w:rsidR="00E2092F" w:rsidRPr="00125528" w:rsidRDefault="00E2092F" w:rsidP="00E2092F">
            <w:pPr>
              <w:ind w:left="284"/>
            </w:pPr>
          </w:p>
        </w:tc>
        <w:tc>
          <w:tcPr>
            <w:tcW w:w="1926" w:type="dxa"/>
            <w:tcBorders>
              <w:left w:val="nil"/>
            </w:tcBorders>
          </w:tcPr>
          <w:p w:rsidR="00E2092F" w:rsidRPr="00125528" w:rsidRDefault="00E2092F" w:rsidP="00E2092F">
            <w:pPr>
              <w:ind w:left="284"/>
            </w:pPr>
            <w:r w:rsidRPr="00125528">
              <w:t>References</w:t>
            </w:r>
          </w:p>
        </w:tc>
        <w:tc>
          <w:tcPr>
            <w:tcW w:w="7829" w:type="dxa"/>
          </w:tcPr>
          <w:p w:rsidR="00E2092F" w:rsidRPr="00125528" w:rsidRDefault="00E2092F" w:rsidP="000B3685">
            <w:pPr>
              <w:jc w:val="left"/>
              <w:rPr>
                <w:lang w:val="en-US"/>
              </w:rPr>
            </w:pPr>
          </w:p>
        </w:tc>
      </w:tr>
      <w:tr w:rsidR="00E2092F" w:rsidRPr="00125528" w:rsidTr="00F6715F">
        <w:tc>
          <w:tcPr>
            <w:tcW w:w="2156" w:type="dxa"/>
            <w:gridSpan w:val="3"/>
            <w:tcBorders>
              <w:bottom w:val="single" w:sz="4" w:space="0" w:color="C4BC96" w:themeColor="background2" w:themeShade="BF"/>
            </w:tcBorders>
          </w:tcPr>
          <w:p w:rsidR="00E2092F" w:rsidRPr="00125528" w:rsidRDefault="00E2092F" w:rsidP="00E2092F">
            <w:pPr>
              <w:ind w:left="284"/>
            </w:pPr>
            <w:r w:rsidRPr="00125528">
              <w:t>Policy context</w:t>
            </w:r>
          </w:p>
        </w:tc>
        <w:tc>
          <w:tcPr>
            <w:tcW w:w="7829" w:type="dxa"/>
            <w:tcBorders>
              <w:bottom w:val="single" w:sz="4" w:space="0" w:color="C4BC96" w:themeColor="background2" w:themeShade="BF"/>
            </w:tcBorders>
          </w:tcPr>
          <w:p w:rsidR="00E2092F" w:rsidRPr="00125528" w:rsidRDefault="00E2092F" w:rsidP="00E2092F">
            <w:pPr>
              <w:pStyle w:val="Prrafodelista"/>
              <w:ind w:left="295"/>
            </w:pPr>
          </w:p>
        </w:tc>
      </w:tr>
      <w:tr w:rsidR="00E2092F" w:rsidRPr="00125528" w:rsidTr="00F6715F">
        <w:tc>
          <w:tcPr>
            <w:tcW w:w="230" w:type="dxa"/>
            <w:gridSpan w:val="2"/>
            <w:tcBorders>
              <w:top w:val="single" w:sz="4" w:space="0" w:color="C4BC96" w:themeColor="background2" w:themeShade="BF"/>
              <w:bottom w:val="nil"/>
              <w:right w:val="nil"/>
            </w:tcBorders>
          </w:tcPr>
          <w:p w:rsidR="00E2092F" w:rsidRPr="00125528" w:rsidRDefault="00E2092F" w:rsidP="00E2092F">
            <w:pPr>
              <w:ind w:left="284"/>
            </w:pPr>
          </w:p>
        </w:tc>
        <w:tc>
          <w:tcPr>
            <w:tcW w:w="1926" w:type="dxa"/>
            <w:tcBorders>
              <w:top w:val="single" w:sz="4" w:space="0" w:color="C4BC96" w:themeColor="background2" w:themeShade="BF"/>
              <w:left w:val="nil"/>
            </w:tcBorders>
          </w:tcPr>
          <w:p w:rsidR="00E2092F" w:rsidRPr="00125528" w:rsidRDefault="00E2092F" w:rsidP="00E2092F">
            <w:pPr>
              <w:ind w:left="59"/>
            </w:pPr>
            <w:r w:rsidRPr="00125528">
              <w:t>Policy context</w:t>
            </w:r>
          </w:p>
        </w:tc>
        <w:tc>
          <w:tcPr>
            <w:tcW w:w="7829" w:type="dxa"/>
            <w:tcBorders>
              <w:top w:val="single" w:sz="4" w:space="0" w:color="C4BC96" w:themeColor="background2" w:themeShade="BF"/>
            </w:tcBorders>
          </w:tcPr>
          <w:p w:rsidR="00E2092F" w:rsidRPr="00125528" w:rsidRDefault="00E2092F" w:rsidP="00E2092F">
            <w:pPr>
              <w:pStyle w:val="Prrafodelista"/>
              <w:numPr>
                <w:ilvl w:val="0"/>
                <w:numId w:val="3"/>
              </w:numPr>
              <w:ind w:left="295" w:hanging="284"/>
              <w:jc w:val="left"/>
            </w:pPr>
            <w:r w:rsidRPr="00125528">
              <w:t xml:space="preserve">EC and national policies on tourism and sustainable tourism. </w:t>
            </w:r>
          </w:p>
          <w:p w:rsidR="00E2092F" w:rsidRPr="00125528" w:rsidRDefault="00E2092F" w:rsidP="00E2092F">
            <w:pPr>
              <w:pStyle w:val="Prrafodelista"/>
              <w:numPr>
                <w:ilvl w:val="0"/>
                <w:numId w:val="3"/>
              </w:numPr>
              <w:ind w:left="295" w:hanging="284"/>
              <w:jc w:val="left"/>
            </w:pPr>
            <w:r w:rsidRPr="00125528">
              <w:t>EU regulations regarding coastal and marine ecosystems: Marine Strategy Framework Directive, Habitat Directive</w:t>
            </w:r>
          </w:p>
          <w:p w:rsidR="00E2092F" w:rsidRPr="00125528" w:rsidRDefault="00E2092F" w:rsidP="00E2092F">
            <w:pPr>
              <w:pStyle w:val="Prrafodelista"/>
              <w:numPr>
                <w:ilvl w:val="0"/>
                <w:numId w:val="3"/>
              </w:numPr>
              <w:ind w:left="295" w:hanging="284"/>
              <w:jc w:val="left"/>
            </w:pPr>
            <w:r w:rsidRPr="00125528">
              <w:t>National and sub-national spatial planning regulations</w:t>
            </w:r>
          </w:p>
        </w:tc>
      </w:tr>
      <w:tr w:rsidR="00E2092F" w:rsidRPr="00125528" w:rsidTr="00F6715F">
        <w:tc>
          <w:tcPr>
            <w:tcW w:w="230" w:type="dxa"/>
            <w:gridSpan w:val="2"/>
            <w:tcBorders>
              <w:top w:val="nil"/>
              <w:bottom w:val="nil"/>
              <w:right w:val="nil"/>
            </w:tcBorders>
          </w:tcPr>
          <w:p w:rsidR="00E2092F" w:rsidRPr="00125528" w:rsidRDefault="00E2092F" w:rsidP="00E2092F">
            <w:pPr>
              <w:ind w:left="284"/>
            </w:pPr>
          </w:p>
        </w:tc>
        <w:tc>
          <w:tcPr>
            <w:tcW w:w="1926" w:type="dxa"/>
            <w:tcBorders>
              <w:left w:val="nil"/>
            </w:tcBorders>
          </w:tcPr>
          <w:p w:rsidR="00E2092F" w:rsidRPr="00125528" w:rsidRDefault="00E2092F" w:rsidP="00E2092F">
            <w:pPr>
              <w:ind w:left="59"/>
            </w:pPr>
            <w:r w:rsidRPr="00125528">
              <w:t>Targets</w:t>
            </w:r>
          </w:p>
        </w:tc>
        <w:tc>
          <w:tcPr>
            <w:tcW w:w="7829" w:type="dxa"/>
          </w:tcPr>
          <w:p w:rsidR="00E2092F" w:rsidRPr="00125528" w:rsidRDefault="00E2092F" w:rsidP="00D20D10">
            <w:pPr>
              <w:jc w:val="left"/>
            </w:pPr>
          </w:p>
        </w:tc>
      </w:tr>
      <w:tr w:rsidR="00E2092F" w:rsidRPr="00125528" w:rsidTr="00F6715F">
        <w:tc>
          <w:tcPr>
            <w:tcW w:w="230" w:type="dxa"/>
            <w:gridSpan w:val="2"/>
            <w:tcBorders>
              <w:top w:val="nil"/>
              <w:bottom w:val="single" w:sz="4" w:space="0" w:color="auto"/>
              <w:right w:val="nil"/>
            </w:tcBorders>
          </w:tcPr>
          <w:p w:rsidR="00E2092F" w:rsidRPr="00125528" w:rsidRDefault="00E2092F" w:rsidP="00E2092F">
            <w:pPr>
              <w:ind w:left="284"/>
            </w:pPr>
          </w:p>
        </w:tc>
        <w:tc>
          <w:tcPr>
            <w:tcW w:w="1926" w:type="dxa"/>
            <w:tcBorders>
              <w:left w:val="nil"/>
              <w:bottom w:val="single" w:sz="4" w:space="0" w:color="auto"/>
            </w:tcBorders>
          </w:tcPr>
          <w:p w:rsidR="00E2092F" w:rsidRPr="00125528" w:rsidRDefault="00E2092F" w:rsidP="00E2092F">
            <w:pPr>
              <w:ind w:left="59"/>
            </w:pPr>
            <w:r w:rsidRPr="00125528">
              <w:t>Related policy documents</w:t>
            </w:r>
          </w:p>
        </w:tc>
        <w:tc>
          <w:tcPr>
            <w:tcW w:w="7829" w:type="dxa"/>
            <w:tcBorders>
              <w:bottom w:val="single" w:sz="4" w:space="0" w:color="auto"/>
            </w:tcBorders>
          </w:tcPr>
          <w:p w:rsidR="00E2092F" w:rsidRPr="00125528" w:rsidRDefault="00E2092F" w:rsidP="00E2092F">
            <w:pPr>
              <w:rPr>
                <w:lang w:val="en-US"/>
              </w:rPr>
            </w:pPr>
            <w:r w:rsidRPr="00125528">
              <w:rPr>
                <w:lang w:val="en-US"/>
              </w:rPr>
              <w:t>Habitat Directive: Council Directive 92/43/EEC</w:t>
            </w:r>
          </w:p>
        </w:tc>
      </w:tr>
      <w:tr w:rsidR="00E2092F" w:rsidRPr="00125528" w:rsidTr="00F6715F">
        <w:tc>
          <w:tcPr>
            <w:tcW w:w="2156" w:type="dxa"/>
            <w:gridSpan w:val="3"/>
            <w:tcBorders>
              <w:bottom w:val="single" w:sz="4" w:space="0" w:color="C4BC96" w:themeColor="background2" w:themeShade="BF"/>
            </w:tcBorders>
          </w:tcPr>
          <w:p w:rsidR="00E2092F" w:rsidRPr="006B18BC" w:rsidRDefault="00E2092F" w:rsidP="00E2092F">
            <w:pPr>
              <w:ind w:left="284"/>
              <w:rPr>
                <w:highlight w:val="yellow"/>
              </w:rPr>
            </w:pPr>
            <w:r w:rsidRPr="004D2920">
              <w:t xml:space="preserve"> Methodology</w:t>
            </w:r>
          </w:p>
        </w:tc>
        <w:tc>
          <w:tcPr>
            <w:tcW w:w="7829" w:type="dxa"/>
            <w:tcBorders>
              <w:bottom w:val="single" w:sz="4" w:space="0" w:color="C4BC96" w:themeColor="background2" w:themeShade="BF"/>
            </w:tcBorders>
          </w:tcPr>
          <w:p w:rsidR="00E2092F" w:rsidRPr="006B18BC" w:rsidRDefault="00E2092F" w:rsidP="00E2092F">
            <w:pPr>
              <w:rPr>
                <w:highlight w:val="yellow"/>
              </w:rPr>
            </w:pPr>
          </w:p>
        </w:tc>
      </w:tr>
      <w:tr w:rsidR="00E2092F" w:rsidRPr="00125528" w:rsidTr="00F6715F">
        <w:tc>
          <w:tcPr>
            <w:tcW w:w="205" w:type="dxa"/>
            <w:tcBorders>
              <w:top w:val="single" w:sz="4" w:space="0" w:color="C4BC96" w:themeColor="background2" w:themeShade="BF"/>
              <w:bottom w:val="nil"/>
              <w:right w:val="nil"/>
            </w:tcBorders>
          </w:tcPr>
          <w:p w:rsidR="00E2092F" w:rsidRPr="006B18BC" w:rsidRDefault="00E2092F" w:rsidP="00E2092F">
            <w:pPr>
              <w:ind w:left="284"/>
              <w:rPr>
                <w:highlight w:val="yellow"/>
              </w:rPr>
            </w:pPr>
          </w:p>
        </w:tc>
        <w:tc>
          <w:tcPr>
            <w:tcW w:w="1951" w:type="dxa"/>
            <w:gridSpan w:val="2"/>
            <w:tcBorders>
              <w:top w:val="single" w:sz="4" w:space="0" w:color="C4BC96" w:themeColor="background2" w:themeShade="BF"/>
              <w:left w:val="nil"/>
            </w:tcBorders>
          </w:tcPr>
          <w:p w:rsidR="00E2092F" w:rsidRPr="00A20700" w:rsidRDefault="00E2092F" w:rsidP="00E2092F">
            <w:pPr>
              <w:ind w:left="284"/>
            </w:pPr>
            <w:r w:rsidRPr="00A20700">
              <w:t>Methodology for indicator calculation</w:t>
            </w:r>
          </w:p>
        </w:tc>
        <w:tc>
          <w:tcPr>
            <w:tcW w:w="7829" w:type="dxa"/>
            <w:tcBorders>
              <w:top w:val="single" w:sz="4" w:space="0" w:color="C4BC96" w:themeColor="background2" w:themeShade="BF"/>
            </w:tcBorders>
          </w:tcPr>
          <w:p w:rsidR="00E2092F" w:rsidRPr="00A20700" w:rsidRDefault="00A20700" w:rsidP="005A5C83">
            <w:pPr>
              <w:ind w:left="140"/>
              <w:rPr>
                <w:highlight w:val="yellow"/>
              </w:rPr>
            </w:pPr>
            <w:r w:rsidRPr="00A20700">
              <w:t xml:space="preserve">The indicator has been developed by dividing the number of commercial tourism lodging (bed places) located in rural areas of each NUTS 2 region </w:t>
            </w:r>
            <w:r>
              <w:t xml:space="preserve">(from the Eurostat classification of bed places according the degree of urbanisation) </w:t>
            </w:r>
            <w:r w:rsidRPr="00A20700">
              <w:t xml:space="preserve">by the </w:t>
            </w:r>
            <w:r>
              <w:t xml:space="preserve">total </w:t>
            </w:r>
            <w:r w:rsidRPr="00A20700">
              <w:t xml:space="preserve">surface of </w:t>
            </w:r>
            <w:r>
              <w:t xml:space="preserve">protected areas of </w:t>
            </w:r>
            <w:r w:rsidRPr="00A20700">
              <w:t xml:space="preserve">the region </w:t>
            </w:r>
            <w:r>
              <w:t>(</w:t>
            </w:r>
            <w:r w:rsidRPr="00A20700">
              <w:t>total surface included in the CCDA database</w:t>
            </w:r>
            <w:r>
              <w:t>)</w:t>
            </w:r>
            <w:r w:rsidRPr="00A20700">
              <w:t>.</w:t>
            </w:r>
          </w:p>
        </w:tc>
      </w:tr>
      <w:tr w:rsidR="00E2092F" w:rsidRPr="00125528" w:rsidTr="00F6715F">
        <w:trPr>
          <w:cantSplit/>
        </w:trPr>
        <w:tc>
          <w:tcPr>
            <w:tcW w:w="205" w:type="dxa"/>
            <w:tcBorders>
              <w:top w:val="nil"/>
              <w:bottom w:val="nil"/>
              <w:right w:val="nil"/>
            </w:tcBorders>
          </w:tcPr>
          <w:p w:rsidR="00E2092F" w:rsidRPr="006B18BC" w:rsidRDefault="00E2092F" w:rsidP="00E2092F">
            <w:pPr>
              <w:ind w:left="284"/>
              <w:rPr>
                <w:highlight w:val="yellow"/>
              </w:rPr>
            </w:pPr>
          </w:p>
        </w:tc>
        <w:tc>
          <w:tcPr>
            <w:tcW w:w="1951" w:type="dxa"/>
            <w:gridSpan w:val="2"/>
            <w:tcBorders>
              <w:left w:val="nil"/>
            </w:tcBorders>
          </w:tcPr>
          <w:p w:rsidR="00E2092F" w:rsidRPr="00A20700" w:rsidRDefault="00E2092F" w:rsidP="00E2092F">
            <w:pPr>
              <w:ind w:left="284"/>
            </w:pPr>
            <w:r w:rsidRPr="00A20700">
              <w:t>Methodology for gap filling</w:t>
            </w:r>
          </w:p>
        </w:tc>
        <w:tc>
          <w:tcPr>
            <w:tcW w:w="7829" w:type="dxa"/>
          </w:tcPr>
          <w:p w:rsidR="00A20700" w:rsidRDefault="00A20700" w:rsidP="00A20700">
            <w:pPr>
              <w:ind w:left="140"/>
            </w:pPr>
            <w:r>
              <w:t>Share of the three types of degree or urbanisation has been calculated for the NUTS where the number of beds by d</w:t>
            </w:r>
            <w:r>
              <w:t>e</w:t>
            </w:r>
            <w:r>
              <w:t>gree or urbanisation is available</w:t>
            </w:r>
          </w:p>
          <w:p w:rsidR="00A20700" w:rsidRDefault="00A20700" w:rsidP="00A20700">
            <w:pPr>
              <w:ind w:left="140"/>
            </w:pPr>
            <w:r>
              <w:t>For each country a regression has been calculated being the number of beds by degree of urbanisation the dependent variable and the degree of urbanisation the independent variable.</w:t>
            </w:r>
          </w:p>
          <w:p w:rsidR="00E2092F" w:rsidRPr="006B18BC" w:rsidRDefault="00A20700" w:rsidP="00A20700">
            <w:pPr>
              <w:ind w:left="140"/>
              <w:rPr>
                <w:highlight w:val="yellow"/>
              </w:rPr>
            </w:pPr>
            <w:r>
              <w:t>The outcome of the previous regression has been applied to the NUTS where missing data on number of beds by degree of urbanisation.</w:t>
            </w:r>
          </w:p>
        </w:tc>
      </w:tr>
      <w:tr w:rsidR="00E2092F" w:rsidRPr="00125528" w:rsidTr="00F6715F">
        <w:tc>
          <w:tcPr>
            <w:tcW w:w="205" w:type="dxa"/>
            <w:tcBorders>
              <w:top w:val="nil"/>
              <w:right w:val="nil"/>
            </w:tcBorders>
          </w:tcPr>
          <w:p w:rsidR="00E2092F" w:rsidRPr="00125528" w:rsidRDefault="00E2092F" w:rsidP="00E2092F">
            <w:pPr>
              <w:ind w:left="284"/>
            </w:pPr>
          </w:p>
        </w:tc>
        <w:tc>
          <w:tcPr>
            <w:tcW w:w="1951" w:type="dxa"/>
            <w:gridSpan w:val="2"/>
            <w:tcBorders>
              <w:left w:val="nil"/>
            </w:tcBorders>
          </w:tcPr>
          <w:p w:rsidR="00E2092F" w:rsidRPr="00A20700" w:rsidRDefault="00E2092F" w:rsidP="00E2092F">
            <w:pPr>
              <w:ind w:left="284"/>
            </w:pPr>
            <w:r w:rsidRPr="00A20700">
              <w:t>References</w:t>
            </w:r>
          </w:p>
        </w:tc>
        <w:tc>
          <w:tcPr>
            <w:tcW w:w="7829" w:type="dxa"/>
          </w:tcPr>
          <w:p w:rsidR="00E2092F" w:rsidRPr="00125528" w:rsidRDefault="00E2092F" w:rsidP="00D20D10">
            <w:pPr>
              <w:jc w:val="left"/>
            </w:pPr>
          </w:p>
        </w:tc>
      </w:tr>
      <w:tr w:rsidR="00E2092F" w:rsidRPr="00125528" w:rsidTr="00F6715F">
        <w:tc>
          <w:tcPr>
            <w:tcW w:w="2156" w:type="dxa"/>
            <w:gridSpan w:val="3"/>
            <w:tcBorders>
              <w:bottom w:val="single" w:sz="4" w:space="0" w:color="auto"/>
            </w:tcBorders>
          </w:tcPr>
          <w:p w:rsidR="00E2092F" w:rsidRPr="00A20700" w:rsidRDefault="00E2092F" w:rsidP="00E2092F">
            <w:pPr>
              <w:ind w:left="284"/>
            </w:pPr>
            <w:r w:rsidRPr="00A20700">
              <w:t>Data specifications</w:t>
            </w:r>
          </w:p>
        </w:tc>
        <w:tc>
          <w:tcPr>
            <w:tcW w:w="7829" w:type="dxa"/>
            <w:tcBorders>
              <w:bottom w:val="single" w:sz="4" w:space="0" w:color="auto"/>
            </w:tcBorders>
          </w:tcPr>
          <w:p w:rsidR="00E2092F" w:rsidRDefault="00A20700" w:rsidP="00A20700">
            <w:pPr>
              <w:ind w:left="140"/>
              <w:rPr>
                <w:lang w:val="en-US"/>
              </w:rPr>
            </w:pPr>
            <w:r w:rsidRPr="00A20700">
              <w:rPr>
                <w:lang w:val="en-US"/>
              </w:rPr>
              <w:t>Number of establishments, bedrooms and bed-places by degree of urbanisation and by NUTS 2 regions (from 2012 onwards)</w:t>
            </w:r>
            <w:r>
              <w:rPr>
                <w:lang w:val="en-US"/>
              </w:rPr>
              <w:t>, offered by Eurostat</w:t>
            </w:r>
            <w:r w:rsidRPr="00A20700">
              <w:rPr>
                <w:lang w:val="en-US"/>
              </w:rPr>
              <w:t xml:space="preserve"> (tour_cap_nuts2d)</w:t>
            </w:r>
            <w:r>
              <w:rPr>
                <w:lang w:val="en-US"/>
              </w:rPr>
              <w:t xml:space="preserve">. </w:t>
            </w:r>
          </w:p>
          <w:p w:rsidR="00A20700" w:rsidRPr="006B18BC" w:rsidRDefault="00A20700" w:rsidP="00A20700">
            <w:pPr>
              <w:ind w:left="140"/>
              <w:rPr>
                <w:highlight w:val="yellow"/>
                <w:lang w:val="en-US"/>
              </w:rPr>
            </w:pPr>
            <w:r w:rsidRPr="00A20700">
              <w:rPr>
                <w:lang w:val="en-US"/>
              </w:rPr>
              <w:t>The Common Database on Designated Areas (CDDA) is more commonly known as Nationally designated areas. It is the official source of protected area information from European countries to the World Database of Protected Areas (WDPA). The inventory began in 1995 under the CORINE programme of the European Commission. It is now one of the agreed Eionet priority data flows maintained by EEA with support from the European Topic Centre on Biological Diversity.</w:t>
            </w:r>
          </w:p>
        </w:tc>
      </w:tr>
      <w:tr w:rsidR="00E2092F" w:rsidRPr="00125528" w:rsidTr="00F6715F">
        <w:tc>
          <w:tcPr>
            <w:tcW w:w="2156" w:type="dxa"/>
            <w:gridSpan w:val="3"/>
            <w:tcBorders>
              <w:bottom w:val="single" w:sz="4" w:space="0" w:color="C4BC96" w:themeColor="background2" w:themeShade="BF"/>
            </w:tcBorders>
          </w:tcPr>
          <w:p w:rsidR="00E2092F" w:rsidRPr="00125528" w:rsidRDefault="00E2092F" w:rsidP="00E2092F">
            <w:pPr>
              <w:ind w:left="284"/>
            </w:pPr>
            <w:r w:rsidRPr="00125528">
              <w:rPr>
                <w:lang w:val="en-US"/>
              </w:rPr>
              <w:t xml:space="preserve"> </w:t>
            </w:r>
            <w:r w:rsidRPr="00125528">
              <w:t>Uncertainties</w:t>
            </w:r>
          </w:p>
        </w:tc>
        <w:tc>
          <w:tcPr>
            <w:tcW w:w="7829" w:type="dxa"/>
            <w:tcBorders>
              <w:bottom w:val="single" w:sz="4" w:space="0" w:color="C4BC96" w:themeColor="background2" w:themeShade="BF"/>
            </w:tcBorders>
          </w:tcPr>
          <w:p w:rsidR="00E2092F" w:rsidRPr="00125528" w:rsidRDefault="00E2092F" w:rsidP="00E2092F"/>
        </w:tc>
      </w:tr>
      <w:tr w:rsidR="00E2092F" w:rsidRPr="00125528" w:rsidTr="00F6715F">
        <w:tc>
          <w:tcPr>
            <w:tcW w:w="205" w:type="dxa"/>
            <w:tcBorders>
              <w:top w:val="single" w:sz="4" w:space="0" w:color="C4BC96" w:themeColor="background2" w:themeShade="BF"/>
              <w:bottom w:val="nil"/>
              <w:right w:val="nil"/>
            </w:tcBorders>
          </w:tcPr>
          <w:p w:rsidR="00E2092F" w:rsidRPr="00125528" w:rsidRDefault="00E2092F" w:rsidP="00E2092F">
            <w:pPr>
              <w:ind w:left="284"/>
            </w:pPr>
          </w:p>
        </w:tc>
        <w:tc>
          <w:tcPr>
            <w:tcW w:w="1951" w:type="dxa"/>
            <w:gridSpan w:val="2"/>
            <w:tcBorders>
              <w:top w:val="single" w:sz="4" w:space="0" w:color="C4BC96" w:themeColor="background2" w:themeShade="BF"/>
              <w:left w:val="nil"/>
            </w:tcBorders>
          </w:tcPr>
          <w:p w:rsidR="00E2092F" w:rsidRPr="00125528" w:rsidRDefault="00E2092F" w:rsidP="00E2092F">
            <w:pPr>
              <w:ind w:left="284"/>
            </w:pPr>
            <w:r w:rsidRPr="00125528">
              <w:t>Methodology uncertainty</w:t>
            </w:r>
          </w:p>
        </w:tc>
        <w:tc>
          <w:tcPr>
            <w:tcW w:w="7829" w:type="dxa"/>
            <w:tcBorders>
              <w:top w:val="single" w:sz="4" w:space="0" w:color="C4BC96" w:themeColor="background2" w:themeShade="BF"/>
            </w:tcBorders>
          </w:tcPr>
          <w:p w:rsidR="00E2092F" w:rsidRPr="00125528" w:rsidRDefault="00E2092F" w:rsidP="00E2092F"/>
        </w:tc>
      </w:tr>
      <w:tr w:rsidR="00E2092F" w:rsidRPr="00125528" w:rsidTr="00F6715F">
        <w:tc>
          <w:tcPr>
            <w:tcW w:w="205" w:type="dxa"/>
            <w:tcBorders>
              <w:top w:val="nil"/>
              <w:bottom w:val="nil"/>
              <w:right w:val="nil"/>
            </w:tcBorders>
          </w:tcPr>
          <w:p w:rsidR="00E2092F" w:rsidRPr="00125528" w:rsidRDefault="00E2092F" w:rsidP="00E2092F">
            <w:pPr>
              <w:ind w:left="284"/>
            </w:pPr>
          </w:p>
        </w:tc>
        <w:tc>
          <w:tcPr>
            <w:tcW w:w="1951" w:type="dxa"/>
            <w:gridSpan w:val="2"/>
            <w:tcBorders>
              <w:left w:val="nil"/>
            </w:tcBorders>
          </w:tcPr>
          <w:p w:rsidR="00E2092F" w:rsidRPr="00125528" w:rsidRDefault="00E2092F" w:rsidP="00D20D10">
            <w:pPr>
              <w:ind w:left="284"/>
              <w:jc w:val="left"/>
            </w:pPr>
            <w:r w:rsidRPr="00125528">
              <w:t>Data sets uncertainties</w:t>
            </w:r>
          </w:p>
        </w:tc>
        <w:tc>
          <w:tcPr>
            <w:tcW w:w="7829" w:type="dxa"/>
          </w:tcPr>
          <w:p w:rsidR="00E2092F" w:rsidRPr="00125528" w:rsidRDefault="00E2092F" w:rsidP="00E2092F"/>
        </w:tc>
      </w:tr>
      <w:tr w:rsidR="00E2092F" w:rsidRPr="00125528" w:rsidTr="00F6715F">
        <w:tc>
          <w:tcPr>
            <w:tcW w:w="205" w:type="dxa"/>
            <w:tcBorders>
              <w:top w:val="nil"/>
              <w:right w:val="nil"/>
            </w:tcBorders>
          </w:tcPr>
          <w:p w:rsidR="00E2092F" w:rsidRPr="00125528" w:rsidRDefault="00E2092F" w:rsidP="00E2092F">
            <w:pPr>
              <w:ind w:left="284"/>
            </w:pPr>
          </w:p>
        </w:tc>
        <w:tc>
          <w:tcPr>
            <w:tcW w:w="1951" w:type="dxa"/>
            <w:gridSpan w:val="2"/>
            <w:tcBorders>
              <w:left w:val="nil"/>
            </w:tcBorders>
          </w:tcPr>
          <w:p w:rsidR="00E2092F" w:rsidRPr="00125528" w:rsidRDefault="00E2092F" w:rsidP="00E2092F">
            <w:pPr>
              <w:ind w:left="284"/>
            </w:pPr>
            <w:r w:rsidRPr="00125528">
              <w:t>Rationale uncertainty</w:t>
            </w:r>
          </w:p>
        </w:tc>
        <w:tc>
          <w:tcPr>
            <w:tcW w:w="7829" w:type="dxa"/>
          </w:tcPr>
          <w:p w:rsidR="00B475DC" w:rsidRDefault="00B475DC" w:rsidP="0086237F">
            <w:pPr>
              <w:ind w:left="140"/>
            </w:pPr>
            <w:r>
              <w:t>The indicator does not consider the potential pressure of tourists lodged in urban areas on the nearby protected areas.</w:t>
            </w:r>
            <w:bookmarkStart w:id="0" w:name="_GoBack"/>
            <w:bookmarkEnd w:id="0"/>
          </w:p>
          <w:p w:rsidR="00B475DC" w:rsidRPr="00125528" w:rsidRDefault="0086237F" w:rsidP="00B475DC">
            <w:pPr>
              <w:ind w:left="140"/>
            </w:pPr>
            <w:r w:rsidRPr="0086237F">
              <w:t>Not all the protected areas receive the same level of tourism visitation.</w:t>
            </w:r>
          </w:p>
        </w:tc>
      </w:tr>
      <w:tr w:rsidR="00E2092F" w:rsidRPr="00125528" w:rsidTr="00F6715F">
        <w:tc>
          <w:tcPr>
            <w:tcW w:w="2156" w:type="dxa"/>
            <w:gridSpan w:val="3"/>
          </w:tcPr>
          <w:p w:rsidR="00E2092F" w:rsidRPr="00125528" w:rsidRDefault="00E2092F" w:rsidP="00E2092F">
            <w:pPr>
              <w:ind w:left="284"/>
            </w:pPr>
            <w:r w:rsidRPr="00125528">
              <w:t>Further work</w:t>
            </w:r>
          </w:p>
        </w:tc>
        <w:tc>
          <w:tcPr>
            <w:tcW w:w="7829" w:type="dxa"/>
          </w:tcPr>
          <w:p w:rsidR="00314744" w:rsidRPr="00125528" w:rsidRDefault="00314744" w:rsidP="00E2092F"/>
        </w:tc>
      </w:tr>
      <w:tr w:rsidR="00E2092F" w:rsidRPr="000B3685" w:rsidTr="00F6715F">
        <w:tc>
          <w:tcPr>
            <w:tcW w:w="2156" w:type="dxa"/>
            <w:gridSpan w:val="3"/>
          </w:tcPr>
          <w:p w:rsidR="00E2092F" w:rsidRPr="00125528" w:rsidRDefault="00E2092F" w:rsidP="00E2092F">
            <w:pPr>
              <w:ind w:left="284"/>
            </w:pPr>
            <w:r w:rsidRPr="00125528">
              <w:t xml:space="preserve">Ownership and contacts </w:t>
            </w:r>
          </w:p>
        </w:tc>
        <w:tc>
          <w:tcPr>
            <w:tcW w:w="7829" w:type="dxa"/>
          </w:tcPr>
          <w:p w:rsidR="00E2092F" w:rsidRPr="00F6715F" w:rsidRDefault="00317338" w:rsidP="00E2092F">
            <w:pPr>
              <w:rPr>
                <w:lang w:val="fr-FR"/>
              </w:rPr>
            </w:pPr>
            <w:r>
              <w:rPr>
                <w:lang w:val="fr-FR"/>
              </w:rPr>
              <w:t>ETC-ULS</w:t>
            </w:r>
          </w:p>
        </w:tc>
      </w:tr>
    </w:tbl>
    <w:p w:rsidR="000135C1" w:rsidRPr="00F6715F" w:rsidRDefault="000135C1">
      <w:pPr>
        <w:rPr>
          <w:lang w:val="fr-FR"/>
        </w:rPr>
      </w:pPr>
    </w:p>
    <w:sectPr w:rsidR="000135C1" w:rsidRPr="00F6715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5D" w:rsidRDefault="009A695D" w:rsidP="00566F0F">
      <w:r>
        <w:separator/>
      </w:r>
    </w:p>
  </w:endnote>
  <w:endnote w:type="continuationSeparator" w:id="0">
    <w:p w:rsidR="009A695D" w:rsidRDefault="009A695D" w:rsidP="0056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5D" w:rsidRDefault="009A695D" w:rsidP="00566F0F">
      <w:r>
        <w:separator/>
      </w:r>
    </w:p>
  </w:footnote>
  <w:footnote w:type="continuationSeparator" w:id="0">
    <w:p w:rsidR="009A695D" w:rsidRDefault="009A695D" w:rsidP="00566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A8"/>
    <w:multiLevelType w:val="hybridMultilevel"/>
    <w:tmpl w:val="F8A45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5A21EC"/>
    <w:multiLevelType w:val="hybridMultilevel"/>
    <w:tmpl w:val="149C26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6F518B"/>
    <w:multiLevelType w:val="hybridMultilevel"/>
    <w:tmpl w:val="B448A440"/>
    <w:lvl w:ilvl="0" w:tplc="00BC7A28">
      <w:numFmt w:val="bullet"/>
      <w:lvlText w:val="-"/>
      <w:lvlJc w:val="left"/>
      <w:pPr>
        <w:ind w:left="720" w:hanging="360"/>
      </w:pPr>
      <w:rPr>
        <w:rFonts w:ascii="Calibri" w:eastAsiaTheme="minorHAnsi" w:hAnsi="Calibri"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5A758C"/>
    <w:multiLevelType w:val="hybridMultilevel"/>
    <w:tmpl w:val="3990C112"/>
    <w:lvl w:ilvl="0" w:tplc="5A98DFB8">
      <w:numFmt w:val="bullet"/>
      <w:lvlText w:val="-"/>
      <w:lvlJc w:val="left"/>
      <w:pPr>
        <w:ind w:left="655" w:hanging="360"/>
      </w:pPr>
      <w:rPr>
        <w:rFonts w:ascii="Times New Roman" w:eastAsiaTheme="minorHAnsi" w:hAnsi="Times New Roman" w:cs="Times New Roman" w:hint="default"/>
      </w:rPr>
    </w:lvl>
    <w:lvl w:ilvl="1" w:tplc="0C0A0003" w:tentative="1">
      <w:start w:val="1"/>
      <w:numFmt w:val="bullet"/>
      <w:lvlText w:val="o"/>
      <w:lvlJc w:val="left"/>
      <w:pPr>
        <w:ind w:left="1375" w:hanging="360"/>
      </w:pPr>
      <w:rPr>
        <w:rFonts w:ascii="Courier New" w:hAnsi="Courier New" w:cs="Courier New" w:hint="default"/>
      </w:rPr>
    </w:lvl>
    <w:lvl w:ilvl="2" w:tplc="0C0A0005" w:tentative="1">
      <w:start w:val="1"/>
      <w:numFmt w:val="bullet"/>
      <w:lvlText w:val=""/>
      <w:lvlJc w:val="left"/>
      <w:pPr>
        <w:ind w:left="2095" w:hanging="360"/>
      </w:pPr>
      <w:rPr>
        <w:rFonts w:ascii="Wingdings" w:hAnsi="Wingdings" w:hint="default"/>
      </w:rPr>
    </w:lvl>
    <w:lvl w:ilvl="3" w:tplc="0C0A0001" w:tentative="1">
      <w:start w:val="1"/>
      <w:numFmt w:val="bullet"/>
      <w:lvlText w:val=""/>
      <w:lvlJc w:val="left"/>
      <w:pPr>
        <w:ind w:left="2815" w:hanging="360"/>
      </w:pPr>
      <w:rPr>
        <w:rFonts w:ascii="Symbol" w:hAnsi="Symbol" w:hint="default"/>
      </w:rPr>
    </w:lvl>
    <w:lvl w:ilvl="4" w:tplc="0C0A0003" w:tentative="1">
      <w:start w:val="1"/>
      <w:numFmt w:val="bullet"/>
      <w:lvlText w:val="o"/>
      <w:lvlJc w:val="left"/>
      <w:pPr>
        <w:ind w:left="3535" w:hanging="360"/>
      </w:pPr>
      <w:rPr>
        <w:rFonts w:ascii="Courier New" w:hAnsi="Courier New" w:cs="Courier New" w:hint="default"/>
      </w:rPr>
    </w:lvl>
    <w:lvl w:ilvl="5" w:tplc="0C0A0005" w:tentative="1">
      <w:start w:val="1"/>
      <w:numFmt w:val="bullet"/>
      <w:lvlText w:val=""/>
      <w:lvlJc w:val="left"/>
      <w:pPr>
        <w:ind w:left="4255" w:hanging="360"/>
      </w:pPr>
      <w:rPr>
        <w:rFonts w:ascii="Wingdings" w:hAnsi="Wingdings" w:hint="default"/>
      </w:rPr>
    </w:lvl>
    <w:lvl w:ilvl="6" w:tplc="0C0A0001" w:tentative="1">
      <w:start w:val="1"/>
      <w:numFmt w:val="bullet"/>
      <w:lvlText w:val=""/>
      <w:lvlJc w:val="left"/>
      <w:pPr>
        <w:ind w:left="4975" w:hanging="360"/>
      </w:pPr>
      <w:rPr>
        <w:rFonts w:ascii="Symbol" w:hAnsi="Symbol" w:hint="default"/>
      </w:rPr>
    </w:lvl>
    <w:lvl w:ilvl="7" w:tplc="0C0A0003" w:tentative="1">
      <w:start w:val="1"/>
      <w:numFmt w:val="bullet"/>
      <w:lvlText w:val="o"/>
      <w:lvlJc w:val="left"/>
      <w:pPr>
        <w:ind w:left="5695" w:hanging="360"/>
      </w:pPr>
      <w:rPr>
        <w:rFonts w:ascii="Courier New" w:hAnsi="Courier New" w:cs="Courier New" w:hint="default"/>
      </w:rPr>
    </w:lvl>
    <w:lvl w:ilvl="8" w:tplc="0C0A0005" w:tentative="1">
      <w:start w:val="1"/>
      <w:numFmt w:val="bullet"/>
      <w:lvlText w:val=""/>
      <w:lvlJc w:val="left"/>
      <w:pPr>
        <w:ind w:left="6415" w:hanging="360"/>
      </w:pPr>
      <w:rPr>
        <w:rFonts w:ascii="Wingdings" w:hAnsi="Wingdings" w:hint="default"/>
      </w:rPr>
    </w:lvl>
  </w:abstractNum>
  <w:abstractNum w:abstractNumId="4" w15:restartNumberingAfterBreak="0">
    <w:nsid w:val="5B9D6F97"/>
    <w:multiLevelType w:val="hybridMultilevel"/>
    <w:tmpl w:val="FA9A94DC"/>
    <w:lvl w:ilvl="0" w:tplc="80AA5D40">
      <w:numFmt w:val="bullet"/>
      <w:lvlText w:val="-"/>
      <w:lvlJc w:val="left"/>
      <w:pPr>
        <w:ind w:left="720" w:hanging="360"/>
      </w:pPr>
      <w:rPr>
        <w:rFonts w:ascii="Times New Roman" w:eastAsia="ヒラギノ角ゴ Pro W3"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2F"/>
    <w:rsid w:val="000135C1"/>
    <w:rsid w:val="000B3685"/>
    <w:rsid w:val="00125528"/>
    <w:rsid w:val="0015739A"/>
    <w:rsid w:val="001720CF"/>
    <w:rsid w:val="001B78E2"/>
    <w:rsid w:val="001F12D2"/>
    <w:rsid w:val="00222651"/>
    <w:rsid w:val="00297B0E"/>
    <w:rsid w:val="002A1DE2"/>
    <w:rsid w:val="00314744"/>
    <w:rsid w:val="00317338"/>
    <w:rsid w:val="00330450"/>
    <w:rsid w:val="003970C3"/>
    <w:rsid w:val="003B6B4A"/>
    <w:rsid w:val="0040600D"/>
    <w:rsid w:val="0043241F"/>
    <w:rsid w:val="00460158"/>
    <w:rsid w:val="004D2920"/>
    <w:rsid w:val="00566F0F"/>
    <w:rsid w:val="00597016"/>
    <w:rsid w:val="005A5C83"/>
    <w:rsid w:val="006A7601"/>
    <w:rsid w:val="006B18BC"/>
    <w:rsid w:val="007118A3"/>
    <w:rsid w:val="007128CB"/>
    <w:rsid w:val="0072173D"/>
    <w:rsid w:val="007603FF"/>
    <w:rsid w:val="00761190"/>
    <w:rsid w:val="00786030"/>
    <w:rsid w:val="008176AD"/>
    <w:rsid w:val="00853A31"/>
    <w:rsid w:val="0086237F"/>
    <w:rsid w:val="008B32CE"/>
    <w:rsid w:val="008C2342"/>
    <w:rsid w:val="009124FF"/>
    <w:rsid w:val="00913A75"/>
    <w:rsid w:val="009A695D"/>
    <w:rsid w:val="00A13996"/>
    <w:rsid w:val="00A20700"/>
    <w:rsid w:val="00A64877"/>
    <w:rsid w:val="00AB4D40"/>
    <w:rsid w:val="00B23366"/>
    <w:rsid w:val="00B427AF"/>
    <w:rsid w:val="00B475DC"/>
    <w:rsid w:val="00C164B8"/>
    <w:rsid w:val="00C40629"/>
    <w:rsid w:val="00C8408B"/>
    <w:rsid w:val="00CE090A"/>
    <w:rsid w:val="00CE61E3"/>
    <w:rsid w:val="00CF039E"/>
    <w:rsid w:val="00D20D10"/>
    <w:rsid w:val="00D34C96"/>
    <w:rsid w:val="00D629B3"/>
    <w:rsid w:val="00D6421C"/>
    <w:rsid w:val="00DE2E99"/>
    <w:rsid w:val="00E2092F"/>
    <w:rsid w:val="00EB3E77"/>
    <w:rsid w:val="00EB5784"/>
    <w:rsid w:val="00F07A58"/>
    <w:rsid w:val="00F56DCA"/>
    <w:rsid w:val="00F60D0D"/>
    <w:rsid w:val="00F6648A"/>
    <w:rsid w:val="00F6715F"/>
    <w:rsid w:val="00FC0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29BA"/>
  <w15:docId w15:val="{8EF4EB10-ABB7-44A9-8A2E-F5B15D15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092F"/>
    <w:pPr>
      <w:spacing w:after="0" w:line="240" w:lineRule="auto"/>
      <w:jc w:val="both"/>
    </w:pPr>
    <w:rPr>
      <w:rFonts w:ascii="Times New Roman" w:eastAsia="ヒラギノ角ゴ Pro W3" w:hAnsi="Times New Roman" w:cs="Times New Roman"/>
      <w:color w:val="000000"/>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E2092F"/>
    <w:rPr>
      <w:color w:val="0000FF"/>
      <w:u w:val="single"/>
    </w:rPr>
  </w:style>
  <w:style w:type="table" w:styleId="Tablaconcuadrcula">
    <w:name w:val="Table Grid"/>
    <w:basedOn w:val="Tablanormal"/>
    <w:uiPriority w:val="59"/>
    <w:rsid w:val="00E2092F"/>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Prrafodelista">
    <w:name w:val="List Paragraph"/>
    <w:basedOn w:val="Normal"/>
    <w:link w:val="PrrafodelistaCar"/>
    <w:uiPriority w:val="34"/>
    <w:qFormat/>
    <w:rsid w:val="00E2092F"/>
    <w:pPr>
      <w:ind w:left="720"/>
      <w:contextualSpacing/>
    </w:pPr>
  </w:style>
  <w:style w:type="character" w:customStyle="1" w:styleId="PrrafodelistaCar">
    <w:name w:val="Párrafo de lista Car"/>
    <w:basedOn w:val="Fuentedeprrafopredeter"/>
    <w:link w:val="Prrafodelista"/>
    <w:uiPriority w:val="34"/>
    <w:locked/>
    <w:rsid w:val="00E2092F"/>
    <w:rPr>
      <w:rFonts w:ascii="Times New Roman" w:eastAsia="ヒラギノ角ゴ Pro W3" w:hAnsi="Times New Roman" w:cs="Times New Roman"/>
      <w:color w:val="000000"/>
      <w:sz w:val="24"/>
      <w:szCs w:val="24"/>
      <w:lang w:val="en-GB"/>
    </w:rPr>
  </w:style>
  <w:style w:type="paragraph" w:styleId="Textodeglobo">
    <w:name w:val="Balloon Text"/>
    <w:basedOn w:val="Normal"/>
    <w:link w:val="TextodegloboCar"/>
    <w:uiPriority w:val="99"/>
    <w:semiHidden/>
    <w:unhideWhenUsed/>
    <w:rsid w:val="00E2092F"/>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92F"/>
    <w:rPr>
      <w:rFonts w:ascii="Tahoma" w:eastAsia="ヒラギノ角ゴ Pro W3" w:hAnsi="Tahoma" w:cs="Tahoma"/>
      <w:color w:val="000000"/>
      <w:sz w:val="16"/>
      <w:szCs w:val="16"/>
      <w:lang w:val="en-GB"/>
    </w:rPr>
  </w:style>
  <w:style w:type="paragraph" w:styleId="Textonotapie">
    <w:name w:val="footnote text"/>
    <w:basedOn w:val="Normal"/>
    <w:link w:val="TextonotapieCar"/>
    <w:uiPriority w:val="99"/>
    <w:semiHidden/>
    <w:unhideWhenUsed/>
    <w:rsid w:val="00566F0F"/>
    <w:rPr>
      <w:sz w:val="20"/>
      <w:szCs w:val="20"/>
    </w:rPr>
  </w:style>
  <w:style w:type="character" w:customStyle="1" w:styleId="TextonotapieCar">
    <w:name w:val="Texto nota pie Car"/>
    <w:basedOn w:val="Fuentedeprrafopredeter"/>
    <w:link w:val="Textonotapie"/>
    <w:uiPriority w:val="99"/>
    <w:semiHidden/>
    <w:rsid w:val="00566F0F"/>
    <w:rPr>
      <w:rFonts w:ascii="Times New Roman" w:eastAsia="ヒラギノ角ゴ Pro W3" w:hAnsi="Times New Roman" w:cs="Times New Roman"/>
      <w:color w:val="000000"/>
      <w:sz w:val="20"/>
      <w:szCs w:val="20"/>
      <w:lang w:val="en-GB"/>
    </w:rPr>
  </w:style>
  <w:style w:type="character" w:styleId="Refdenotaalpie">
    <w:name w:val="footnote reference"/>
    <w:basedOn w:val="Fuentedeprrafopredeter"/>
    <w:uiPriority w:val="99"/>
    <w:semiHidden/>
    <w:unhideWhenUsed/>
    <w:rsid w:val="00566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26">
      <w:bodyDiv w:val="1"/>
      <w:marLeft w:val="0"/>
      <w:marRight w:val="0"/>
      <w:marTop w:val="0"/>
      <w:marBottom w:val="0"/>
      <w:divBdr>
        <w:top w:val="none" w:sz="0" w:space="0" w:color="auto"/>
        <w:left w:val="none" w:sz="0" w:space="0" w:color="auto"/>
        <w:bottom w:val="none" w:sz="0" w:space="0" w:color="auto"/>
        <w:right w:val="none" w:sz="0" w:space="0" w:color="auto"/>
      </w:divBdr>
    </w:div>
    <w:div w:id="119424569">
      <w:bodyDiv w:val="1"/>
      <w:marLeft w:val="0"/>
      <w:marRight w:val="0"/>
      <w:marTop w:val="0"/>
      <w:marBottom w:val="0"/>
      <w:divBdr>
        <w:top w:val="none" w:sz="0" w:space="0" w:color="auto"/>
        <w:left w:val="none" w:sz="0" w:space="0" w:color="auto"/>
        <w:bottom w:val="none" w:sz="0" w:space="0" w:color="auto"/>
        <w:right w:val="none" w:sz="0" w:space="0" w:color="auto"/>
      </w:divBdr>
      <w:divsChild>
        <w:div w:id="1757482669">
          <w:marLeft w:val="0"/>
          <w:marRight w:val="0"/>
          <w:marTop w:val="0"/>
          <w:marBottom w:val="0"/>
          <w:divBdr>
            <w:top w:val="none" w:sz="0" w:space="0" w:color="auto"/>
            <w:left w:val="none" w:sz="0" w:space="0" w:color="auto"/>
            <w:bottom w:val="none" w:sz="0" w:space="0" w:color="auto"/>
            <w:right w:val="none" w:sz="0" w:space="0" w:color="auto"/>
          </w:divBdr>
        </w:div>
        <w:div w:id="531459927">
          <w:marLeft w:val="0"/>
          <w:marRight w:val="0"/>
          <w:marTop w:val="0"/>
          <w:marBottom w:val="0"/>
          <w:divBdr>
            <w:top w:val="none" w:sz="0" w:space="0" w:color="auto"/>
            <w:left w:val="none" w:sz="0" w:space="0" w:color="auto"/>
            <w:bottom w:val="none" w:sz="0" w:space="0" w:color="auto"/>
            <w:right w:val="none" w:sz="0" w:space="0" w:color="auto"/>
          </w:divBdr>
        </w:div>
        <w:div w:id="2101025741">
          <w:marLeft w:val="0"/>
          <w:marRight w:val="0"/>
          <w:marTop w:val="0"/>
          <w:marBottom w:val="0"/>
          <w:divBdr>
            <w:top w:val="none" w:sz="0" w:space="0" w:color="auto"/>
            <w:left w:val="none" w:sz="0" w:space="0" w:color="auto"/>
            <w:bottom w:val="none" w:sz="0" w:space="0" w:color="auto"/>
            <w:right w:val="none" w:sz="0" w:space="0" w:color="auto"/>
          </w:divBdr>
        </w:div>
        <w:div w:id="562568137">
          <w:marLeft w:val="0"/>
          <w:marRight w:val="0"/>
          <w:marTop w:val="0"/>
          <w:marBottom w:val="0"/>
          <w:divBdr>
            <w:top w:val="none" w:sz="0" w:space="0" w:color="auto"/>
            <w:left w:val="none" w:sz="0" w:space="0" w:color="auto"/>
            <w:bottom w:val="none" w:sz="0" w:space="0" w:color="auto"/>
            <w:right w:val="none" w:sz="0" w:space="0" w:color="auto"/>
          </w:divBdr>
        </w:div>
        <w:div w:id="2120181580">
          <w:marLeft w:val="0"/>
          <w:marRight w:val="0"/>
          <w:marTop w:val="0"/>
          <w:marBottom w:val="0"/>
          <w:divBdr>
            <w:top w:val="none" w:sz="0" w:space="0" w:color="auto"/>
            <w:left w:val="none" w:sz="0" w:space="0" w:color="auto"/>
            <w:bottom w:val="none" w:sz="0" w:space="0" w:color="auto"/>
            <w:right w:val="none" w:sz="0" w:space="0" w:color="auto"/>
          </w:divBdr>
        </w:div>
        <w:div w:id="137848436">
          <w:marLeft w:val="0"/>
          <w:marRight w:val="0"/>
          <w:marTop w:val="0"/>
          <w:marBottom w:val="0"/>
          <w:divBdr>
            <w:top w:val="none" w:sz="0" w:space="0" w:color="auto"/>
            <w:left w:val="none" w:sz="0" w:space="0" w:color="auto"/>
            <w:bottom w:val="none" w:sz="0" w:space="0" w:color="auto"/>
            <w:right w:val="none" w:sz="0" w:space="0" w:color="auto"/>
          </w:divBdr>
        </w:div>
        <w:div w:id="151609750">
          <w:marLeft w:val="0"/>
          <w:marRight w:val="0"/>
          <w:marTop w:val="0"/>
          <w:marBottom w:val="0"/>
          <w:divBdr>
            <w:top w:val="none" w:sz="0" w:space="0" w:color="auto"/>
            <w:left w:val="none" w:sz="0" w:space="0" w:color="auto"/>
            <w:bottom w:val="none" w:sz="0" w:space="0" w:color="auto"/>
            <w:right w:val="none" w:sz="0" w:space="0" w:color="auto"/>
          </w:divBdr>
        </w:div>
        <w:div w:id="1417436656">
          <w:marLeft w:val="0"/>
          <w:marRight w:val="0"/>
          <w:marTop w:val="0"/>
          <w:marBottom w:val="0"/>
          <w:divBdr>
            <w:top w:val="none" w:sz="0" w:space="0" w:color="auto"/>
            <w:left w:val="none" w:sz="0" w:space="0" w:color="auto"/>
            <w:bottom w:val="none" w:sz="0" w:space="0" w:color="auto"/>
            <w:right w:val="none" w:sz="0" w:space="0" w:color="auto"/>
          </w:divBdr>
        </w:div>
        <w:div w:id="1634169009">
          <w:marLeft w:val="0"/>
          <w:marRight w:val="0"/>
          <w:marTop w:val="0"/>
          <w:marBottom w:val="0"/>
          <w:divBdr>
            <w:top w:val="none" w:sz="0" w:space="0" w:color="auto"/>
            <w:left w:val="none" w:sz="0" w:space="0" w:color="auto"/>
            <w:bottom w:val="none" w:sz="0" w:space="0" w:color="auto"/>
            <w:right w:val="none" w:sz="0" w:space="0" w:color="auto"/>
          </w:divBdr>
        </w:div>
        <w:div w:id="1453330298">
          <w:marLeft w:val="0"/>
          <w:marRight w:val="0"/>
          <w:marTop w:val="0"/>
          <w:marBottom w:val="0"/>
          <w:divBdr>
            <w:top w:val="none" w:sz="0" w:space="0" w:color="auto"/>
            <w:left w:val="none" w:sz="0" w:space="0" w:color="auto"/>
            <w:bottom w:val="none" w:sz="0" w:space="0" w:color="auto"/>
            <w:right w:val="none" w:sz="0" w:space="0" w:color="auto"/>
          </w:divBdr>
        </w:div>
        <w:div w:id="1163593292">
          <w:marLeft w:val="0"/>
          <w:marRight w:val="0"/>
          <w:marTop w:val="0"/>
          <w:marBottom w:val="0"/>
          <w:divBdr>
            <w:top w:val="none" w:sz="0" w:space="0" w:color="auto"/>
            <w:left w:val="none" w:sz="0" w:space="0" w:color="auto"/>
            <w:bottom w:val="none" w:sz="0" w:space="0" w:color="auto"/>
            <w:right w:val="none" w:sz="0" w:space="0" w:color="auto"/>
          </w:divBdr>
        </w:div>
        <w:div w:id="389232145">
          <w:marLeft w:val="0"/>
          <w:marRight w:val="0"/>
          <w:marTop w:val="0"/>
          <w:marBottom w:val="0"/>
          <w:divBdr>
            <w:top w:val="none" w:sz="0" w:space="0" w:color="auto"/>
            <w:left w:val="none" w:sz="0" w:space="0" w:color="auto"/>
            <w:bottom w:val="none" w:sz="0" w:space="0" w:color="auto"/>
            <w:right w:val="none" w:sz="0" w:space="0" w:color="auto"/>
          </w:divBdr>
        </w:div>
        <w:div w:id="916480217">
          <w:marLeft w:val="0"/>
          <w:marRight w:val="0"/>
          <w:marTop w:val="0"/>
          <w:marBottom w:val="0"/>
          <w:divBdr>
            <w:top w:val="none" w:sz="0" w:space="0" w:color="auto"/>
            <w:left w:val="none" w:sz="0" w:space="0" w:color="auto"/>
            <w:bottom w:val="none" w:sz="0" w:space="0" w:color="auto"/>
            <w:right w:val="none" w:sz="0" w:space="0" w:color="auto"/>
          </w:divBdr>
        </w:div>
        <w:div w:id="450783037">
          <w:marLeft w:val="0"/>
          <w:marRight w:val="0"/>
          <w:marTop w:val="0"/>
          <w:marBottom w:val="0"/>
          <w:divBdr>
            <w:top w:val="none" w:sz="0" w:space="0" w:color="auto"/>
            <w:left w:val="none" w:sz="0" w:space="0" w:color="auto"/>
            <w:bottom w:val="none" w:sz="0" w:space="0" w:color="auto"/>
            <w:right w:val="none" w:sz="0" w:space="0" w:color="auto"/>
          </w:divBdr>
        </w:div>
        <w:div w:id="1089885008">
          <w:marLeft w:val="0"/>
          <w:marRight w:val="0"/>
          <w:marTop w:val="0"/>
          <w:marBottom w:val="0"/>
          <w:divBdr>
            <w:top w:val="none" w:sz="0" w:space="0" w:color="auto"/>
            <w:left w:val="none" w:sz="0" w:space="0" w:color="auto"/>
            <w:bottom w:val="none" w:sz="0" w:space="0" w:color="auto"/>
            <w:right w:val="none" w:sz="0" w:space="0" w:color="auto"/>
          </w:divBdr>
        </w:div>
        <w:div w:id="1111049711">
          <w:marLeft w:val="0"/>
          <w:marRight w:val="0"/>
          <w:marTop w:val="0"/>
          <w:marBottom w:val="0"/>
          <w:divBdr>
            <w:top w:val="none" w:sz="0" w:space="0" w:color="auto"/>
            <w:left w:val="none" w:sz="0" w:space="0" w:color="auto"/>
            <w:bottom w:val="none" w:sz="0" w:space="0" w:color="auto"/>
            <w:right w:val="none" w:sz="0" w:space="0" w:color="auto"/>
          </w:divBdr>
        </w:div>
        <w:div w:id="1855613968">
          <w:marLeft w:val="0"/>
          <w:marRight w:val="0"/>
          <w:marTop w:val="0"/>
          <w:marBottom w:val="0"/>
          <w:divBdr>
            <w:top w:val="none" w:sz="0" w:space="0" w:color="auto"/>
            <w:left w:val="none" w:sz="0" w:space="0" w:color="auto"/>
            <w:bottom w:val="none" w:sz="0" w:space="0" w:color="auto"/>
            <w:right w:val="none" w:sz="0" w:space="0" w:color="auto"/>
          </w:divBdr>
        </w:div>
        <w:div w:id="1392654428">
          <w:marLeft w:val="0"/>
          <w:marRight w:val="0"/>
          <w:marTop w:val="0"/>
          <w:marBottom w:val="0"/>
          <w:divBdr>
            <w:top w:val="none" w:sz="0" w:space="0" w:color="auto"/>
            <w:left w:val="none" w:sz="0" w:space="0" w:color="auto"/>
            <w:bottom w:val="none" w:sz="0" w:space="0" w:color="auto"/>
            <w:right w:val="none" w:sz="0" w:space="0" w:color="auto"/>
          </w:divBdr>
        </w:div>
        <w:div w:id="1062751055">
          <w:marLeft w:val="0"/>
          <w:marRight w:val="0"/>
          <w:marTop w:val="0"/>
          <w:marBottom w:val="0"/>
          <w:divBdr>
            <w:top w:val="none" w:sz="0" w:space="0" w:color="auto"/>
            <w:left w:val="none" w:sz="0" w:space="0" w:color="auto"/>
            <w:bottom w:val="none" w:sz="0" w:space="0" w:color="auto"/>
            <w:right w:val="none" w:sz="0" w:space="0" w:color="auto"/>
          </w:divBdr>
        </w:div>
        <w:div w:id="697894759">
          <w:marLeft w:val="0"/>
          <w:marRight w:val="0"/>
          <w:marTop w:val="0"/>
          <w:marBottom w:val="0"/>
          <w:divBdr>
            <w:top w:val="none" w:sz="0" w:space="0" w:color="auto"/>
            <w:left w:val="none" w:sz="0" w:space="0" w:color="auto"/>
            <w:bottom w:val="none" w:sz="0" w:space="0" w:color="auto"/>
            <w:right w:val="none" w:sz="0" w:space="0" w:color="auto"/>
          </w:divBdr>
        </w:div>
      </w:divsChild>
    </w:div>
    <w:div w:id="303657847">
      <w:bodyDiv w:val="1"/>
      <w:marLeft w:val="0"/>
      <w:marRight w:val="0"/>
      <w:marTop w:val="0"/>
      <w:marBottom w:val="0"/>
      <w:divBdr>
        <w:top w:val="none" w:sz="0" w:space="0" w:color="auto"/>
        <w:left w:val="none" w:sz="0" w:space="0" w:color="auto"/>
        <w:bottom w:val="none" w:sz="0" w:space="0" w:color="auto"/>
        <w:right w:val="none" w:sz="0" w:space="0" w:color="auto"/>
      </w:divBdr>
      <w:divsChild>
        <w:div w:id="1698387911">
          <w:marLeft w:val="0"/>
          <w:marRight w:val="0"/>
          <w:marTop w:val="0"/>
          <w:marBottom w:val="0"/>
          <w:divBdr>
            <w:top w:val="none" w:sz="0" w:space="0" w:color="auto"/>
            <w:left w:val="none" w:sz="0" w:space="0" w:color="auto"/>
            <w:bottom w:val="none" w:sz="0" w:space="0" w:color="auto"/>
            <w:right w:val="none" w:sz="0" w:space="0" w:color="auto"/>
          </w:divBdr>
          <w:divsChild>
            <w:div w:id="21401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3354">
      <w:bodyDiv w:val="1"/>
      <w:marLeft w:val="0"/>
      <w:marRight w:val="0"/>
      <w:marTop w:val="0"/>
      <w:marBottom w:val="0"/>
      <w:divBdr>
        <w:top w:val="none" w:sz="0" w:space="0" w:color="auto"/>
        <w:left w:val="none" w:sz="0" w:space="0" w:color="auto"/>
        <w:bottom w:val="none" w:sz="0" w:space="0" w:color="auto"/>
        <w:right w:val="none" w:sz="0" w:space="0" w:color="auto"/>
      </w:divBdr>
      <w:divsChild>
        <w:div w:id="1992636902">
          <w:marLeft w:val="0"/>
          <w:marRight w:val="0"/>
          <w:marTop w:val="0"/>
          <w:marBottom w:val="0"/>
          <w:divBdr>
            <w:top w:val="none" w:sz="0" w:space="0" w:color="auto"/>
            <w:left w:val="none" w:sz="0" w:space="0" w:color="auto"/>
            <w:bottom w:val="none" w:sz="0" w:space="0" w:color="auto"/>
            <w:right w:val="none" w:sz="0" w:space="0" w:color="auto"/>
          </w:divBdr>
          <w:divsChild>
            <w:div w:id="965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362">
      <w:bodyDiv w:val="1"/>
      <w:marLeft w:val="0"/>
      <w:marRight w:val="0"/>
      <w:marTop w:val="0"/>
      <w:marBottom w:val="0"/>
      <w:divBdr>
        <w:top w:val="none" w:sz="0" w:space="0" w:color="auto"/>
        <w:left w:val="none" w:sz="0" w:space="0" w:color="auto"/>
        <w:bottom w:val="none" w:sz="0" w:space="0" w:color="auto"/>
        <w:right w:val="none" w:sz="0" w:space="0" w:color="auto"/>
      </w:divBdr>
      <w:divsChild>
        <w:div w:id="244263473">
          <w:marLeft w:val="0"/>
          <w:marRight w:val="0"/>
          <w:marTop w:val="0"/>
          <w:marBottom w:val="0"/>
          <w:divBdr>
            <w:top w:val="none" w:sz="0" w:space="0" w:color="auto"/>
            <w:left w:val="none" w:sz="0" w:space="0" w:color="auto"/>
            <w:bottom w:val="none" w:sz="0" w:space="0" w:color="auto"/>
            <w:right w:val="none" w:sz="0" w:space="0" w:color="auto"/>
          </w:divBdr>
          <w:divsChild>
            <w:div w:id="14526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4668">
      <w:bodyDiv w:val="1"/>
      <w:marLeft w:val="0"/>
      <w:marRight w:val="0"/>
      <w:marTop w:val="0"/>
      <w:marBottom w:val="0"/>
      <w:divBdr>
        <w:top w:val="none" w:sz="0" w:space="0" w:color="auto"/>
        <w:left w:val="none" w:sz="0" w:space="0" w:color="auto"/>
        <w:bottom w:val="none" w:sz="0" w:space="0" w:color="auto"/>
        <w:right w:val="none" w:sz="0" w:space="0" w:color="auto"/>
      </w:divBdr>
      <w:divsChild>
        <w:div w:id="1112483308">
          <w:marLeft w:val="0"/>
          <w:marRight w:val="0"/>
          <w:marTop w:val="0"/>
          <w:marBottom w:val="0"/>
          <w:divBdr>
            <w:top w:val="none" w:sz="0" w:space="0" w:color="auto"/>
            <w:left w:val="none" w:sz="0" w:space="0" w:color="auto"/>
            <w:bottom w:val="none" w:sz="0" w:space="0" w:color="auto"/>
            <w:right w:val="none" w:sz="0" w:space="0" w:color="auto"/>
          </w:divBdr>
          <w:divsChild>
            <w:div w:id="13393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527">
      <w:bodyDiv w:val="1"/>
      <w:marLeft w:val="0"/>
      <w:marRight w:val="0"/>
      <w:marTop w:val="0"/>
      <w:marBottom w:val="0"/>
      <w:divBdr>
        <w:top w:val="none" w:sz="0" w:space="0" w:color="auto"/>
        <w:left w:val="none" w:sz="0" w:space="0" w:color="auto"/>
        <w:bottom w:val="none" w:sz="0" w:space="0" w:color="auto"/>
        <w:right w:val="none" w:sz="0" w:space="0" w:color="auto"/>
      </w:divBdr>
      <w:divsChild>
        <w:div w:id="66732703">
          <w:marLeft w:val="0"/>
          <w:marRight w:val="0"/>
          <w:marTop w:val="0"/>
          <w:marBottom w:val="0"/>
          <w:divBdr>
            <w:top w:val="none" w:sz="0" w:space="0" w:color="auto"/>
            <w:left w:val="none" w:sz="0" w:space="0" w:color="auto"/>
            <w:bottom w:val="none" w:sz="0" w:space="0" w:color="auto"/>
            <w:right w:val="none" w:sz="0" w:space="0" w:color="auto"/>
          </w:divBdr>
          <w:divsChild>
            <w:div w:id="364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7ACF-9B54-485F-9BB0-44929C8C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904</Words>
  <Characters>4976</Characters>
  <Application>Microsoft Office Word</Application>
  <DocSecurity>0</DocSecurity>
  <Lines>41</Lines>
  <Paragraphs>11</Paragraphs>
  <ScaleCrop>false</ScaleCrop>
  <HeadingPairs>
    <vt:vector size="6" baseType="variant">
      <vt:variant>
        <vt:lpstr>Título</vt:lpstr>
      </vt:variant>
      <vt:variant>
        <vt:i4>1</vt:i4>
      </vt:variant>
      <vt:variant>
        <vt:lpstr>Title</vt:lpstr>
      </vt:variant>
      <vt:variant>
        <vt:i4>1</vt:i4>
      </vt:variant>
      <vt:variant>
        <vt:lpstr>Títol</vt:lpstr>
      </vt:variant>
      <vt:variant>
        <vt:i4>1</vt:i4>
      </vt:variant>
    </vt:vector>
  </HeadingPairs>
  <TitlesOfParts>
    <vt:vector size="3" baseType="lpstr">
      <vt:lpstr/>
      <vt:lpstr/>
      <vt:lpstr/>
    </vt:vector>
  </TitlesOfParts>
  <Company>UAB</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j_fons</dc:creator>
  <cp:lastModifiedBy>ACER</cp:lastModifiedBy>
  <cp:revision>4</cp:revision>
  <dcterms:created xsi:type="dcterms:W3CDTF">2017-06-06T14:18:00Z</dcterms:created>
  <dcterms:modified xsi:type="dcterms:W3CDTF">2017-06-06T16:46:00Z</dcterms:modified>
</cp:coreProperties>
</file>