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14" w:type="dxa"/>
        <w:tblLook w:val="04A0" w:firstRow="1" w:lastRow="0" w:firstColumn="1" w:lastColumn="0" w:noHBand="0" w:noVBand="1"/>
      </w:tblPr>
      <w:tblGrid>
        <w:gridCol w:w="277"/>
        <w:gridCol w:w="25"/>
        <w:gridCol w:w="1955"/>
        <w:gridCol w:w="7596"/>
      </w:tblGrid>
      <w:tr w:rsidR="00313FF8" w:rsidRPr="00B71458" w:rsidTr="00963625">
        <w:tc>
          <w:tcPr>
            <w:tcW w:w="2257" w:type="dxa"/>
            <w:gridSpan w:val="3"/>
            <w:tcMar>
              <w:top w:w="57" w:type="dxa"/>
              <w:bottom w:w="57" w:type="dxa"/>
            </w:tcMar>
          </w:tcPr>
          <w:p w:rsidR="00313FF8" w:rsidRPr="00A5016A" w:rsidRDefault="00313FF8" w:rsidP="00313FF8">
            <w:pPr>
              <w:rPr>
                <w:rFonts w:ascii="Times New Roman" w:hAnsi="Times New Roman" w:cs="Times New Roman"/>
                <w:b/>
                <w:sz w:val="24"/>
                <w:szCs w:val="24"/>
                <w:lang w:val="en-GB"/>
              </w:rPr>
            </w:pPr>
            <w:r w:rsidRPr="00A5016A">
              <w:rPr>
                <w:rFonts w:ascii="Times New Roman" w:hAnsi="Times New Roman" w:cs="Times New Roman"/>
                <w:b/>
                <w:sz w:val="24"/>
                <w:szCs w:val="24"/>
                <w:lang w:val="en-GB"/>
              </w:rPr>
              <w:t xml:space="preserve">Indicator name </w:t>
            </w:r>
          </w:p>
        </w:tc>
        <w:tc>
          <w:tcPr>
            <w:tcW w:w="7357" w:type="dxa"/>
            <w:tcMar>
              <w:top w:w="57" w:type="dxa"/>
              <w:bottom w:w="57" w:type="dxa"/>
            </w:tcMar>
          </w:tcPr>
          <w:p w:rsidR="00313FF8" w:rsidRPr="00A5016A" w:rsidRDefault="00B71458" w:rsidP="00313FF8">
            <w:pPr>
              <w:rPr>
                <w:rFonts w:ascii="Times New Roman" w:hAnsi="Times New Roman" w:cs="Times New Roman"/>
                <w:sz w:val="24"/>
                <w:szCs w:val="24"/>
                <w:lang w:val="en-GB"/>
              </w:rPr>
            </w:pPr>
            <w:r w:rsidRPr="00B71458">
              <w:rPr>
                <w:rFonts w:ascii="Times New Roman" w:hAnsi="Times New Roman" w:cs="Times New Roman"/>
                <w:sz w:val="24"/>
                <w:szCs w:val="24"/>
                <w:lang w:val="en-GB"/>
              </w:rPr>
              <w:t>Tourism pressure on protected areas</w:t>
            </w:r>
          </w:p>
        </w:tc>
      </w:tr>
      <w:tr w:rsidR="000B6BC7" w:rsidRPr="00A5016A" w:rsidTr="00963625">
        <w:tc>
          <w:tcPr>
            <w:tcW w:w="2257" w:type="dxa"/>
            <w:gridSpan w:val="3"/>
            <w:tcMar>
              <w:top w:w="57" w:type="dxa"/>
              <w:bottom w:w="57" w:type="dxa"/>
            </w:tcMar>
          </w:tcPr>
          <w:p w:rsidR="000B6BC7" w:rsidRPr="00A5016A" w:rsidRDefault="000B6BC7">
            <w:pPr>
              <w:rPr>
                <w:rFonts w:ascii="Times New Roman" w:hAnsi="Times New Roman" w:cs="Times New Roman"/>
                <w:b/>
                <w:sz w:val="24"/>
                <w:szCs w:val="24"/>
                <w:lang w:val="en-GB"/>
              </w:rPr>
            </w:pPr>
            <w:r w:rsidRPr="00A5016A">
              <w:rPr>
                <w:rFonts w:ascii="Times New Roman" w:hAnsi="Times New Roman" w:cs="Times New Roman"/>
                <w:b/>
                <w:sz w:val="24"/>
                <w:szCs w:val="24"/>
                <w:lang w:val="en-GB"/>
              </w:rPr>
              <w:t>ASSESSMENT</w:t>
            </w:r>
          </w:p>
        </w:tc>
        <w:tc>
          <w:tcPr>
            <w:tcW w:w="7357" w:type="dxa"/>
            <w:tcMar>
              <w:top w:w="57" w:type="dxa"/>
              <w:bottom w:w="57" w:type="dxa"/>
            </w:tcMar>
          </w:tcPr>
          <w:p w:rsidR="000B6BC7" w:rsidRPr="00A5016A" w:rsidRDefault="000B6BC7">
            <w:pPr>
              <w:rPr>
                <w:rFonts w:ascii="Times New Roman" w:hAnsi="Times New Roman" w:cs="Times New Roman"/>
                <w:sz w:val="24"/>
                <w:szCs w:val="24"/>
                <w:lang w:val="en-GB"/>
              </w:rPr>
            </w:pPr>
          </w:p>
        </w:tc>
      </w:tr>
      <w:tr w:rsidR="00376871" w:rsidRPr="00B71458" w:rsidTr="00963625">
        <w:tc>
          <w:tcPr>
            <w:tcW w:w="2257" w:type="dxa"/>
            <w:gridSpan w:val="3"/>
            <w:tcMar>
              <w:top w:w="57" w:type="dxa"/>
              <w:bottom w:w="57" w:type="dxa"/>
            </w:tcMar>
          </w:tcPr>
          <w:p w:rsidR="00376871" w:rsidRPr="00A5016A" w:rsidRDefault="00376871" w:rsidP="000D72D1">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Indicator Name</w:t>
            </w:r>
          </w:p>
        </w:tc>
        <w:tc>
          <w:tcPr>
            <w:tcW w:w="7357" w:type="dxa"/>
            <w:tcMar>
              <w:top w:w="57" w:type="dxa"/>
              <w:bottom w:w="57" w:type="dxa"/>
            </w:tcMar>
          </w:tcPr>
          <w:p w:rsidR="00795E2F" w:rsidRPr="00B71458" w:rsidRDefault="00B71458" w:rsidP="00B71458">
            <w:pPr>
              <w:tabs>
                <w:tab w:val="left" w:pos="1095"/>
              </w:tabs>
              <w:rPr>
                <w:rFonts w:ascii="Times New Roman" w:hAnsi="Times New Roman" w:cs="Times New Roman"/>
                <w:sz w:val="24"/>
                <w:szCs w:val="24"/>
                <w:lang w:val="fr-FR"/>
              </w:rPr>
            </w:pPr>
            <w:r w:rsidRPr="00B71458">
              <w:rPr>
                <w:rFonts w:ascii="Times New Roman" w:hAnsi="Times New Roman" w:cs="Times New Roman"/>
                <w:sz w:val="24"/>
                <w:szCs w:val="24"/>
                <w:lang w:val="fr-FR"/>
              </w:rPr>
              <w:t>TOUR005b</w:t>
            </w:r>
            <w:r>
              <w:rPr>
                <w:rFonts w:ascii="Times New Roman" w:hAnsi="Times New Roman" w:cs="Times New Roman"/>
                <w:sz w:val="24"/>
                <w:szCs w:val="24"/>
                <w:lang w:val="fr-FR"/>
              </w:rPr>
              <w:t xml:space="preserve"> - </w:t>
            </w:r>
            <w:r w:rsidR="005D59D0" w:rsidRPr="00B71458">
              <w:rPr>
                <w:rFonts w:ascii="Times New Roman" w:hAnsi="Times New Roman" w:cs="Times New Roman"/>
                <w:sz w:val="24"/>
                <w:szCs w:val="24"/>
                <w:lang w:val="fr-FR"/>
              </w:rPr>
              <w:t>Ski resorts’ pressure on Natura 2000 sites</w:t>
            </w:r>
          </w:p>
        </w:tc>
      </w:tr>
      <w:tr w:rsidR="00376871" w:rsidRPr="00B71458" w:rsidTr="00963625">
        <w:tc>
          <w:tcPr>
            <w:tcW w:w="2257" w:type="dxa"/>
            <w:gridSpan w:val="3"/>
            <w:tcMar>
              <w:top w:w="57" w:type="dxa"/>
              <w:bottom w:w="57" w:type="dxa"/>
            </w:tcMar>
          </w:tcPr>
          <w:p w:rsidR="00376871" w:rsidRPr="00A5016A" w:rsidRDefault="00376871"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Key policy question</w:t>
            </w:r>
          </w:p>
        </w:tc>
        <w:tc>
          <w:tcPr>
            <w:tcW w:w="7357" w:type="dxa"/>
            <w:tcMar>
              <w:top w:w="57" w:type="dxa"/>
              <w:bottom w:w="57" w:type="dxa"/>
            </w:tcMar>
          </w:tcPr>
          <w:p w:rsidR="00376871" w:rsidRPr="00A5016A" w:rsidRDefault="00D75153" w:rsidP="0006446C">
            <w:pPr>
              <w:rPr>
                <w:rFonts w:ascii="Times New Roman" w:hAnsi="Times New Roman" w:cs="Times New Roman"/>
                <w:sz w:val="24"/>
                <w:szCs w:val="24"/>
                <w:lang w:val="en-GB"/>
              </w:rPr>
            </w:pPr>
            <w:r w:rsidRPr="00A5016A">
              <w:rPr>
                <w:rFonts w:ascii="Times New Roman" w:hAnsi="Times New Roman" w:cs="Times New Roman"/>
                <w:sz w:val="24"/>
                <w:szCs w:val="24"/>
                <w:lang w:val="en-US"/>
              </w:rPr>
              <w:t>Are we reducing the spatial pressure from tourism infrastructures?</w:t>
            </w:r>
          </w:p>
        </w:tc>
      </w:tr>
      <w:tr w:rsidR="00963625" w:rsidRPr="00B71458" w:rsidTr="00963625">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Key message</w:t>
            </w:r>
          </w:p>
        </w:tc>
        <w:tc>
          <w:tcPr>
            <w:tcW w:w="7357" w:type="dxa"/>
            <w:tcMar>
              <w:top w:w="57" w:type="dxa"/>
              <w:bottom w:w="57" w:type="dxa"/>
            </w:tcMar>
          </w:tcPr>
          <w:p w:rsidR="00313FF8" w:rsidRPr="00A5016A" w:rsidRDefault="00AD1C72" w:rsidP="00313FF8">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Ski resorts and the related infrastructure (slopes, lifts) </w:t>
            </w:r>
            <w:r w:rsidR="00B06377" w:rsidRPr="00A5016A">
              <w:rPr>
                <w:rFonts w:ascii="Times New Roman" w:hAnsi="Times New Roman" w:cs="Times New Roman"/>
                <w:sz w:val="24"/>
                <w:szCs w:val="24"/>
                <w:lang w:val="en-GB"/>
              </w:rPr>
              <w:t xml:space="preserve">have a major impact on sensitive mountain environments. The construction of ski slopes and lifts damage consistently the existing </w:t>
            </w:r>
            <w:r w:rsidR="00313FF8" w:rsidRPr="00A5016A">
              <w:rPr>
                <w:rFonts w:ascii="Times New Roman" w:hAnsi="Times New Roman" w:cs="Times New Roman"/>
                <w:sz w:val="24"/>
                <w:szCs w:val="24"/>
                <w:lang w:val="en-GB"/>
              </w:rPr>
              <w:t xml:space="preserve">high mountain ecosystems </w:t>
            </w:r>
            <w:r w:rsidR="00B06377" w:rsidRPr="00A5016A">
              <w:rPr>
                <w:rFonts w:ascii="Times New Roman" w:hAnsi="Times New Roman" w:cs="Times New Roman"/>
                <w:sz w:val="24"/>
                <w:szCs w:val="24"/>
                <w:lang w:val="en-GB"/>
              </w:rPr>
              <w:t xml:space="preserve">and increase the risks for avalanches. </w:t>
            </w:r>
            <w:r w:rsidR="00313FF8" w:rsidRPr="00A5016A">
              <w:rPr>
                <w:rFonts w:ascii="Times New Roman" w:hAnsi="Times New Roman" w:cs="Times New Roman"/>
                <w:sz w:val="24"/>
                <w:szCs w:val="24"/>
                <w:lang w:val="en-GB"/>
              </w:rPr>
              <w:t>At the same time, high mountain ecosystems are protected widely through the Natura 2000 network, which lead to potential pressure of skiing activities and its infrastructures on protected areas.</w:t>
            </w:r>
          </w:p>
          <w:p w:rsidR="00963625" w:rsidRPr="00A5016A" w:rsidRDefault="00B06377" w:rsidP="00313FF8">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On the other hand, skiing is one major pillar of economic development in mountain regions and is concentrated at specific points in the different mountain ranges in Europe. The seasonal increase of population in the skiing resorts also raises questions about resource use, waste and pollution in these areas</w:t>
            </w:r>
            <w:r w:rsidR="00313FF8" w:rsidRPr="00A5016A">
              <w:rPr>
                <w:rFonts w:ascii="Times New Roman" w:hAnsi="Times New Roman" w:cs="Times New Roman"/>
                <w:sz w:val="24"/>
                <w:szCs w:val="24"/>
                <w:lang w:val="en-GB"/>
              </w:rPr>
              <w:t xml:space="preserve">. </w:t>
            </w:r>
          </w:p>
        </w:tc>
      </w:tr>
      <w:tr w:rsidR="00963625" w:rsidRPr="00B71458" w:rsidTr="00963625">
        <w:tc>
          <w:tcPr>
            <w:tcW w:w="2257" w:type="dxa"/>
            <w:gridSpan w:val="3"/>
            <w:tcMar>
              <w:top w:w="57" w:type="dxa"/>
              <w:bottom w:w="57" w:type="dxa"/>
            </w:tcMar>
          </w:tcPr>
          <w:p w:rsidR="00963625" w:rsidRPr="00A5016A" w:rsidRDefault="00963625" w:rsidP="00F6425D">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Key assessment </w:t>
            </w:r>
          </w:p>
        </w:tc>
        <w:tc>
          <w:tcPr>
            <w:tcW w:w="7357" w:type="dxa"/>
            <w:tcMar>
              <w:top w:w="57" w:type="dxa"/>
              <w:bottom w:w="57" w:type="dxa"/>
            </w:tcMar>
          </w:tcPr>
          <w:p w:rsidR="00313FF8" w:rsidRPr="00A5016A" w:rsidRDefault="00313FF8" w:rsidP="00B8797E">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The potential pressure of ski resorts on protected areas of the Natura 2000 and the Em</w:t>
            </w:r>
            <w:r w:rsidR="00537FD4" w:rsidRPr="00A5016A">
              <w:rPr>
                <w:rFonts w:ascii="Times New Roman" w:hAnsi="Times New Roman" w:cs="Times New Roman"/>
                <w:sz w:val="24"/>
                <w:szCs w:val="24"/>
                <w:lang w:val="en-GB"/>
              </w:rPr>
              <w:t xml:space="preserve">erald Networks, </w:t>
            </w:r>
            <w:r w:rsidRPr="00A5016A">
              <w:rPr>
                <w:rFonts w:ascii="Times New Roman" w:hAnsi="Times New Roman" w:cs="Times New Roman"/>
                <w:sz w:val="24"/>
                <w:szCs w:val="24"/>
                <w:lang w:val="en-GB"/>
              </w:rPr>
              <w:t>calculated</w:t>
            </w:r>
            <w:r w:rsidR="00537FD4" w:rsidRPr="00A5016A">
              <w:rPr>
                <w:rFonts w:ascii="Times New Roman" w:hAnsi="Times New Roman" w:cs="Times New Roman"/>
                <w:sz w:val="24"/>
                <w:szCs w:val="24"/>
                <w:lang w:val="en-GB"/>
              </w:rPr>
              <w:t xml:space="preserve"> for the Pyrenees and the Alps, shows the percentage of the area of the protected area that is potentially affected by ski resort. The protected areas with highest impact are located in the French Alps, particularly in the Savoie and Haute-Savoie Departments, as well as in the </w:t>
            </w:r>
            <w:r w:rsidR="00002F98" w:rsidRPr="00A5016A">
              <w:rPr>
                <w:rFonts w:ascii="Times New Roman" w:hAnsi="Times New Roman" w:cs="Times New Roman"/>
                <w:sz w:val="24"/>
                <w:szCs w:val="24"/>
                <w:lang w:val="en-GB"/>
              </w:rPr>
              <w:t xml:space="preserve">valleys of the Torino region on the border to France where the Natura 2000 site with the highest pressure value is located (Col Basset, 94.5) due to the high density of ski resorts. The Northern Italian NUTS-3 regions Belluno, Bolzano and Trento also include several Natura 2000 sites with relatively high (&gt; 25%) pressure values. </w:t>
            </w:r>
            <w:r w:rsidR="005546E6" w:rsidRPr="00A5016A">
              <w:rPr>
                <w:rFonts w:ascii="Times New Roman" w:hAnsi="Times New Roman" w:cs="Times New Roman"/>
                <w:sz w:val="24"/>
                <w:szCs w:val="24"/>
                <w:lang w:val="en-GB"/>
              </w:rPr>
              <w:t xml:space="preserve">Both Austria and Switzerland do not show major pressure on protected areas. </w:t>
            </w:r>
          </w:p>
          <w:p w:rsidR="00B8797E" w:rsidRPr="00A5016A" w:rsidRDefault="00B8797E" w:rsidP="00B8797E">
            <w:pPr>
              <w:jc w:val="both"/>
              <w:rPr>
                <w:rFonts w:ascii="Times New Roman" w:hAnsi="Times New Roman" w:cs="Times New Roman"/>
                <w:sz w:val="24"/>
                <w:szCs w:val="24"/>
                <w:lang w:val="en-GB"/>
              </w:rPr>
            </w:pPr>
          </w:p>
          <w:p w:rsidR="00002F98" w:rsidRPr="00A5016A" w:rsidRDefault="00883E72" w:rsidP="00B8797E">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In the case of the Pyrenees, the overall values are much lower compared to the Alps, being the N2000 network denser. The ski resorts are also much smaller and dispersed. The highest pressures can be observed in the French region of Hautes-Pyrénées. Generally, the N2000 sites in the Spanish Pyrenees have lesser pressure than on the French side. </w:t>
            </w:r>
          </w:p>
        </w:tc>
      </w:tr>
      <w:tr w:rsidR="00963625" w:rsidRPr="00A5016A" w:rsidTr="00963625">
        <w:tc>
          <w:tcPr>
            <w:tcW w:w="2257" w:type="dxa"/>
            <w:gridSpan w:val="3"/>
            <w:tcMar>
              <w:top w:w="57" w:type="dxa"/>
              <w:bottom w:w="57" w:type="dxa"/>
            </w:tcMar>
          </w:tcPr>
          <w:p w:rsidR="00963625" w:rsidRPr="00A5016A" w:rsidRDefault="00963625" w:rsidP="00EE315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Specific policy question </w:t>
            </w:r>
          </w:p>
        </w:tc>
        <w:tc>
          <w:tcPr>
            <w:tcW w:w="7357" w:type="dxa"/>
            <w:tcMar>
              <w:top w:w="57" w:type="dxa"/>
              <w:bottom w:w="57" w:type="dxa"/>
            </w:tcMar>
          </w:tcPr>
          <w:p w:rsidR="00963625" w:rsidRPr="00A5016A" w:rsidRDefault="00963625" w:rsidP="00324E2D">
            <w:pPr>
              <w:rPr>
                <w:rFonts w:ascii="Times New Roman" w:hAnsi="Times New Roman" w:cs="Times New Roman"/>
                <w:sz w:val="24"/>
                <w:szCs w:val="24"/>
                <w:lang w:val="en-GB"/>
              </w:rPr>
            </w:pPr>
          </w:p>
        </w:tc>
      </w:tr>
      <w:tr w:rsidR="00963625" w:rsidRPr="00A5016A" w:rsidTr="00963625">
        <w:tc>
          <w:tcPr>
            <w:tcW w:w="2257" w:type="dxa"/>
            <w:gridSpan w:val="3"/>
            <w:tcMar>
              <w:top w:w="57" w:type="dxa"/>
              <w:bottom w:w="57" w:type="dxa"/>
            </w:tcMar>
          </w:tcPr>
          <w:p w:rsidR="00963625" w:rsidRPr="00A5016A" w:rsidRDefault="00963625" w:rsidP="00324E2D">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Specific assessment </w:t>
            </w:r>
          </w:p>
        </w:tc>
        <w:tc>
          <w:tcPr>
            <w:tcW w:w="7357" w:type="dxa"/>
            <w:tcMar>
              <w:top w:w="57" w:type="dxa"/>
              <w:bottom w:w="57" w:type="dxa"/>
            </w:tcMar>
          </w:tcPr>
          <w:p w:rsidR="00963625" w:rsidRPr="00A5016A" w:rsidRDefault="00963625" w:rsidP="00EE3150">
            <w:pPr>
              <w:rPr>
                <w:rFonts w:ascii="Times New Roman" w:hAnsi="Times New Roman" w:cs="Times New Roman"/>
                <w:sz w:val="24"/>
                <w:szCs w:val="24"/>
                <w:lang w:val="en-GB"/>
              </w:rPr>
            </w:pPr>
          </w:p>
        </w:tc>
      </w:tr>
      <w:tr w:rsidR="00963625" w:rsidRPr="00A5016A" w:rsidTr="00963625">
        <w:trPr>
          <w:trHeight w:val="936"/>
        </w:trPr>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Examples</w:t>
            </w:r>
          </w:p>
        </w:tc>
        <w:tc>
          <w:tcPr>
            <w:tcW w:w="7357" w:type="dxa"/>
            <w:tcMar>
              <w:top w:w="57" w:type="dxa"/>
              <w:bottom w:w="57" w:type="dxa"/>
            </w:tcMar>
          </w:tcPr>
          <w:p w:rsidR="00627831" w:rsidRPr="00A5016A" w:rsidRDefault="00627831">
            <w:pPr>
              <w:rPr>
                <w:rFonts w:ascii="Times New Roman" w:hAnsi="Times New Roman" w:cs="Times New Roman"/>
                <w:sz w:val="24"/>
                <w:szCs w:val="24"/>
                <w:lang w:val="en-GB"/>
              </w:rPr>
            </w:pPr>
          </w:p>
          <w:p w:rsidR="00963625" w:rsidRPr="00A5016A" w:rsidRDefault="00963625">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883E72" w:rsidRPr="00A5016A" w:rsidRDefault="00883E72">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p>
          <w:p w:rsidR="00627831" w:rsidRPr="00A5016A" w:rsidRDefault="00627831">
            <w:pPr>
              <w:rPr>
                <w:rFonts w:ascii="Times New Roman" w:hAnsi="Times New Roman" w:cs="Times New Roman"/>
                <w:sz w:val="24"/>
                <w:szCs w:val="24"/>
                <w:lang w:val="en-GB"/>
              </w:rPr>
            </w:pPr>
            <w:r w:rsidRPr="00A5016A">
              <w:rPr>
                <w:rFonts w:ascii="Times New Roman" w:hAnsi="Times New Roman" w:cs="Times New Roman"/>
                <w:noProof/>
                <w:sz w:val="24"/>
                <w:szCs w:val="24"/>
                <w:lang w:val="ca-ES" w:eastAsia="ca-ES"/>
              </w:rPr>
              <w:drawing>
                <wp:inline distT="0" distB="0" distL="0" distR="0" wp14:anchorId="51E8BF6C" wp14:editId="690475A9">
                  <wp:extent cx="4648200" cy="3071854"/>
                  <wp:effectExtent l="0" t="0" r="0" b="0"/>
                  <wp:docPr id="6" name="Imagen 6" descr="C:\Users\2012351\Downloads\SkiResorts-Alp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2351\Downloads\SkiResorts-Alp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2625" cy="3074778"/>
                          </a:xfrm>
                          <a:prstGeom prst="rect">
                            <a:avLst/>
                          </a:prstGeom>
                          <a:noFill/>
                          <a:ln>
                            <a:noFill/>
                          </a:ln>
                        </pic:spPr>
                      </pic:pic>
                    </a:graphicData>
                  </a:graphic>
                </wp:inline>
              </w:drawing>
            </w:r>
          </w:p>
          <w:p w:rsidR="0071598A" w:rsidRPr="00A5016A" w:rsidRDefault="00627831">
            <w:pPr>
              <w:rPr>
                <w:rFonts w:ascii="Times New Roman" w:hAnsi="Times New Roman" w:cs="Times New Roman"/>
                <w:sz w:val="24"/>
                <w:szCs w:val="24"/>
                <w:lang w:val="en-GB"/>
              </w:rPr>
            </w:pPr>
            <w:r w:rsidRPr="00A5016A">
              <w:rPr>
                <w:rFonts w:ascii="Times New Roman" w:hAnsi="Times New Roman" w:cs="Times New Roman"/>
                <w:noProof/>
                <w:sz w:val="24"/>
                <w:szCs w:val="24"/>
                <w:lang w:val="ca-ES" w:eastAsia="ca-ES"/>
              </w:rPr>
              <w:drawing>
                <wp:inline distT="0" distB="0" distL="0" distR="0" wp14:anchorId="6B22D605" wp14:editId="327960CC">
                  <wp:extent cx="4684017" cy="3095625"/>
                  <wp:effectExtent l="0" t="0" r="2540" b="0"/>
                  <wp:docPr id="7" name="Imagen 7" descr="C:\Users\2012351\Downloads\SkiResorts-Pyren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2351\Downloads\SkiResorts-Pyrene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4017" cy="3095625"/>
                          </a:xfrm>
                          <a:prstGeom prst="rect">
                            <a:avLst/>
                          </a:prstGeom>
                          <a:noFill/>
                          <a:ln>
                            <a:noFill/>
                          </a:ln>
                        </pic:spPr>
                      </pic:pic>
                    </a:graphicData>
                  </a:graphic>
                </wp:inline>
              </w:drawing>
            </w:r>
          </w:p>
        </w:tc>
      </w:tr>
      <w:tr w:rsidR="00963625" w:rsidRPr="00A5016A" w:rsidTr="00963625">
        <w:tc>
          <w:tcPr>
            <w:tcW w:w="2257" w:type="dxa"/>
            <w:gridSpan w:val="3"/>
            <w:tcMar>
              <w:top w:w="57" w:type="dxa"/>
              <w:bottom w:w="57" w:type="dxa"/>
            </w:tcMar>
          </w:tcPr>
          <w:p w:rsidR="00963625" w:rsidRPr="00A5016A" w:rsidRDefault="00963625">
            <w:pPr>
              <w:rPr>
                <w:rFonts w:ascii="Times New Roman" w:hAnsi="Times New Roman" w:cs="Times New Roman"/>
                <w:b/>
                <w:sz w:val="24"/>
                <w:szCs w:val="24"/>
                <w:lang w:val="en-GB"/>
              </w:rPr>
            </w:pPr>
            <w:r w:rsidRPr="00A5016A">
              <w:rPr>
                <w:rFonts w:ascii="Times New Roman" w:hAnsi="Times New Roman" w:cs="Times New Roman"/>
                <w:b/>
                <w:sz w:val="24"/>
                <w:szCs w:val="24"/>
                <w:lang w:val="en-GB"/>
              </w:rPr>
              <w:t>SPECIFICATIONS</w:t>
            </w:r>
          </w:p>
        </w:tc>
        <w:tc>
          <w:tcPr>
            <w:tcW w:w="7357" w:type="dxa"/>
            <w:tcMar>
              <w:top w:w="57" w:type="dxa"/>
              <w:bottom w:w="57" w:type="dxa"/>
            </w:tcMar>
          </w:tcPr>
          <w:p w:rsidR="00963625" w:rsidRPr="00A5016A" w:rsidRDefault="00963625">
            <w:pPr>
              <w:rPr>
                <w:rFonts w:ascii="Times New Roman" w:hAnsi="Times New Roman" w:cs="Times New Roman"/>
                <w:sz w:val="24"/>
                <w:szCs w:val="24"/>
                <w:lang w:val="en-GB"/>
              </w:rPr>
            </w:pPr>
          </w:p>
        </w:tc>
      </w:tr>
      <w:tr w:rsidR="00963625" w:rsidRPr="00B71458" w:rsidTr="00963625">
        <w:tc>
          <w:tcPr>
            <w:tcW w:w="2257" w:type="dxa"/>
            <w:gridSpan w:val="3"/>
            <w:tcMar>
              <w:top w:w="57" w:type="dxa"/>
              <w:bottom w:w="57" w:type="dxa"/>
            </w:tcMar>
          </w:tcPr>
          <w:p w:rsidR="00963625" w:rsidRPr="00A5016A" w:rsidRDefault="00963625">
            <w:pPr>
              <w:rPr>
                <w:rFonts w:ascii="Times New Roman" w:hAnsi="Times New Roman" w:cs="Times New Roman"/>
                <w:b/>
                <w:sz w:val="24"/>
                <w:szCs w:val="24"/>
                <w:lang w:val="en-GB"/>
              </w:rPr>
            </w:pPr>
            <w:r w:rsidRPr="00A5016A">
              <w:rPr>
                <w:rFonts w:ascii="Times New Roman" w:hAnsi="Times New Roman" w:cs="Times New Roman"/>
                <w:sz w:val="24"/>
                <w:szCs w:val="24"/>
                <w:lang w:val="en-GB"/>
              </w:rPr>
              <w:t>Indicator definition</w:t>
            </w:r>
          </w:p>
        </w:tc>
        <w:tc>
          <w:tcPr>
            <w:tcW w:w="7357" w:type="dxa"/>
            <w:tcMar>
              <w:top w:w="57" w:type="dxa"/>
              <w:bottom w:w="57" w:type="dxa"/>
            </w:tcMar>
          </w:tcPr>
          <w:p w:rsidR="00963625" w:rsidRPr="00B71458" w:rsidRDefault="005D59D0" w:rsidP="00B71458">
            <w:pPr>
              <w:rPr>
                <w:rFonts w:ascii="Times New Roman" w:hAnsi="Times New Roman" w:cs="Times New Roman"/>
                <w:sz w:val="24"/>
                <w:szCs w:val="24"/>
                <w:lang w:val="fr-FR"/>
              </w:rPr>
            </w:pPr>
            <w:r w:rsidRPr="00B71458">
              <w:rPr>
                <w:rFonts w:ascii="Times New Roman" w:hAnsi="Times New Roman" w:cs="Times New Roman"/>
                <w:sz w:val="24"/>
                <w:szCs w:val="24"/>
                <w:lang w:val="fr-FR"/>
              </w:rPr>
              <w:t>Ski resorts’ pressure on Natura 2000 sites</w:t>
            </w:r>
          </w:p>
        </w:tc>
      </w:tr>
      <w:tr w:rsidR="00963625" w:rsidRPr="00A5016A" w:rsidTr="00963625">
        <w:tc>
          <w:tcPr>
            <w:tcW w:w="2257" w:type="dxa"/>
            <w:gridSpan w:val="3"/>
            <w:tcBorders>
              <w:bottom w:val="single" w:sz="4" w:space="0" w:color="auto"/>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DPSIR</w:t>
            </w:r>
          </w:p>
        </w:tc>
        <w:tc>
          <w:tcPr>
            <w:tcW w:w="7357" w:type="dxa"/>
            <w:tcBorders>
              <w:bottom w:val="single" w:sz="4" w:space="0" w:color="auto"/>
            </w:tcBorders>
            <w:tcMar>
              <w:top w:w="57" w:type="dxa"/>
              <w:bottom w:w="57" w:type="dxa"/>
            </w:tcMar>
          </w:tcPr>
          <w:p w:rsidR="00963625" w:rsidRPr="00A5016A" w:rsidRDefault="00963625">
            <w:pPr>
              <w:rPr>
                <w:rFonts w:ascii="Times New Roman" w:hAnsi="Times New Roman" w:cs="Times New Roman"/>
                <w:sz w:val="24"/>
                <w:szCs w:val="24"/>
                <w:lang w:val="en-GB"/>
              </w:rPr>
            </w:pPr>
            <w:r w:rsidRPr="00A5016A">
              <w:rPr>
                <w:rFonts w:ascii="Times New Roman" w:hAnsi="Times New Roman" w:cs="Times New Roman"/>
                <w:sz w:val="24"/>
                <w:szCs w:val="24"/>
                <w:lang w:val="en-GB"/>
              </w:rPr>
              <w:t>P</w:t>
            </w:r>
          </w:p>
        </w:tc>
      </w:tr>
      <w:tr w:rsidR="00963625" w:rsidRPr="00A5016A"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B7146A">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Justification</w:t>
            </w:r>
          </w:p>
        </w:tc>
        <w:tc>
          <w:tcPr>
            <w:tcW w:w="7357" w:type="dxa"/>
            <w:tcBorders>
              <w:bottom w:val="single" w:sz="4" w:space="0" w:color="C4BC96" w:themeColor="background2" w:themeShade="BF"/>
            </w:tcBorders>
            <w:tcMar>
              <w:top w:w="57" w:type="dxa"/>
              <w:bottom w:w="57" w:type="dxa"/>
            </w:tcMar>
          </w:tcPr>
          <w:p w:rsidR="00963625" w:rsidRPr="00A5016A" w:rsidRDefault="00963625" w:rsidP="00FA63EE">
            <w:pPr>
              <w:rPr>
                <w:rFonts w:ascii="Times New Roman" w:hAnsi="Times New Roman" w:cs="Times New Roman"/>
                <w:sz w:val="24"/>
                <w:szCs w:val="24"/>
                <w:lang w:val="en-GB"/>
              </w:rPr>
            </w:pPr>
          </w:p>
        </w:tc>
      </w:tr>
      <w:tr w:rsidR="00963625" w:rsidRPr="00B71458" w:rsidTr="00963625">
        <w:tc>
          <w:tcPr>
            <w:tcW w:w="302" w:type="dxa"/>
            <w:gridSpan w:val="2"/>
            <w:tcBorders>
              <w:top w:val="single" w:sz="4" w:space="0" w:color="C4BC96" w:themeColor="background2" w:themeShade="BF"/>
              <w:bottom w:val="nil"/>
              <w:right w:val="nil"/>
            </w:tcBorders>
            <w:tcMar>
              <w:top w:w="57" w:type="dxa"/>
              <w:bottom w:w="57" w:type="dxa"/>
            </w:tcMar>
          </w:tcPr>
          <w:p w:rsidR="00963625" w:rsidRPr="00A5016A" w:rsidRDefault="00963625" w:rsidP="00B7146A">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A5016A" w:rsidRDefault="00963625" w:rsidP="009F205C">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Rationale</w:t>
            </w:r>
          </w:p>
        </w:tc>
        <w:tc>
          <w:tcPr>
            <w:tcW w:w="7357" w:type="dxa"/>
            <w:tcBorders>
              <w:top w:val="single" w:sz="4" w:space="0" w:color="C4BC96" w:themeColor="background2" w:themeShade="BF"/>
            </w:tcBorders>
            <w:tcMar>
              <w:top w:w="57" w:type="dxa"/>
              <w:bottom w:w="57" w:type="dxa"/>
            </w:tcMar>
          </w:tcPr>
          <w:p w:rsidR="00963625" w:rsidRPr="00A5016A" w:rsidRDefault="00B71458" w:rsidP="00DF7264">
            <w:pPr>
              <w:jc w:val="both"/>
              <w:rPr>
                <w:rFonts w:ascii="Times New Roman" w:hAnsi="Times New Roman" w:cs="Times New Roman"/>
                <w:sz w:val="24"/>
                <w:szCs w:val="24"/>
                <w:lang w:val="en-GB"/>
              </w:rPr>
            </w:pPr>
            <w:r>
              <w:rPr>
                <w:rFonts w:ascii="Times New Roman" w:hAnsi="Times New Roman" w:cs="Times New Roman"/>
                <w:sz w:val="24"/>
                <w:szCs w:val="24"/>
                <w:lang w:val="en-GB"/>
              </w:rPr>
              <w:t>T</w:t>
            </w:r>
            <w:bookmarkStart w:id="0" w:name="_GoBack"/>
            <w:bookmarkEnd w:id="0"/>
            <w:r w:rsidR="00B042BF" w:rsidRPr="00A5016A">
              <w:rPr>
                <w:rFonts w:ascii="Times New Roman" w:hAnsi="Times New Roman" w:cs="Times New Roman"/>
                <w:sz w:val="24"/>
                <w:szCs w:val="24"/>
                <w:lang w:val="en-GB"/>
              </w:rPr>
              <w:t xml:space="preserve">he ski area can be mapped which provides a rough information about the </w:t>
            </w:r>
            <w:r w:rsidR="00DF7264" w:rsidRPr="00A5016A">
              <w:rPr>
                <w:rFonts w:ascii="Times New Roman" w:hAnsi="Times New Roman" w:cs="Times New Roman"/>
                <w:sz w:val="24"/>
                <w:szCs w:val="24"/>
                <w:lang w:val="en-GB"/>
              </w:rPr>
              <w:t xml:space="preserve">overall area of pressure of this form of winter tourism. </w:t>
            </w:r>
            <w:r w:rsidR="00E70B79" w:rsidRPr="00A5016A">
              <w:rPr>
                <w:rFonts w:ascii="Times New Roman" w:hAnsi="Times New Roman" w:cs="Times New Roman"/>
                <w:sz w:val="24"/>
                <w:szCs w:val="24"/>
                <w:lang w:val="en-GB"/>
              </w:rPr>
              <w:t xml:space="preserve">When applying a potential pressure area around the ski resort, the potential impact on Natura 2000 area can be mapped and analysed. </w:t>
            </w:r>
          </w:p>
        </w:tc>
      </w:tr>
      <w:tr w:rsidR="00963625" w:rsidRPr="00A5016A" w:rsidTr="00963625">
        <w:tc>
          <w:tcPr>
            <w:tcW w:w="302" w:type="dxa"/>
            <w:gridSpan w:val="2"/>
            <w:tcBorders>
              <w:top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left w:val="nil"/>
            </w:tcBorders>
          </w:tcPr>
          <w:p w:rsidR="00963625" w:rsidRPr="00A5016A" w:rsidRDefault="00963625" w:rsidP="009F205C">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References</w:t>
            </w:r>
          </w:p>
        </w:tc>
        <w:tc>
          <w:tcPr>
            <w:tcW w:w="7357" w:type="dxa"/>
            <w:tcMar>
              <w:top w:w="57" w:type="dxa"/>
              <w:bottom w:w="57" w:type="dxa"/>
            </w:tcMar>
          </w:tcPr>
          <w:p w:rsidR="00963625" w:rsidRPr="00A5016A" w:rsidRDefault="00DF7264" w:rsidP="00DF7264">
            <w:pPr>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Nordregio (2004): Mountain Areas in Europe: Analysis of mountain areas in EU member states, acceding and other European countries. Final report of European Commission contract No 2002.CE.16.0.AT.136. </w:t>
            </w:r>
          </w:p>
          <w:p w:rsidR="00DF7264" w:rsidRPr="00A5016A" w:rsidRDefault="00E70B79" w:rsidP="00DF7264">
            <w:pPr>
              <w:rPr>
                <w:rFonts w:ascii="Times New Roman" w:hAnsi="Times New Roman" w:cs="Times New Roman"/>
                <w:sz w:val="24"/>
                <w:szCs w:val="24"/>
                <w:lang w:val="en-GB"/>
              </w:rPr>
            </w:pPr>
            <w:r w:rsidRPr="00A5016A">
              <w:rPr>
                <w:rFonts w:ascii="Times New Roman" w:hAnsi="Times New Roman" w:cs="Times New Roman"/>
                <w:sz w:val="24"/>
                <w:szCs w:val="24"/>
                <w:lang w:val="en-GB"/>
              </w:rPr>
              <w:t>Patthey, P., Wirthner, S., Signorell, N., &amp; Arlettaz, R. (2008): Impact of outdoor winter sports on the abundance of a key indicator species of alpine ecosystems. Journal of Applied Ecology 45 (6): 1704-1711.</w:t>
            </w:r>
          </w:p>
          <w:p w:rsidR="00E70B79" w:rsidRPr="00A5016A" w:rsidRDefault="00E70B79" w:rsidP="00701AA3">
            <w:pPr>
              <w:rPr>
                <w:rFonts w:ascii="Times New Roman" w:hAnsi="Times New Roman" w:cs="Times New Roman"/>
                <w:sz w:val="24"/>
                <w:szCs w:val="24"/>
                <w:lang w:val="en-US"/>
              </w:rPr>
            </w:pPr>
            <w:r w:rsidRPr="00A5016A">
              <w:rPr>
                <w:rFonts w:ascii="Times New Roman" w:hAnsi="Times New Roman" w:cs="Times New Roman"/>
                <w:sz w:val="24"/>
                <w:szCs w:val="24"/>
                <w:lang w:val="en-US"/>
              </w:rPr>
              <w:t>Rolando, A., Caprio, E., Rinaldi, E. &amp; Ellena, I. (2007): The impact of high-altitude ski-runs on alpine grassland bird communities</w:t>
            </w:r>
            <w:r w:rsidR="00701AA3" w:rsidRPr="00A5016A">
              <w:rPr>
                <w:rFonts w:ascii="Times New Roman" w:hAnsi="Times New Roman" w:cs="Times New Roman"/>
                <w:sz w:val="24"/>
                <w:szCs w:val="24"/>
                <w:lang w:val="en-US"/>
              </w:rPr>
              <w:t xml:space="preserve">. </w:t>
            </w:r>
            <w:r w:rsidR="00701AA3" w:rsidRPr="00A5016A">
              <w:rPr>
                <w:rFonts w:ascii="Times New Roman" w:hAnsi="Times New Roman" w:cs="Times New Roman"/>
                <w:sz w:val="24"/>
                <w:szCs w:val="24"/>
                <w:lang w:val="en-GB"/>
              </w:rPr>
              <w:t>Journal of Applied Ecology 44 (1): 210-219.</w:t>
            </w:r>
          </w:p>
        </w:tc>
      </w:tr>
      <w:tr w:rsidR="00963625" w:rsidRPr="00A5016A"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Policy context</w:t>
            </w:r>
          </w:p>
        </w:tc>
        <w:tc>
          <w:tcPr>
            <w:tcW w:w="7357" w:type="dxa"/>
            <w:tcBorders>
              <w:bottom w:val="single" w:sz="4" w:space="0" w:color="C4BC96" w:themeColor="background2" w:themeShade="BF"/>
            </w:tcBorders>
            <w:tcMar>
              <w:top w:w="57" w:type="dxa"/>
              <w:bottom w:w="57" w:type="dxa"/>
            </w:tcMar>
          </w:tcPr>
          <w:p w:rsidR="00963625" w:rsidRPr="00A5016A" w:rsidRDefault="00963625" w:rsidP="00F000DC">
            <w:pPr>
              <w:pStyle w:val="Prrafodelista"/>
              <w:ind w:left="295"/>
              <w:rPr>
                <w:lang w:val="en-GB"/>
              </w:rPr>
            </w:pPr>
          </w:p>
        </w:tc>
      </w:tr>
      <w:tr w:rsidR="00963625" w:rsidRPr="00B71458" w:rsidTr="00963625">
        <w:tc>
          <w:tcPr>
            <w:tcW w:w="302" w:type="dxa"/>
            <w:gridSpan w:val="2"/>
            <w:tcBorders>
              <w:top w:val="single" w:sz="4" w:space="0" w:color="C4BC96" w:themeColor="background2" w:themeShade="BF"/>
              <w:bottom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963625" w:rsidRPr="00A5016A" w:rsidRDefault="00963625" w:rsidP="00FA63EE">
            <w:pPr>
              <w:ind w:left="59"/>
              <w:rPr>
                <w:rFonts w:ascii="Times New Roman" w:hAnsi="Times New Roman" w:cs="Times New Roman"/>
                <w:sz w:val="24"/>
                <w:szCs w:val="24"/>
                <w:lang w:val="en-GB"/>
              </w:rPr>
            </w:pPr>
            <w:r w:rsidRPr="00A5016A">
              <w:rPr>
                <w:rFonts w:ascii="Times New Roman" w:hAnsi="Times New Roman" w:cs="Times New Roman"/>
                <w:sz w:val="24"/>
                <w:szCs w:val="24"/>
                <w:lang w:val="en-GB"/>
              </w:rPr>
              <w:t>Policy context</w:t>
            </w:r>
          </w:p>
        </w:tc>
        <w:tc>
          <w:tcPr>
            <w:tcW w:w="7357" w:type="dxa"/>
            <w:tcBorders>
              <w:top w:val="single" w:sz="4" w:space="0" w:color="C4BC96" w:themeColor="background2" w:themeShade="BF"/>
            </w:tcBorders>
            <w:tcMar>
              <w:top w:w="57" w:type="dxa"/>
              <w:bottom w:w="57" w:type="dxa"/>
            </w:tcMar>
          </w:tcPr>
          <w:p w:rsidR="00963625" w:rsidRPr="00A5016A" w:rsidRDefault="003D7900" w:rsidP="009C62B5">
            <w:pPr>
              <w:pStyle w:val="Prrafodelista"/>
              <w:numPr>
                <w:ilvl w:val="0"/>
                <w:numId w:val="5"/>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Habitat Directive</w:t>
            </w:r>
          </w:p>
          <w:p w:rsidR="003D7900" w:rsidRPr="00A5016A" w:rsidRDefault="003D7900" w:rsidP="003D7900">
            <w:pPr>
              <w:pStyle w:val="Prrafodelista"/>
              <w:numPr>
                <w:ilvl w:val="0"/>
                <w:numId w:val="5"/>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Regional development funds (Alpine Space Programme, Caparthian Convention)</w:t>
            </w:r>
          </w:p>
        </w:tc>
      </w:tr>
      <w:tr w:rsidR="00963625" w:rsidRPr="00A5016A" w:rsidTr="00963625">
        <w:tc>
          <w:tcPr>
            <w:tcW w:w="302" w:type="dxa"/>
            <w:gridSpan w:val="2"/>
            <w:tcBorders>
              <w:top w:val="nil"/>
              <w:bottom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left w:val="nil"/>
            </w:tcBorders>
          </w:tcPr>
          <w:p w:rsidR="00963625" w:rsidRPr="00A5016A" w:rsidRDefault="00963625" w:rsidP="00FA63EE">
            <w:pPr>
              <w:ind w:left="59"/>
              <w:rPr>
                <w:rFonts w:ascii="Times New Roman" w:hAnsi="Times New Roman" w:cs="Times New Roman"/>
                <w:sz w:val="24"/>
                <w:szCs w:val="24"/>
                <w:lang w:val="en-GB"/>
              </w:rPr>
            </w:pPr>
            <w:r w:rsidRPr="00A5016A">
              <w:rPr>
                <w:rFonts w:ascii="Times New Roman" w:hAnsi="Times New Roman" w:cs="Times New Roman"/>
                <w:sz w:val="24"/>
                <w:szCs w:val="24"/>
                <w:lang w:val="en-GB"/>
              </w:rPr>
              <w:t>Targets</w:t>
            </w:r>
          </w:p>
        </w:tc>
        <w:tc>
          <w:tcPr>
            <w:tcW w:w="7357" w:type="dxa"/>
            <w:tcMar>
              <w:top w:w="57" w:type="dxa"/>
              <w:bottom w:w="57" w:type="dxa"/>
            </w:tcMar>
          </w:tcPr>
          <w:p w:rsidR="00963625" w:rsidRPr="00A5016A" w:rsidRDefault="003D7900" w:rsidP="00F000DC">
            <w:pPr>
              <w:pStyle w:val="Prrafodelista"/>
              <w:numPr>
                <w:ilvl w:val="0"/>
                <w:numId w:val="4"/>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Conservation of habitats</w:t>
            </w:r>
          </w:p>
          <w:p w:rsidR="003D7900" w:rsidRPr="00A5016A" w:rsidRDefault="003D7900" w:rsidP="00F000DC">
            <w:pPr>
              <w:pStyle w:val="Prrafodelista"/>
              <w:numPr>
                <w:ilvl w:val="0"/>
                <w:numId w:val="4"/>
              </w:numPr>
              <w:ind w:left="295" w:hanging="284"/>
              <w:rPr>
                <w:rFonts w:ascii="Times New Roman" w:hAnsi="Times New Roman" w:cs="Times New Roman"/>
                <w:sz w:val="24"/>
                <w:szCs w:val="24"/>
                <w:lang w:val="en-GB"/>
              </w:rPr>
            </w:pPr>
            <w:r w:rsidRPr="00A5016A">
              <w:rPr>
                <w:rFonts w:ascii="Times New Roman" w:hAnsi="Times New Roman" w:cs="Times New Roman"/>
                <w:sz w:val="24"/>
                <w:szCs w:val="24"/>
                <w:lang w:val="en-GB"/>
              </w:rPr>
              <w:t>Regional sustainable development</w:t>
            </w:r>
          </w:p>
        </w:tc>
      </w:tr>
      <w:tr w:rsidR="00963625" w:rsidRPr="00B71458" w:rsidTr="00963625">
        <w:tc>
          <w:tcPr>
            <w:tcW w:w="302" w:type="dxa"/>
            <w:gridSpan w:val="2"/>
            <w:tcBorders>
              <w:top w:val="nil"/>
              <w:bottom w:val="single" w:sz="4" w:space="0" w:color="auto"/>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55" w:type="dxa"/>
            <w:tcBorders>
              <w:left w:val="nil"/>
              <w:bottom w:val="single" w:sz="4" w:space="0" w:color="auto"/>
            </w:tcBorders>
          </w:tcPr>
          <w:p w:rsidR="00963625" w:rsidRPr="00A5016A" w:rsidRDefault="00963625" w:rsidP="00FA63EE">
            <w:pPr>
              <w:ind w:left="59"/>
              <w:rPr>
                <w:rFonts w:ascii="Times New Roman" w:hAnsi="Times New Roman" w:cs="Times New Roman"/>
                <w:sz w:val="24"/>
                <w:szCs w:val="24"/>
                <w:lang w:val="en-GB"/>
              </w:rPr>
            </w:pPr>
            <w:r w:rsidRPr="00A5016A">
              <w:rPr>
                <w:rFonts w:ascii="Times New Roman" w:hAnsi="Times New Roman" w:cs="Times New Roman"/>
                <w:sz w:val="24"/>
                <w:szCs w:val="24"/>
                <w:lang w:val="en-GB"/>
              </w:rPr>
              <w:t>Related policy documents</w:t>
            </w:r>
          </w:p>
        </w:tc>
        <w:tc>
          <w:tcPr>
            <w:tcW w:w="7357" w:type="dxa"/>
            <w:tcBorders>
              <w:bottom w:val="single" w:sz="4" w:space="0" w:color="auto"/>
            </w:tcBorders>
            <w:tcMar>
              <w:top w:w="57" w:type="dxa"/>
              <w:bottom w:w="57" w:type="dxa"/>
            </w:tcMar>
          </w:tcPr>
          <w:p w:rsidR="003D7900" w:rsidRPr="00A5016A" w:rsidRDefault="003D7900" w:rsidP="009C62B5">
            <w:pPr>
              <w:spacing w:after="200" w:line="276" w:lineRule="auto"/>
              <w:rPr>
                <w:rFonts w:ascii="Times New Roman" w:hAnsi="Times New Roman" w:cs="Times New Roman"/>
                <w:sz w:val="24"/>
                <w:szCs w:val="24"/>
                <w:lang w:val="en-GB"/>
              </w:rPr>
            </w:pPr>
            <w:r w:rsidRPr="00A5016A">
              <w:rPr>
                <w:rFonts w:ascii="Times New Roman" w:hAnsi="Times New Roman" w:cs="Times New Roman"/>
                <w:sz w:val="24"/>
                <w:szCs w:val="24"/>
                <w:lang w:val="en-US"/>
              </w:rPr>
              <w:t>Habitat Directive: Council Directive 92/43/EEC</w:t>
            </w:r>
            <w:r w:rsidRPr="00A5016A">
              <w:rPr>
                <w:rFonts w:ascii="Times New Roman" w:hAnsi="Times New Roman" w:cs="Times New Roman"/>
                <w:sz w:val="24"/>
                <w:szCs w:val="24"/>
                <w:lang w:val="en-GB"/>
              </w:rPr>
              <w:t xml:space="preserve"> </w:t>
            </w:r>
          </w:p>
          <w:p w:rsidR="009C62B5" w:rsidRPr="00A5016A" w:rsidRDefault="003D7900" w:rsidP="009C62B5">
            <w:pPr>
              <w:spacing w:after="200" w:line="276" w:lineRule="auto"/>
              <w:rPr>
                <w:rFonts w:ascii="Times New Roman" w:hAnsi="Times New Roman" w:cs="Times New Roman"/>
                <w:sz w:val="24"/>
                <w:szCs w:val="24"/>
                <w:lang w:val="en-GB"/>
              </w:rPr>
            </w:pPr>
            <w:r w:rsidRPr="00A5016A">
              <w:rPr>
                <w:rFonts w:ascii="Times New Roman" w:hAnsi="Times New Roman" w:cs="Times New Roman"/>
                <w:sz w:val="24"/>
                <w:szCs w:val="24"/>
                <w:lang w:val="en-GB"/>
              </w:rPr>
              <w:t>Alpine Space Programme 2014-2020: http://www.alpine-space.eu/about/programme-documents/asp_cooperation_programme_final.pdf</w:t>
            </w:r>
          </w:p>
          <w:p w:rsidR="003D7900" w:rsidRPr="00A5016A" w:rsidRDefault="003D7900" w:rsidP="009C62B5">
            <w:pPr>
              <w:spacing w:after="200" w:line="276" w:lineRule="auto"/>
              <w:rPr>
                <w:rFonts w:ascii="Times New Roman" w:hAnsi="Times New Roman" w:cs="Times New Roman"/>
                <w:sz w:val="24"/>
                <w:szCs w:val="24"/>
                <w:lang w:val="en-GB"/>
              </w:rPr>
            </w:pPr>
            <w:r w:rsidRPr="00A5016A">
              <w:rPr>
                <w:rFonts w:ascii="Times New Roman" w:hAnsi="Times New Roman" w:cs="Times New Roman"/>
                <w:sz w:val="24"/>
                <w:szCs w:val="24"/>
                <w:lang w:val="en-GB"/>
              </w:rPr>
              <w:t>Carparthian Convention: http://www.carpathianconvention.org/text-of-the-convention.html</w:t>
            </w:r>
          </w:p>
        </w:tc>
      </w:tr>
      <w:tr w:rsidR="00963625" w:rsidRPr="00A5016A"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 Methodology</w:t>
            </w:r>
          </w:p>
        </w:tc>
        <w:tc>
          <w:tcPr>
            <w:tcW w:w="7357" w:type="dxa"/>
            <w:tcBorders>
              <w:bottom w:val="single" w:sz="4" w:space="0" w:color="C4BC96" w:themeColor="background2" w:themeShade="BF"/>
            </w:tcBorders>
            <w:tcMar>
              <w:top w:w="57" w:type="dxa"/>
              <w:bottom w:w="57" w:type="dxa"/>
            </w:tcMar>
          </w:tcPr>
          <w:p w:rsidR="00963625" w:rsidRPr="00A5016A" w:rsidRDefault="00963625">
            <w:pPr>
              <w:rPr>
                <w:rFonts w:ascii="Times New Roman" w:hAnsi="Times New Roman" w:cs="Times New Roman"/>
                <w:sz w:val="24"/>
                <w:szCs w:val="24"/>
                <w:lang w:val="en-GB"/>
              </w:rPr>
            </w:pPr>
          </w:p>
        </w:tc>
      </w:tr>
      <w:tr w:rsidR="00963625" w:rsidRPr="001C6135" w:rsidTr="00963625">
        <w:tc>
          <w:tcPr>
            <w:tcW w:w="277" w:type="dxa"/>
            <w:tcBorders>
              <w:top w:val="single" w:sz="4" w:space="0" w:color="C4BC96" w:themeColor="background2" w:themeShade="BF"/>
              <w:bottom w:val="nil"/>
              <w:right w:val="nil"/>
            </w:tcBorders>
            <w:tcMar>
              <w:top w:w="57" w:type="dxa"/>
              <w:bottom w:w="57" w:type="dxa"/>
            </w:tcMar>
          </w:tcPr>
          <w:p w:rsidR="00963625" w:rsidRPr="00A5016A" w:rsidRDefault="00963625" w:rsidP="000B6BC7">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Methodology for indicator calculation</w:t>
            </w:r>
          </w:p>
        </w:tc>
        <w:tc>
          <w:tcPr>
            <w:tcW w:w="7357" w:type="dxa"/>
            <w:tcBorders>
              <w:top w:val="single" w:sz="4" w:space="0" w:color="C4BC96" w:themeColor="background2" w:themeShade="BF"/>
            </w:tcBorders>
            <w:tcMar>
              <w:top w:w="57" w:type="dxa"/>
              <w:bottom w:w="57" w:type="dxa"/>
            </w:tcMar>
          </w:tcPr>
          <w:p w:rsidR="00963625" w:rsidRPr="00A5016A" w:rsidRDefault="003D7900" w:rsidP="008D53EA">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There is no Pan-European layer for </w:t>
            </w:r>
            <w:r w:rsidR="002728ED" w:rsidRPr="00A5016A">
              <w:rPr>
                <w:rFonts w:ascii="Times New Roman" w:hAnsi="Times New Roman" w:cs="Times New Roman"/>
                <w:sz w:val="24"/>
                <w:szCs w:val="24"/>
                <w:lang w:val="en-GB"/>
              </w:rPr>
              <w:t xml:space="preserve">ski slopes, lifts or areas. Data on ski runs and lifts </w:t>
            </w:r>
            <w:r w:rsidR="00701AA3" w:rsidRPr="00A5016A">
              <w:rPr>
                <w:rFonts w:ascii="Times New Roman" w:hAnsi="Times New Roman" w:cs="Times New Roman"/>
                <w:sz w:val="24"/>
                <w:szCs w:val="24"/>
                <w:lang w:val="en-GB"/>
              </w:rPr>
              <w:t>are</w:t>
            </w:r>
            <w:r w:rsidR="002728ED" w:rsidRPr="00A5016A">
              <w:rPr>
                <w:rFonts w:ascii="Times New Roman" w:hAnsi="Times New Roman" w:cs="Times New Roman"/>
                <w:sz w:val="24"/>
                <w:szCs w:val="24"/>
                <w:lang w:val="en-GB"/>
              </w:rPr>
              <w:t xml:space="preserve"> e</w:t>
            </w:r>
            <w:r w:rsidR="00701AA3" w:rsidRPr="00A5016A">
              <w:rPr>
                <w:rFonts w:ascii="Times New Roman" w:hAnsi="Times New Roman" w:cs="Times New Roman"/>
                <w:sz w:val="24"/>
                <w:szCs w:val="24"/>
                <w:lang w:val="en-GB"/>
              </w:rPr>
              <w:t>xtracted and filtered from OpenStreet</w:t>
            </w:r>
            <w:r w:rsidR="002728ED" w:rsidRPr="00A5016A">
              <w:rPr>
                <w:rFonts w:ascii="Times New Roman" w:hAnsi="Times New Roman" w:cs="Times New Roman"/>
                <w:sz w:val="24"/>
                <w:szCs w:val="24"/>
                <w:lang w:val="en-GB"/>
              </w:rPr>
              <w:t xml:space="preserve">Map (OSM) data. The lines related to ski runs and lifts are tagged accordingly in the OSM files. The different line features can be summarized and overlaid with the EEA Reference grid to map the length of ski slopes and lifts per square kilometre. For the ski area, the convex hull of the line features is calculated and taken as polygon of the ski area. </w:t>
            </w:r>
            <w:r w:rsidR="00701AA3" w:rsidRPr="00A5016A">
              <w:rPr>
                <w:rFonts w:ascii="Times New Roman" w:hAnsi="Times New Roman" w:cs="Times New Roman"/>
                <w:sz w:val="24"/>
                <w:szCs w:val="24"/>
                <w:lang w:val="en-GB"/>
              </w:rPr>
              <w:t>The potential pressure on Natura2000 site is based on a smoothing methodology elaborated originally for land cover data (see references)</w:t>
            </w:r>
            <w:r w:rsidR="008D53EA" w:rsidRPr="00A5016A">
              <w:rPr>
                <w:rFonts w:ascii="Times New Roman" w:hAnsi="Times New Roman" w:cs="Times New Roman"/>
                <w:sz w:val="24"/>
                <w:szCs w:val="24"/>
                <w:lang w:val="en-GB"/>
              </w:rPr>
              <w:t xml:space="preserve">. The results are expressed in percentage of the area of an polygon that is overlaid with the smoothing area. </w:t>
            </w:r>
          </w:p>
        </w:tc>
      </w:tr>
      <w:tr w:rsidR="00963625" w:rsidRPr="00A5016A" w:rsidTr="00963625">
        <w:trPr>
          <w:cantSplit/>
        </w:trPr>
        <w:tc>
          <w:tcPr>
            <w:tcW w:w="277" w:type="dxa"/>
            <w:tcBorders>
              <w:top w:val="nil"/>
              <w:bottom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US"/>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Methodology for gap filling</w:t>
            </w:r>
          </w:p>
        </w:tc>
        <w:tc>
          <w:tcPr>
            <w:tcW w:w="7357" w:type="dxa"/>
            <w:tcMar>
              <w:top w:w="57" w:type="dxa"/>
              <w:bottom w:w="57" w:type="dxa"/>
            </w:tcMar>
          </w:tcPr>
          <w:p w:rsidR="00963625" w:rsidRPr="00A5016A" w:rsidRDefault="00963625" w:rsidP="00272D02">
            <w:pPr>
              <w:rPr>
                <w:rFonts w:ascii="Times New Roman" w:hAnsi="Times New Roman" w:cs="Times New Roman"/>
                <w:sz w:val="24"/>
                <w:szCs w:val="24"/>
                <w:lang w:val="en-GB"/>
              </w:rPr>
            </w:pPr>
          </w:p>
        </w:tc>
      </w:tr>
      <w:tr w:rsidR="00963625" w:rsidRPr="00A5016A" w:rsidTr="00963625">
        <w:tc>
          <w:tcPr>
            <w:tcW w:w="277" w:type="dxa"/>
            <w:tcBorders>
              <w:top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References</w:t>
            </w:r>
          </w:p>
        </w:tc>
        <w:tc>
          <w:tcPr>
            <w:tcW w:w="7357" w:type="dxa"/>
            <w:tcMar>
              <w:top w:w="57" w:type="dxa"/>
              <w:bottom w:w="57" w:type="dxa"/>
            </w:tcMar>
          </w:tcPr>
          <w:p w:rsidR="00963625" w:rsidRPr="00A5016A" w:rsidRDefault="00701AA3" w:rsidP="00701AA3">
            <w:pPr>
              <w:jc w:val="both"/>
              <w:rPr>
                <w:rFonts w:ascii="Times New Roman" w:hAnsi="Times New Roman" w:cs="Times New Roman"/>
                <w:sz w:val="24"/>
                <w:szCs w:val="24"/>
              </w:rPr>
            </w:pPr>
            <w:r w:rsidRPr="00A5016A">
              <w:rPr>
                <w:rFonts w:ascii="Times New Roman" w:hAnsi="Times New Roman" w:cs="Times New Roman"/>
                <w:sz w:val="24"/>
                <w:szCs w:val="24"/>
                <w:lang w:val="en-GB"/>
              </w:rPr>
              <w:t xml:space="preserve">Páramo, F. (2006): CORILIS (Smoothing of CLC data) Technical Procedure. </w:t>
            </w:r>
            <w:r w:rsidRPr="00A5016A">
              <w:rPr>
                <w:rFonts w:ascii="Times New Roman" w:hAnsi="Times New Roman" w:cs="Times New Roman"/>
                <w:sz w:val="24"/>
                <w:szCs w:val="24"/>
              </w:rPr>
              <w:t>ETC/TE Internal report (http://www.eea.europa.eu/data-and-maps/data/corilis-2000/corilis-methodology/corilis-methodology/download)</w:t>
            </w:r>
          </w:p>
        </w:tc>
      </w:tr>
      <w:tr w:rsidR="00963625" w:rsidRPr="00B71458" w:rsidTr="00963625">
        <w:tc>
          <w:tcPr>
            <w:tcW w:w="2257" w:type="dxa"/>
            <w:gridSpan w:val="3"/>
            <w:tcBorders>
              <w:bottom w:val="single" w:sz="4" w:space="0" w:color="auto"/>
            </w:tcBorders>
            <w:tcMar>
              <w:top w:w="57" w:type="dxa"/>
              <w:bottom w:w="57" w:type="dxa"/>
            </w:tcMar>
          </w:tcPr>
          <w:p w:rsidR="00963625" w:rsidRPr="00A5016A" w:rsidRDefault="00963625" w:rsidP="00272D02">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lastRenderedPageBreak/>
              <w:t>Data specifications</w:t>
            </w:r>
          </w:p>
        </w:tc>
        <w:tc>
          <w:tcPr>
            <w:tcW w:w="7357" w:type="dxa"/>
            <w:tcBorders>
              <w:bottom w:val="single" w:sz="4" w:space="0" w:color="auto"/>
            </w:tcBorders>
            <w:tcMar>
              <w:top w:w="57" w:type="dxa"/>
              <w:bottom w:w="57" w:type="dxa"/>
            </w:tcMar>
          </w:tcPr>
          <w:p w:rsidR="00EC486B" w:rsidRPr="00A5016A" w:rsidRDefault="00F000DC" w:rsidP="00701AA3">
            <w:pPr>
              <w:rPr>
                <w:rFonts w:ascii="Times New Roman" w:hAnsi="Times New Roman" w:cs="Times New Roman"/>
                <w:sz w:val="24"/>
                <w:szCs w:val="24"/>
                <w:lang w:val="en-US"/>
              </w:rPr>
            </w:pPr>
            <w:r w:rsidRPr="00A5016A">
              <w:rPr>
                <w:rFonts w:ascii="Times New Roman" w:hAnsi="Times New Roman" w:cs="Times New Roman"/>
                <w:sz w:val="24"/>
                <w:szCs w:val="24"/>
                <w:lang w:val="en-US"/>
              </w:rPr>
              <w:t xml:space="preserve">Data source: </w:t>
            </w:r>
            <w:r w:rsidR="00760290" w:rsidRPr="00A5016A">
              <w:rPr>
                <w:rFonts w:ascii="Times New Roman" w:hAnsi="Times New Roman" w:cs="Times New Roman"/>
                <w:sz w:val="24"/>
                <w:szCs w:val="24"/>
                <w:lang w:val="en-US"/>
              </w:rPr>
              <w:t>Open</w:t>
            </w:r>
            <w:r w:rsidR="00701AA3" w:rsidRPr="00A5016A">
              <w:rPr>
                <w:rFonts w:ascii="Times New Roman" w:hAnsi="Times New Roman" w:cs="Times New Roman"/>
                <w:sz w:val="24"/>
                <w:szCs w:val="24"/>
                <w:lang w:val="en-US"/>
              </w:rPr>
              <w:t>Street</w:t>
            </w:r>
            <w:r w:rsidR="00760290" w:rsidRPr="00A5016A">
              <w:rPr>
                <w:rFonts w:ascii="Times New Roman" w:hAnsi="Times New Roman" w:cs="Times New Roman"/>
                <w:sz w:val="24"/>
                <w:szCs w:val="24"/>
                <w:lang w:val="en-US"/>
              </w:rPr>
              <w:t>Map</w:t>
            </w:r>
            <w:r w:rsidR="00EC486B" w:rsidRPr="00A5016A">
              <w:rPr>
                <w:rFonts w:ascii="Times New Roman" w:hAnsi="Times New Roman" w:cs="Times New Roman"/>
                <w:sz w:val="24"/>
                <w:szCs w:val="24"/>
                <w:lang w:val="en-US"/>
              </w:rPr>
              <w:t xml:space="preserve">. </w:t>
            </w:r>
          </w:p>
          <w:p w:rsidR="00701AA3" w:rsidRPr="00A5016A" w:rsidRDefault="00701AA3" w:rsidP="00701AA3">
            <w:pPr>
              <w:rPr>
                <w:rFonts w:ascii="Times New Roman" w:hAnsi="Times New Roman" w:cs="Times New Roman"/>
                <w:sz w:val="24"/>
                <w:szCs w:val="24"/>
                <w:lang w:val="en-US"/>
              </w:rPr>
            </w:pPr>
            <w:r w:rsidRPr="00A5016A">
              <w:rPr>
                <w:rFonts w:ascii="Times New Roman" w:hAnsi="Times New Roman" w:cs="Times New Roman"/>
                <w:sz w:val="24"/>
                <w:szCs w:val="24"/>
                <w:lang w:val="en-US"/>
              </w:rPr>
              <w:t xml:space="preserve">EEA: Natura2000 database </w:t>
            </w:r>
          </w:p>
        </w:tc>
      </w:tr>
      <w:tr w:rsidR="00963625" w:rsidRPr="00A5016A" w:rsidTr="00963625">
        <w:tc>
          <w:tcPr>
            <w:tcW w:w="2257" w:type="dxa"/>
            <w:gridSpan w:val="3"/>
            <w:tcBorders>
              <w:bottom w:val="single" w:sz="4" w:space="0" w:color="C4BC96" w:themeColor="background2" w:themeShade="BF"/>
            </w:tcBorders>
            <w:tcMar>
              <w:top w:w="57" w:type="dxa"/>
              <w:bottom w:w="57" w:type="dxa"/>
            </w:tcMar>
          </w:tcPr>
          <w:p w:rsidR="00963625" w:rsidRPr="00A5016A" w:rsidRDefault="00963625" w:rsidP="00272D02">
            <w:pPr>
              <w:ind w:left="284"/>
              <w:rPr>
                <w:rFonts w:ascii="Times New Roman" w:hAnsi="Times New Roman" w:cs="Times New Roman"/>
                <w:sz w:val="24"/>
                <w:szCs w:val="24"/>
                <w:lang w:val="en-GB"/>
              </w:rPr>
            </w:pPr>
            <w:r w:rsidRPr="00A5016A">
              <w:rPr>
                <w:rFonts w:ascii="Times New Roman" w:hAnsi="Times New Roman" w:cs="Times New Roman"/>
                <w:sz w:val="24"/>
                <w:szCs w:val="24"/>
                <w:lang w:val="en-US"/>
              </w:rPr>
              <w:t xml:space="preserve"> </w:t>
            </w:r>
            <w:r w:rsidRPr="00A5016A">
              <w:rPr>
                <w:rFonts w:ascii="Times New Roman" w:hAnsi="Times New Roman" w:cs="Times New Roman"/>
                <w:sz w:val="24"/>
                <w:szCs w:val="24"/>
                <w:lang w:val="en-GB"/>
              </w:rPr>
              <w:t>Uncertainties</w:t>
            </w:r>
          </w:p>
        </w:tc>
        <w:tc>
          <w:tcPr>
            <w:tcW w:w="7357" w:type="dxa"/>
            <w:tcBorders>
              <w:bottom w:val="single" w:sz="4" w:space="0" w:color="C4BC96" w:themeColor="background2" w:themeShade="BF"/>
            </w:tcBorders>
            <w:tcMar>
              <w:top w:w="57" w:type="dxa"/>
              <w:bottom w:w="57" w:type="dxa"/>
            </w:tcMar>
          </w:tcPr>
          <w:p w:rsidR="00963625" w:rsidRPr="00A5016A" w:rsidRDefault="00963625" w:rsidP="004408E0">
            <w:pPr>
              <w:rPr>
                <w:rFonts w:ascii="Times New Roman" w:hAnsi="Times New Roman" w:cs="Times New Roman"/>
                <w:sz w:val="24"/>
                <w:szCs w:val="24"/>
                <w:lang w:val="en-GB"/>
              </w:rPr>
            </w:pPr>
          </w:p>
        </w:tc>
      </w:tr>
      <w:tr w:rsidR="00963625" w:rsidRPr="00B71458" w:rsidTr="00963625">
        <w:tc>
          <w:tcPr>
            <w:tcW w:w="277" w:type="dxa"/>
            <w:tcBorders>
              <w:top w:val="single" w:sz="4" w:space="0" w:color="C4BC96" w:themeColor="background2" w:themeShade="BF"/>
              <w:bottom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963625" w:rsidRPr="00A5016A" w:rsidRDefault="00963625" w:rsidP="00272D02">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Methodology uncertainty</w:t>
            </w:r>
          </w:p>
        </w:tc>
        <w:tc>
          <w:tcPr>
            <w:tcW w:w="7357" w:type="dxa"/>
            <w:tcBorders>
              <w:top w:val="single" w:sz="4" w:space="0" w:color="C4BC96" w:themeColor="background2" w:themeShade="BF"/>
            </w:tcBorders>
            <w:tcMar>
              <w:top w:w="57" w:type="dxa"/>
              <w:bottom w:w="57" w:type="dxa"/>
            </w:tcMar>
          </w:tcPr>
          <w:p w:rsidR="00963625" w:rsidRPr="00A5016A" w:rsidRDefault="00C05489" w:rsidP="00760290">
            <w:pPr>
              <w:jc w:val="both"/>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Urban areas related to the ski area may not be part of the convex hull around the ski runs and lifts. </w:t>
            </w:r>
          </w:p>
        </w:tc>
      </w:tr>
      <w:tr w:rsidR="00963625" w:rsidRPr="00B71458" w:rsidTr="00963625">
        <w:tc>
          <w:tcPr>
            <w:tcW w:w="277" w:type="dxa"/>
            <w:tcBorders>
              <w:top w:val="nil"/>
              <w:bottom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US"/>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Data sets uncertainties</w:t>
            </w:r>
          </w:p>
        </w:tc>
        <w:tc>
          <w:tcPr>
            <w:tcW w:w="7357" w:type="dxa"/>
            <w:tcMar>
              <w:top w:w="57" w:type="dxa"/>
              <w:bottom w:w="57" w:type="dxa"/>
            </w:tcMar>
          </w:tcPr>
          <w:p w:rsidR="00963625" w:rsidRPr="00A5016A" w:rsidRDefault="00701AA3" w:rsidP="00701AA3">
            <w:pPr>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Being OpenStreetMap a voluntary mapping effort, the completeness and correctness of the dataset cannot be ensured completely. </w:t>
            </w:r>
            <w:r w:rsidR="00760290" w:rsidRPr="00A5016A">
              <w:rPr>
                <w:rFonts w:ascii="Times New Roman" w:hAnsi="Times New Roman" w:cs="Times New Roman"/>
                <w:sz w:val="24"/>
                <w:szCs w:val="24"/>
                <w:lang w:val="en-GB"/>
              </w:rPr>
              <w:t xml:space="preserve">Not all ski areas may </w:t>
            </w:r>
            <w:r w:rsidRPr="00A5016A">
              <w:rPr>
                <w:rFonts w:ascii="Times New Roman" w:hAnsi="Times New Roman" w:cs="Times New Roman"/>
                <w:sz w:val="24"/>
                <w:szCs w:val="24"/>
                <w:lang w:val="en-GB"/>
              </w:rPr>
              <w:t xml:space="preserve">have </w:t>
            </w:r>
            <w:r w:rsidR="00760290" w:rsidRPr="00A5016A">
              <w:rPr>
                <w:rFonts w:ascii="Times New Roman" w:hAnsi="Times New Roman" w:cs="Times New Roman"/>
                <w:sz w:val="24"/>
                <w:szCs w:val="24"/>
                <w:lang w:val="en-GB"/>
              </w:rPr>
              <w:t>be</w:t>
            </w:r>
            <w:r w:rsidRPr="00A5016A">
              <w:rPr>
                <w:rFonts w:ascii="Times New Roman" w:hAnsi="Times New Roman" w:cs="Times New Roman"/>
                <w:sz w:val="24"/>
                <w:szCs w:val="24"/>
                <w:lang w:val="en-GB"/>
              </w:rPr>
              <w:t>en</w:t>
            </w:r>
            <w:r w:rsidR="00760290" w:rsidRPr="00A5016A">
              <w:rPr>
                <w:rFonts w:ascii="Times New Roman" w:hAnsi="Times New Roman" w:cs="Times New Roman"/>
                <w:sz w:val="24"/>
                <w:szCs w:val="24"/>
                <w:lang w:val="en-GB"/>
              </w:rPr>
              <w:t xml:space="preserve"> mapped in OSM, especially in remote mountain areas.</w:t>
            </w:r>
          </w:p>
        </w:tc>
      </w:tr>
      <w:tr w:rsidR="00963625" w:rsidRPr="00A5016A" w:rsidTr="00963625">
        <w:tc>
          <w:tcPr>
            <w:tcW w:w="277" w:type="dxa"/>
            <w:tcBorders>
              <w:top w:val="nil"/>
              <w:right w:val="nil"/>
            </w:tcBorders>
            <w:tcMar>
              <w:top w:w="57" w:type="dxa"/>
              <w:bottom w:w="57" w:type="dxa"/>
            </w:tcMar>
          </w:tcPr>
          <w:p w:rsidR="00963625" w:rsidRPr="00A5016A" w:rsidRDefault="00963625" w:rsidP="004408E0">
            <w:pPr>
              <w:ind w:left="284"/>
              <w:rPr>
                <w:rFonts w:ascii="Times New Roman" w:hAnsi="Times New Roman" w:cs="Times New Roman"/>
                <w:sz w:val="24"/>
                <w:szCs w:val="24"/>
                <w:lang w:val="en-GB"/>
              </w:rPr>
            </w:pPr>
          </w:p>
        </w:tc>
        <w:tc>
          <w:tcPr>
            <w:tcW w:w="1980" w:type="dxa"/>
            <w:gridSpan w:val="2"/>
            <w:tcBorders>
              <w:left w:val="nil"/>
            </w:tcBorders>
          </w:tcPr>
          <w:p w:rsidR="00963625" w:rsidRPr="00A5016A" w:rsidRDefault="00963625" w:rsidP="004408E0">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Rationale uncertainty</w:t>
            </w:r>
          </w:p>
        </w:tc>
        <w:tc>
          <w:tcPr>
            <w:tcW w:w="7357" w:type="dxa"/>
            <w:tcMar>
              <w:top w:w="57" w:type="dxa"/>
              <w:bottom w:w="57" w:type="dxa"/>
            </w:tcMar>
          </w:tcPr>
          <w:p w:rsidR="00963625" w:rsidRPr="00A5016A" w:rsidRDefault="00963625" w:rsidP="00376871">
            <w:pPr>
              <w:rPr>
                <w:rFonts w:ascii="Times New Roman" w:hAnsi="Times New Roman" w:cs="Times New Roman"/>
                <w:sz w:val="24"/>
                <w:szCs w:val="24"/>
                <w:lang w:val="en-GB"/>
              </w:rPr>
            </w:pPr>
          </w:p>
        </w:tc>
      </w:tr>
      <w:tr w:rsidR="00963625" w:rsidRPr="00A5016A" w:rsidTr="00963625">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Further work</w:t>
            </w:r>
          </w:p>
        </w:tc>
        <w:tc>
          <w:tcPr>
            <w:tcW w:w="7357" w:type="dxa"/>
            <w:tcMar>
              <w:top w:w="57" w:type="dxa"/>
              <w:bottom w:w="57" w:type="dxa"/>
            </w:tcMar>
          </w:tcPr>
          <w:p w:rsidR="00AD5A9C" w:rsidRPr="00A5016A" w:rsidRDefault="00AD5A9C" w:rsidP="00C05489">
            <w:pPr>
              <w:rPr>
                <w:rFonts w:ascii="Times New Roman" w:hAnsi="Times New Roman" w:cs="Times New Roman"/>
                <w:sz w:val="24"/>
                <w:szCs w:val="24"/>
                <w:lang w:val="en-GB"/>
              </w:rPr>
            </w:pPr>
          </w:p>
        </w:tc>
      </w:tr>
      <w:tr w:rsidR="00963625" w:rsidRPr="00B71458" w:rsidTr="00963625">
        <w:tc>
          <w:tcPr>
            <w:tcW w:w="2257" w:type="dxa"/>
            <w:gridSpan w:val="3"/>
            <w:tcMar>
              <w:top w:w="57" w:type="dxa"/>
              <w:bottom w:w="57" w:type="dxa"/>
            </w:tcMar>
          </w:tcPr>
          <w:p w:rsidR="00963625" w:rsidRPr="00A5016A" w:rsidRDefault="00963625" w:rsidP="000B6BC7">
            <w:pPr>
              <w:ind w:left="284"/>
              <w:rPr>
                <w:rFonts w:ascii="Times New Roman" w:hAnsi="Times New Roman" w:cs="Times New Roman"/>
                <w:sz w:val="24"/>
                <w:szCs w:val="24"/>
                <w:lang w:val="en-GB"/>
              </w:rPr>
            </w:pPr>
            <w:r w:rsidRPr="00A5016A">
              <w:rPr>
                <w:rFonts w:ascii="Times New Roman" w:hAnsi="Times New Roman" w:cs="Times New Roman"/>
                <w:sz w:val="24"/>
                <w:szCs w:val="24"/>
                <w:lang w:val="en-GB"/>
              </w:rPr>
              <w:t xml:space="preserve">Ownership and contacts </w:t>
            </w:r>
          </w:p>
        </w:tc>
        <w:tc>
          <w:tcPr>
            <w:tcW w:w="7357" w:type="dxa"/>
            <w:tcMar>
              <w:top w:w="57" w:type="dxa"/>
              <w:bottom w:w="57" w:type="dxa"/>
            </w:tcMar>
          </w:tcPr>
          <w:p w:rsidR="00207446" w:rsidRPr="00A5016A" w:rsidRDefault="00C05489" w:rsidP="00AD5A9C">
            <w:pPr>
              <w:rPr>
                <w:rFonts w:ascii="Times New Roman" w:hAnsi="Times New Roman" w:cs="Times New Roman"/>
                <w:sz w:val="24"/>
                <w:szCs w:val="24"/>
                <w:lang w:val="en-US"/>
              </w:rPr>
            </w:pPr>
            <w:r w:rsidRPr="00A5016A">
              <w:rPr>
                <w:rFonts w:ascii="Times New Roman" w:hAnsi="Times New Roman" w:cs="Times New Roman"/>
                <w:sz w:val="24"/>
                <w:szCs w:val="24"/>
                <w:lang w:val="en-US"/>
              </w:rPr>
              <w:t xml:space="preserve">OpenStreetMap: </w:t>
            </w:r>
            <w:hyperlink r:id="rId10" w:history="1">
              <w:r w:rsidR="00525EBA" w:rsidRPr="00A5016A">
                <w:rPr>
                  <w:rStyle w:val="Hipervnculo"/>
                  <w:rFonts w:ascii="Times New Roman" w:hAnsi="Times New Roman" w:cs="Times New Roman"/>
                  <w:sz w:val="24"/>
                  <w:szCs w:val="24"/>
                  <w:lang w:val="en-US"/>
                </w:rPr>
                <w:t>http://www.openstreetmap.org</w:t>
              </w:r>
            </w:hyperlink>
          </w:p>
          <w:p w:rsidR="00701AA3" w:rsidRPr="00A5016A" w:rsidRDefault="00701AA3" w:rsidP="00525EBA">
            <w:pPr>
              <w:rPr>
                <w:rFonts w:ascii="Times New Roman" w:hAnsi="Times New Roman" w:cs="Times New Roman"/>
                <w:sz w:val="24"/>
                <w:szCs w:val="24"/>
                <w:lang w:val="en-US"/>
              </w:rPr>
            </w:pPr>
            <w:r w:rsidRPr="00A5016A">
              <w:rPr>
                <w:rFonts w:ascii="Times New Roman" w:hAnsi="Times New Roman" w:cs="Times New Roman"/>
                <w:sz w:val="24"/>
                <w:szCs w:val="24"/>
                <w:lang w:val="en-US"/>
              </w:rPr>
              <w:t>Directorate-General for Environment (DG ENV)</w:t>
            </w:r>
          </w:p>
          <w:p w:rsidR="00525EBA" w:rsidRPr="00AD5A9C" w:rsidRDefault="00525EBA" w:rsidP="00525EBA">
            <w:pPr>
              <w:rPr>
                <w:rFonts w:ascii="Times New Roman" w:hAnsi="Times New Roman" w:cs="Times New Roman"/>
                <w:sz w:val="24"/>
                <w:szCs w:val="24"/>
                <w:lang w:val="en-US"/>
              </w:rPr>
            </w:pPr>
            <w:r w:rsidRPr="00A5016A">
              <w:rPr>
                <w:rFonts w:ascii="Times New Roman" w:hAnsi="Times New Roman" w:cs="Times New Roman"/>
                <w:sz w:val="24"/>
                <w:szCs w:val="24"/>
                <w:lang w:val="en-US"/>
              </w:rPr>
              <w:t>Christoph Schröder (christoph.schroder@uma.es)</w:t>
            </w:r>
          </w:p>
        </w:tc>
      </w:tr>
    </w:tbl>
    <w:p w:rsidR="000135C1" w:rsidRPr="00F6425D" w:rsidRDefault="000135C1">
      <w:pPr>
        <w:rPr>
          <w:lang w:val="en-GB"/>
        </w:rPr>
      </w:pPr>
    </w:p>
    <w:sectPr w:rsidR="000135C1" w:rsidRPr="00F6425D" w:rsidSect="003D70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0E" w:rsidRDefault="007B6F0E" w:rsidP="005018E7">
      <w:pPr>
        <w:spacing w:after="0" w:line="240" w:lineRule="auto"/>
      </w:pPr>
      <w:r>
        <w:separator/>
      </w:r>
    </w:p>
  </w:endnote>
  <w:endnote w:type="continuationSeparator" w:id="0">
    <w:p w:rsidR="007B6F0E" w:rsidRDefault="007B6F0E" w:rsidP="005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0E" w:rsidRDefault="007B6F0E" w:rsidP="005018E7">
      <w:pPr>
        <w:spacing w:after="0" w:line="240" w:lineRule="auto"/>
      </w:pPr>
      <w:r>
        <w:separator/>
      </w:r>
    </w:p>
  </w:footnote>
  <w:footnote w:type="continuationSeparator" w:id="0">
    <w:p w:rsidR="007B6F0E" w:rsidRDefault="007B6F0E" w:rsidP="0050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E12F7F"/>
    <w:multiLevelType w:val="hybridMultilevel"/>
    <w:tmpl w:val="86DC3924"/>
    <w:lvl w:ilvl="0" w:tplc="89EE07A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B20F7"/>
    <w:multiLevelType w:val="hybridMultilevel"/>
    <w:tmpl w:val="82B62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81F8C"/>
    <w:multiLevelType w:val="hybridMultilevel"/>
    <w:tmpl w:val="81F63B2C"/>
    <w:lvl w:ilvl="0" w:tplc="5CD01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07CC2"/>
    <w:multiLevelType w:val="hybridMultilevel"/>
    <w:tmpl w:val="0E1213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7" w15:restartNumberingAfterBreak="0">
    <w:nsid w:val="59C773C0"/>
    <w:multiLevelType w:val="hybridMultilevel"/>
    <w:tmpl w:val="98C43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38"/>
    <w:rsid w:val="00002F98"/>
    <w:rsid w:val="000135C1"/>
    <w:rsid w:val="000207E9"/>
    <w:rsid w:val="0006446C"/>
    <w:rsid w:val="00096741"/>
    <w:rsid w:val="000B09FC"/>
    <w:rsid w:val="000B6BC7"/>
    <w:rsid w:val="000F7A52"/>
    <w:rsid w:val="001539F7"/>
    <w:rsid w:val="001C6135"/>
    <w:rsid w:val="00207446"/>
    <w:rsid w:val="00234EE7"/>
    <w:rsid w:val="002728ED"/>
    <w:rsid w:val="00272D02"/>
    <w:rsid w:val="00280DBE"/>
    <w:rsid w:val="00313FF8"/>
    <w:rsid w:val="00376871"/>
    <w:rsid w:val="003D70AC"/>
    <w:rsid w:val="003D7900"/>
    <w:rsid w:val="0045617F"/>
    <w:rsid w:val="005018E7"/>
    <w:rsid w:val="00525EBA"/>
    <w:rsid w:val="00537FD4"/>
    <w:rsid w:val="005546E6"/>
    <w:rsid w:val="005722DC"/>
    <w:rsid w:val="005D59D0"/>
    <w:rsid w:val="00627831"/>
    <w:rsid w:val="006B43C1"/>
    <w:rsid w:val="00701AA3"/>
    <w:rsid w:val="0071598A"/>
    <w:rsid w:val="00760290"/>
    <w:rsid w:val="00795E2F"/>
    <w:rsid w:val="007A5943"/>
    <w:rsid w:val="007B6F0E"/>
    <w:rsid w:val="008248BA"/>
    <w:rsid w:val="00883E72"/>
    <w:rsid w:val="008B5F7A"/>
    <w:rsid w:val="008D53EA"/>
    <w:rsid w:val="00940E41"/>
    <w:rsid w:val="00963625"/>
    <w:rsid w:val="00965C2E"/>
    <w:rsid w:val="009C62B5"/>
    <w:rsid w:val="00A06794"/>
    <w:rsid w:val="00A5016A"/>
    <w:rsid w:val="00A531EC"/>
    <w:rsid w:val="00AB4B1D"/>
    <w:rsid w:val="00AD1C72"/>
    <w:rsid w:val="00AD5A9C"/>
    <w:rsid w:val="00B042BF"/>
    <w:rsid w:val="00B06377"/>
    <w:rsid w:val="00B63FC9"/>
    <w:rsid w:val="00B71458"/>
    <w:rsid w:val="00B8797E"/>
    <w:rsid w:val="00B904B1"/>
    <w:rsid w:val="00B908C1"/>
    <w:rsid w:val="00B95902"/>
    <w:rsid w:val="00BB54EB"/>
    <w:rsid w:val="00BC4483"/>
    <w:rsid w:val="00BD4938"/>
    <w:rsid w:val="00C03198"/>
    <w:rsid w:val="00C05489"/>
    <w:rsid w:val="00C064F8"/>
    <w:rsid w:val="00C25445"/>
    <w:rsid w:val="00C54E65"/>
    <w:rsid w:val="00C8408B"/>
    <w:rsid w:val="00CE090A"/>
    <w:rsid w:val="00D04747"/>
    <w:rsid w:val="00D75153"/>
    <w:rsid w:val="00D9138A"/>
    <w:rsid w:val="00DF1F72"/>
    <w:rsid w:val="00DF7264"/>
    <w:rsid w:val="00E05CFD"/>
    <w:rsid w:val="00E23286"/>
    <w:rsid w:val="00E70B79"/>
    <w:rsid w:val="00EA072E"/>
    <w:rsid w:val="00EC486B"/>
    <w:rsid w:val="00EE3150"/>
    <w:rsid w:val="00F000DC"/>
    <w:rsid w:val="00F46783"/>
    <w:rsid w:val="00F6425D"/>
    <w:rsid w:val="00F66385"/>
    <w:rsid w:val="00FA0D6F"/>
    <w:rsid w:val="00FA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4A30"/>
  <w15:docId w15:val="{CEF0785B-C378-4CE1-B8BD-A582318D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20385">
      <w:bodyDiv w:val="1"/>
      <w:marLeft w:val="0"/>
      <w:marRight w:val="0"/>
      <w:marTop w:val="0"/>
      <w:marBottom w:val="0"/>
      <w:divBdr>
        <w:top w:val="none" w:sz="0" w:space="0" w:color="auto"/>
        <w:left w:val="none" w:sz="0" w:space="0" w:color="auto"/>
        <w:bottom w:val="none" w:sz="0" w:space="0" w:color="auto"/>
        <w:right w:val="none" w:sz="0" w:space="0" w:color="auto"/>
      </w:divBdr>
    </w:div>
    <w:div w:id="946697190">
      <w:bodyDiv w:val="1"/>
      <w:marLeft w:val="0"/>
      <w:marRight w:val="0"/>
      <w:marTop w:val="0"/>
      <w:marBottom w:val="0"/>
      <w:divBdr>
        <w:top w:val="none" w:sz="0" w:space="0" w:color="auto"/>
        <w:left w:val="none" w:sz="0" w:space="0" w:color="auto"/>
        <w:bottom w:val="none" w:sz="0" w:space="0" w:color="auto"/>
        <w:right w:val="none" w:sz="0" w:space="0" w:color="auto"/>
      </w:divBdr>
    </w:div>
    <w:div w:id="13640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reetmap.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BBFE-6089-473E-9FAD-FBB29497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812</Words>
  <Characters>4631</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Jaume Fons Esteve</cp:lastModifiedBy>
  <cp:revision>3</cp:revision>
  <dcterms:created xsi:type="dcterms:W3CDTF">2017-06-01T16:01:00Z</dcterms:created>
  <dcterms:modified xsi:type="dcterms:W3CDTF">2017-06-01T16:06:00Z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-419697515</vt:i4>
  </property>
  <property fmtid="{D5CDD505-2E9C-101B-9397-08002B2CF9AE}" pid="3" name="_NewReviewCycle">
    <vt:lpwstr/>
  </property>
  <property fmtid="{D5CDD505-2E9C-101B-9397-08002B2CF9AE}" pid="4" name="_EmailSubject">
    <vt:lpwstr>skype call, 7th August: minutes and other papers</vt:lpwstr>
  </property>
  <property fmtid="{D5CDD505-2E9C-101B-9397-08002B2CF9AE}" pid="5" name="_AuthorEmail">
    <vt:lpwstr>Silvia.Giulietti@eea.europa.eu</vt:lpwstr>
  </property>
  <property fmtid="{D5CDD505-2E9C-101B-9397-08002B2CF9AE}" pid="6" name="_AuthorEmailDisplayName">
    <vt:lpwstr>Silvia Giulietti</vt:lpwstr>
  </property>
  <property fmtid="{D5CDD505-2E9C-101B-9397-08002B2CF9AE}" pid="7" name="_ReviewingToolsShownOnce">
    <vt:lpwstr/>
  </property>
</Properties>
</file>