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EA" w:rsidRDefault="001949EA" w:rsidP="00865B4B">
      <w:pPr>
        <w:rPr>
          <w:lang w:val="en-US"/>
        </w:rPr>
      </w:pPr>
    </w:p>
    <w:tbl>
      <w:tblPr>
        <w:tblStyle w:val="Tablaconcuadrcula"/>
        <w:tblW w:w="9039" w:type="dxa"/>
        <w:tblInd w:w="392" w:type="dxa"/>
        <w:tblLook w:val="04A0" w:firstRow="1" w:lastRow="0" w:firstColumn="1" w:lastColumn="0" w:noHBand="0" w:noVBand="1"/>
      </w:tblPr>
      <w:tblGrid>
        <w:gridCol w:w="573"/>
        <w:gridCol w:w="252"/>
        <w:gridCol w:w="1472"/>
        <w:gridCol w:w="6929"/>
      </w:tblGrid>
      <w:tr w:rsidR="001949EA" w:rsidRPr="00130C07" w:rsidTr="00213EFD">
        <w:tc>
          <w:tcPr>
            <w:tcW w:w="2126" w:type="dxa"/>
            <w:gridSpan w:val="3"/>
          </w:tcPr>
          <w:p w:rsidR="001949EA" w:rsidRPr="00130C07" w:rsidRDefault="001949EA" w:rsidP="001949EA">
            <w:pPr>
              <w:ind w:left="142"/>
              <w:rPr>
                <w:b/>
              </w:rPr>
            </w:pPr>
            <w:r w:rsidRPr="00130C07">
              <w:rPr>
                <w:b/>
              </w:rPr>
              <w:t>Indicator name</w:t>
            </w:r>
          </w:p>
        </w:tc>
        <w:tc>
          <w:tcPr>
            <w:tcW w:w="6913" w:type="dxa"/>
          </w:tcPr>
          <w:p w:rsidR="001949EA" w:rsidRPr="00130C07" w:rsidRDefault="002C132E" w:rsidP="00B71DA2">
            <w:pPr>
              <w:ind w:left="142"/>
            </w:pPr>
            <w:r>
              <w:t xml:space="preserve">Tourism certification tools (1. </w:t>
            </w:r>
            <w:r w:rsidR="00B71DA2">
              <w:t>E</w:t>
            </w:r>
            <w:r w:rsidR="000004D6">
              <w:t>nterprises</w:t>
            </w:r>
            <w:r>
              <w:t>)</w:t>
            </w:r>
          </w:p>
        </w:tc>
      </w:tr>
      <w:tr w:rsidR="001949EA" w:rsidRPr="00130C07" w:rsidTr="00213EFD">
        <w:tc>
          <w:tcPr>
            <w:tcW w:w="2126" w:type="dxa"/>
            <w:gridSpan w:val="3"/>
          </w:tcPr>
          <w:p w:rsidR="001949EA" w:rsidRPr="00130C07" w:rsidRDefault="001949EA" w:rsidP="001949EA">
            <w:pPr>
              <w:ind w:left="142"/>
              <w:rPr>
                <w:b/>
              </w:rPr>
            </w:pPr>
            <w:r w:rsidRPr="00130C07">
              <w:rPr>
                <w:b/>
              </w:rPr>
              <w:t>ASSESSMENT</w:t>
            </w:r>
          </w:p>
        </w:tc>
        <w:tc>
          <w:tcPr>
            <w:tcW w:w="6913" w:type="dxa"/>
          </w:tcPr>
          <w:p w:rsidR="001949EA" w:rsidRPr="00130C07" w:rsidRDefault="001949EA" w:rsidP="001949EA">
            <w:pPr>
              <w:ind w:left="142"/>
            </w:pPr>
          </w:p>
        </w:tc>
      </w:tr>
      <w:tr w:rsidR="001949EA" w:rsidRPr="00130C07" w:rsidTr="00213EFD">
        <w:tc>
          <w:tcPr>
            <w:tcW w:w="2126" w:type="dxa"/>
            <w:gridSpan w:val="3"/>
          </w:tcPr>
          <w:p w:rsidR="001949EA" w:rsidRPr="00130C07" w:rsidRDefault="001949EA" w:rsidP="001949EA">
            <w:pPr>
              <w:ind w:left="142"/>
            </w:pPr>
            <w:r w:rsidRPr="00130C07">
              <w:t>Indicator Name</w:t>
            </w:r>
          </w:p>
        </w:tc>
        <w:tc>
          <w:tcPr>
            <w:tcW w:w="6913" w:type="dxa"/>
          </w:tcPr>
          <w:p w:rsidR="001949EA" w:rsidRDefault="002C132E" w:rsidP="00DE5BE3">
            <w:pPr>
              <w:ind w:left="142"/>
              <w:rPr>
                <w:lang w:val="en-US"/>
              </w:rPr>
            </w:pPr>
            <w:r>
              <w:rPr>
                <w:lang w:val="en-US"/>
              </w:rPr>
              <w:t xml:space="preserve">TOUR009a - </w:t>
            </w:r>
            <w:r w:rsidR="00350524" w:rsidRPr="00130C07">
              <w:rPr>
                <w:lang w:val="en-US"/>
              </w:rPr>
              <w:t>Percentage of tourism enterprises using environ</w:t>
            </w:r>
            <w:r>
              <w:rPr>
                <w:lang w:val="en-US"/>
              </w:rPr>
              <w:t>mental certification / labelling (Ecolabel)</w:t>
            </w:r>
          </w:p>
          <w:p w:rsidR="002C132E" w:rsidRPr="00130C07" w:rsidRDefault="002C132E" w:rsidP="002C132E">
            <w:pPr>
              <w:ind w:left="142"/>
              <w:rPr>
                <w:lang w:val="en-US"/>
              </w:rPr>
            </w:pPr>
            <w:r>
              <w:rPr>
                <w:lang w:val="en-US"/>
              </w:rPr>
              <w:t xml:space="preserve">TOUR009b - </w:t>
            </w:r>
            <w:r w:rsidRPr="00130C07">
              <w:rPr>
                <w:lang w:val="en-US"/>
              </w:rPr>
              <w:t>Percentage of tourism enterprises using environ</w:t>
            </w:r>
            <w:r>
              <w:rPr>
                <w:lang w:val="en-US"/>
              </w:rPr>
              <w:t>mental certification / labelling (EMAS</w:t>
            </w:r>
            <w:bookmarkStart w:id="0" w:name="_GoBack"/>
            <w:bookmarkEnd w:id="0"/>
            <w:r>
              <w:rPr>
                <w:lang w:val="en-US"/>
              </w:rPr>
              <w:t>)</w:t>
            </w:r>
          </w:p>
        </w:tc>
      </w:tr>
      <w:tr w:rsidR="001949EA" w:rsidRPr="00130C07" w:rsidTr="00213EFD">
        <w:tc>
          <w:tcPr>
            <w:tcW w:w="2126" w:type="dxa"/>
            <w:gridSpan w:val="3"/>
          </w:tcPr>
          <w:p w:rsidR="001949EA" w:rsidRPr="00130C07" w:rsidRDefault="001949EA" w:rsidP="001949EA">
            <w:pPr>
              <w:ind w:left="142"/>
            </w:pPr>
            <w:r w:rsidRPr="00130C07">
              <w:t>Key policy question</w:t>
            </w:r>
          </w:p>
        </w:tc>
        <w:tc>
          <w:tcPr>
            <w:tcW w:w="6913" w:type="dxa"/>
          </w:tcPr>
          <w:p w:rsidR="007F218A" w:rsidRPr="00130C07" w:rsidRDefault="00350524" w:rsidP="00A23B1F">
            <w:pPr>
              <w:spacing w:line="276" w:lineRule="auto"/>
              <w:ind w:left="142"/>
              <w:rPr>
                <w:lang w:val="en-US"/>
              </w:rPr>
            </w:pPr>
            <w:r w:rsidRPr="00130C07">
              <w:rPr>
                <w:lang w:val="en-US"/>
              </w:rPr>
              <w:t>Are tourism companies more environmentally responsible?</w:t>
            </w:r>
          </w:p>
        </w:tc>
      </w:tr>
      <w:tr w:rsidR="001949EA" w:rsidRPr="00130C07" w:rsidTr="00213EFD">
        <w:tc>
          <w:tcPr>
            <w:tcW w:w="2126" w:type="dxa"/>
            <w:gridSpan w:val="3"/>
          </w:tcPr>
          <w:p w:rsidR="001949EA" w:rsidRPr="00130C07" w:rsidRDefault="001949EA" w:rsidP="001949EA">
            <w:pPr>
              <w:ind w:left="142"/>
            </w:pPr>
            <w:r w:rsidRPr="00130C07">
              <w:t>Key message</w:t>
            </w:r>
          </w:p>
        </w:tc>
        <w:tc>
          <w:tcPr>
            <w:tcW w:w="6913" w:type="dxa"/>
          </w:tcPr>
          <w:p w:rsidR="00BA6C71" w:rsidRPr="00130C07" w:rsidRDefault="006E4E1A" w:rsidP="00BA6C71">
            <w:pPr>
              <w:ind w:left="142"/>
            </w:pPr>
            <w:r w:rsidRPr="00130C07">
              <w:t>Environmental certification or labelling in the tourism sector is one of the ways to assess the extent to which enterprises (especially in the tourist accommodation subsector) are actively incorporating sustainability principles into their operations and if they are involved in recognised (or qualified) eco-certification programmes and sustainability reporting procedures. An increase in the percentage of certified / labelled tourism enterprises will mean a more generalised commitment towards environmental management on behalf of the tourism sector</w:t>
            </w:r>
            <w:r w:rsidR="003142C9" w:rsidRPr="00130C07">
              <w:t xml:space="preserve"> in particular, and destinations and countries in general</w:t>
            </w:r>
            <w:r w:rsidRPr="00130C07">
              <w:t>.</w:t>
            </w:r>
          </w:p>
        </w:tc>
      </w:tr>
      <w:tr w:rsidR="001949EA" w:rsidRPr="00130C07" w:rsidTr="00213EFD">
        <w:tc>
          <w:tcPr>
            <w:tcW w:w="2126" w:type="dxa"/>
            <w:gridSpan w:val="3"/>
          </w:tcPr>
          <w:p w:rsidR="001949EA" w:rsidRPr="00130C07" w:rsidRDefault="001949EA" w:rsidP="001949EA">
            <w:pPr>
              <w:ind w:left="142"/>
            </w:pPr>
            <w:r w:rsidRPr="00130C07">
              <w:t xml:space="preserve">Key assessment </w:t>
            </w:r>
          </w:p>
        </w:tc>
        <w:tc>
          <w:tcPr>
            <w:tcW w:w="6913" w:type="dxa"/>
          </w:tcPr>
          <w:p w:rsidR="007168E0" w:rsidRPr="00130C07" w:rsidRDefault="002606FE" w:rsidP="002C132E">
            <w:pPr>
              <w:ind w:left="146"/>
            </w:pPr>
            <w:r w:rsidRPr="00130C07">
              <w:t>The implementation of the EU Eco-label for tourist accommodation services and campsites (the two categories created by the European Commission specifically for the tourism sector) has been growing since its creation in 2003. How</w:t>
            </w:r>
            <w:r w:rsidR="008B6BBC" w:rsidRPr="00130C07">
              <w:t>ever, in April 2016 there w</w:t>
            </w:r>
            <w:r w:rsidR="009475BE" w:rsidRPr="00130C07">
              <w:t>ere</w:t>
            </w:r>
            <w:r w:rsidRPr="00130C07">
              <w:t xml:space="preserve"> a total of 782 tourist accommodation establishments and campsites awarded with the EU Eco-label</w:t>
            </w:r>
            <w:r w:rsidR="008B6BBC" w:rsidRPr="00130C07">
              <w:t>, according to</w:t>
            </w:r>
            <w:r w:rsidR="00FA4857" w:rsidRPr="00130C07">
              <w:t xml:space="preserve"> the European Commission</w:t>
            </w:r>
            <w:r w:rsidR="008B6BBC" w:rsidRPr="00130C07">
              <w:t xml:space="preserve"> registers</w:t>
            </w:r>
            <w:r w:rsidRPr="00130C07">
              <w:t>. This means a 0.14</w:t>
            </w:r>
            <w:r w:rsidR="008B6BBC" w:rsidRPr="00130C07">
              <w:t xml:space="preserve"> </w:t>
            </w:r>
            <w:r w:rsidRPr="00130C07">
              <w:t>% of the total number of tourist accommodation establishments in Europe (570,268 establishments).</w:t>
            </w:r>
            <w:r w:rsidR="007168E0" w:rsidRPr="00130C07">
              <w:t xml:space="preserve"> Moreover, there is an uneven distribution of certifications throughout Europe (most of these certifications are concentrated in only a few countries, i.e. France, Italy, Austria, and to a lesser extent, Spain).</w:t>
            </w:r>
          </w:p>
          <w:p w:rsidR="001A32DC" w:rsidRPr="00130C07" w:rsidRDefault="001A32DC" w:rsidP="006E4E1A">
            <w:pPr>
              <w:ind w:left="164"/>
            </w:pPr>
          </w:p>
          <w:p w:rsidR="001A32DC" w:rsidRPr="00130C07" w:rsidRDefault="000D5890" w:rsidP="001A32DC">
            <w:pPr>
              <w:ind w:left="5"/>
            </w:pPr>
            <w:r w:rsidRPr="00130C07">
              <w:rPr>
                <w:noProof/>
                <w:lang w:val="ca-ES" w:eastAsia="ca-ES"/>
              </w:rPr>
              <w:drawing>
                <wp:inline distT="0" distB="0" distL="0" distR="0" wp14:anchorId="1416D3DD" wp14:editId="4ACA917D">
                  <wp:extent cx="4310743" cy="2357252"/>
                  <wp:effectExtent l="0" t="0" r="13970" b="241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31D02" w:rsidRPr="00130C07" w:rsidRDefault="00831D02" w:rsidP="001A32DC">
            <w:pPr>
              <w:ind w:left="5"/>
              <w:rPr>
                <w:sz w:val="20"/>
                <w:szCs w:val="20"/>
              </w:rPr>
            </w:pPr>
            <w:proofErr w:type="gramStart"/>
            <w:r w:rsidRPr="00130C07">
              <w:rPr>
                <w:sz w:val="20"/>
                <w:szCs w:val="20"/>
              </w:rPr>
              <w:t>Sour</w:t>
            </w:r>
            <w:r w:rsidR="00FA4857" w:rsidRPr="00130C07">
              <w:rPr>
                <w:sz w:val="20"/>
                <w:szCs w:val="20"/>
              </w:rPr>
              <w:t>ce: European Commission</w:t>
            </w:r>
            <w:r w:rsidRPr="00130C07">
              <w:rPr>
                <w:sz w:val="20"/>
                <w:szCs w:val="20"/>
              </w:rPr>
              <w:t>.</w:t>
            </w:r>
            <w:proofErr w:type="gramEnd"/>
          </w:p>
          <w:p w:rsidR="009475BE" w:rsidRPr="00130C07" w:rsidRDefault="009475BE" w:rsidP="002C132E"/>
          <w:p w:rsidR="008B6BBC" w:rsidRPr="00130C07" w:rsidRDefault="001A32DC" w:rsidP="00831D02">
            <w:pPr>
              <w:ind w:left="164"/>
            </w:pPr>
            <w:r w:rsidRPr="00130C07">
              <w:t xml:space="preserve">In the case of the implementation of the EMAS certification (EU environmental management system) in the tourist accommodation </w:t>
            </w:r>
            <w:r w:rsidRPr="00130C07">
              <w:lastRenderedPageBreak/>
              <w:t>sector</w:t>
            </w:r>
            <w:r w:rsidR="008B6BBC" w:rsidRPr="00130C07">
              <w:t xml:space="preserve"> numbers are even lower than EU </w:t>
            </w:r>
            <w:proofErr w:type="gramStart"/>
            <w:r w:rsidR="008B6BBC" w:rsidRPr="00130C07">
              <w:t>Ecolabel</w:t>
            </w:r>
            <w:proofErr w:type="gramEnd"/>
            <w:r w:rsidR="008B6BBC" w:rsidRPr="00130C07">
              <w:t xml:space="preserve">. </w:t>
            </w:r>
            <w:r w:rsidR="00831D02" w:rsidRPr="00130C07">
              <w:t xml:space="preserve">European Commission (DG ENV) reported </w:t>
            </w:r>
            <w:r w:rsidR="008B6BBC" w:rsidRPr="00130C07">
              <w:t>2</w:t>
            </w:r>
            <w:r w:rsidR="00FA4857" w:rsidRPr="00130C07">
              <w:t>36</w:t>
            </w:r>
            <w:r w:rsidR="008B6BBC" w:rsidRPr="00130C07">
              <w:t xml:space="preserve"> tourist accommodation establishments </w:t>
            </w:r>
            <w:r w:rsidR="009475BE" w:rsidRPr="00130C07">
              <w:t xml:space="preserve">registered </w:t>
            </w:r>
            <w:r w:rsidR="008B6BBC" w:rsidRPr="00130C07">
              <w:t>with the EMAS system</w:t>
            </w:r>
            <w:r w:rsidR="009475BE" w:rsidRPr="00130C07">
              <w:t xml:space="preserve"> throughout Europe</w:t>
            </w:r>
            <w:r w:rsidR="00831D02" w:rsidRPr="00130C07">
              <w:t xml:space="preserve"> in May 2016</w:t>
            </w:r>
            <w:r w:rsidR="00FA4857" w:rsidRPr="00130C07">
              <w:t xml:space="preserve"> (including hotels, campsites, and other types of short stay accommodation)</w:t>
            </w:r>
            <w:r w:rsidR="008B6BBC" w:rsidRPr="00130C07">
              <w:t xml:space="preserve">. This means a 0.04% of the total number of </w:t>
            </w:r>
            <w:proofErr w:type="gramStart"/>
            <w:r w:rsidR="008B6BBC" w:rsidRPr="00130C07">
              <w:t>European tourist accommodation establishments</w:t>
            </w:r>
            <w:proofErr w:type="gramEnd"/>
            <w:r w:rsidR="008B6BBC" w:rsidRPr="00130C07">
              <w:t xml:space="preserve">. </w:t>
            </w:r>
            <w:r w:rsidR="00B8485F" w:rsidRPr="00130C07">
              <w:t xml:space="preserve">Again, this number is also concentrated in only three countries (Germany, Spain, and Italy), while other </w:t>
            </w:r>
            <w:r w:rsidR="00A505AA" w:rsidRPr="00130C07">
              <w:t>six</w:t>
            </w:r>
            <w:r w:rsidR="00B8485F" w:rsidRPr="00130C07">
              <w:t xml:space="preserve"> countries have very few </w:t>
            </w:r>
            <w:r w:rsidR="00A505AA" w:rsidRPr="00130C07">
              <w:t xml:space="preserve">registered </w:t>
            </w:r>
            <w:r w:rsidR="00B8485F" w:rsidRPr="00130C07">
              <w:t>tourist accommodation establishments.</w:t>
            </w:r>
          </w:p>
          <w:p w:rsidR="000D5890" w:rsidRPr="00130C07" w:rsidRDefault="000D5890" w:rsidP="00831D02">
            <w:pPr>
              <w:ind w:left="164"/>
            </w:pPr>
          </w:p>
          <w:p w:rsidR="00005AE7" w:rsidRPr="00130C07" w:rsidRDefault="000D5890" w:rsidP="000D5890">
            <w:pPr>
              <w:jc w:val="center"/>
            </w:pPr>
            <w:r w:rsidRPr="00130C07">
              <w:rPr>
                <w:noProof/>
                <w:lang w:val="ca-ES" w:eastAsia="ca-ES"/>
              </w:rPr>
              <w:drawing>
                <wp:inline distT="0" distB="0" distL="0" distR="0" wp14:anchorId="67925252" wp14:editId="736CFAAA">
                  <wp:extent cx="4102925" cy="2196935"/>
                  <wp:effectExtent l="0" t="0" r="12065" b="1333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31D02" w:rsidRPr="00130C07" w:rsidRDefault="00831D02" w:rsidP="00831D02">
            <w:pPr>
              <w:spacing w:after="200" w:line="276" w:lineRule="auto"/>
              <w:jc w:val="left"/>
              <w:rPr>
                <w:rFonts w:eastAsiaTheme="minorHAnsi"/>
                <w:color w:val="auto"/>
                <w:sz w:val="20"/>
                <w:szCs w:val="20"/>
                <w:lang w:val="ca-ES"/>
              </w:rPr>
            </w:pPr>
            <w:proofErr w:type="spellStart"/>
            <w:r w:rsidRPr="00130C07">
              <w:rPr>
                <w:rFonts w:eastAsiaTheme="minorHAnsi"/>
                <w:color w:val="auto"/>
                <w:sz w:val="20"/>
                <w:szCs w:val="20"/>
                <w:lang w:val="ca-ES"/>
              </w:rPr>
              <w:t>Source</w:t>
            </w:r>
            <w:proofErr w:type="spellEnd"/>
            <w:r w:rsidRPr="00130C07">
              <w:rPr>
                <w:rFonts w:eastAsiaTheme="minorHAnsi"/>
                <w:color w:val="auto"/>
                <w:sz w:val="20"/>
                <w:szCs w:val="20"/>
                <w:lang w:val="ca-ES"/>
              </w:rPr>
              <w:t xml:space="preserve">: </w:t>
            </w:r>
            <w:proofErr w:type="spellStart"/>
            <w:r w:rsidRPr="00130C07">
              <w:rPr>
                <w:rFonts w:eastAsiaTheme="minorHAnsi"/>
                <w:color w:val="auto"/>
                <w:sz w:val="20"/>
                <w:szCs w:val="20"/>
                <w:lang w:val="ca-ES"/>
              </w:rPr>
              <w:t>European</w:t>
            </w:r>
            <w:proofErr w:type="spellEnd"/>
            <w:r w:rsidRPr="00130C07">
              <w:rPr>
                <w:rFonts w:eastAsiaTheme="minorHAnsi"/>
                <w:color w:val="auto"/>
                <w:sz w:val="20"/>
                <w:szCs w:val="20"/>
                <w:lang w:val="ca-ES"/>
              </w:rPr>
              <w:t xml:space="preserve"> </w:t>
            </w:r>
            <w:proofErr w:type="spellStart"/>
            <w:r w:rsidRPr="00130C07">
              <w:rPr>
                <w:rFonts w:eastAsiaTheme="minorHAnsi"/>
                <w:color w:val="auto"/>
                <w:sz w:val="20"/>
                <w:szCs w:val="20"/>
                <w:lang w:val="ca-ES"/>
              </w:rPr>
              <w:t>Commission</w:t>
            </w:r>
            <w:proofErr w:type="spellEnd"/>
            <w:r w:rsidRPr="00130C07">
              <w:rPr>
                <w:rFonts w:eastAsiaTheme="minorHAnsi"/>
                <w:color w:val="auto"/>
                <w:sz w:val="20"/>
                <w:szCs w:val="20"/>
                <w:lang w:val="ca-ES"/>
              </w:rPr>
              <w:t xml:space="preserve">. </w:t>
            </w:r>
            <w:r w:rsidRPr="00130C07">
              <w:rPr>
                <w:rFonts w:eastAsiaTheme="minorHAnsi"/>
                <w:i/>
                <w:color w:val="auto"/>
                <w:sz w:val="20"/>
                <w:szCs w:val="20"/>
                <w:lang w:val="ca-ES"/>
              </w:rPr>
              <w:t xml:space="preserve">EMAS </w:t>
            </w:r>
            <w:proofErr w:type="spellStart"/>
            <w:r w:rsidRPr="00130C07">
              <w:rPr>
                <w:rFonts w:eastAsiaTheme="minorHAnsi"/>
                <w:i/>
                <w:color w:val="auto"/>
                <w:sz w:val="20"/>
                <w:szCs w:val="20"/>
                <w:lang w:val="ca-ES"/>
              </w:rPr>
              <w:t>Registered</w:t>
            </w:r>
            <w:proofErr w:type="spellEnd"/>
            <w:r w:rsidRPr="00130C07">
              <w:rPr>
                <w:rFonts w:eastAsiaTheme="minorHAnsi"/>
                <w:i/>
                <w:color w:val="auto"/>
                <w:sz w:val="20"/>
                <w:szCs w:val="20"/>
                <w:lang w:val="ca-ES"/>
              </w:rPr>
              <w:t xml:space="preserve"> </w:t>
            </w:r>
            <w:proofErr w:type="spellStart"/>
            <w:r w:rsidRPr="00130C07">
              <w:rPr>
                <w:rFonts w:eastAsiaTheme="minorHAnsi"/>
                <w:i/>
                <w:color w:val="auto"/>
                <w:sz w:val="20"/>
                <w:szCs w:val="20"/>
                <w:lang w:val="ca-ES"/>
              </w:rPr>
              <w:t>Accommodation</w:t>
            </w:r>
            <w:proofErr w:type="spellEnd"/>
            <w:r w:rsidRPr="00130C07">
              <w:rPr>
                <w:rFonts w:eastAsiaTheme="minorHAnsi"/>
                <w:i/>
                <w:color w:val="auto"/>
                <w:sz w:val="20"/>
                <w:szCs w:val="20"/>
                <w:lang w:val="ca-ES"/>
              </w:rPr>
              <w:t xml:space="preserve"> (May 2016)</w:t>
            </w:r>
            <w:r w:rsidRPr="00130C07">
              <w:rPr>
                <w:rFonts w:eastAsiaTheme="minorHAnsi"/>
                <w:color w:val="auto"/>
                <w:sz w:val="20"/>
                <w:szCs w:val="20"/>
                <w:lang w:val="ca-ES"/>
              </w:rPr>
              <w:t>.</w:t>
            </w:r>
          </w:p>
          <w:p w:rsidR="001A32DC" w:rsidRPr="00130C07" w:rsidRDefault="001A32DC" w:rsidP="00B8485F"/>
        </w:tc>
      </w:tr>
      <w:tr w:rsidR="001949EA" w:rsidRPr="00130C07" w:rsidTr="00213EFD">
        <w:tc>
          <w:tcPr>
            <w:tcW w:w="2126" w:type="dxa"/>
            <w:gridSpan w:val="3"/>
          </w:tcPr>
          <w:p w:rsidR="001949EA" w:rsidRPr="00130C07" w:rsidRDefault="001949EA" w:rsidP="00841521">
            <w:pPr>
              <w:ind w:left="142"/>
              <w:jc w:val="left"/>
            </w:pPr>
            <w:r w:rsidRPr="00130C07">
              <w:lastRenderedPageBreak/>
              <w:t>Specific policy question</w:t>
            </w:r>
          </w:p>
        </w:tc>
        <w:tc>
          <w:tcPr>
            <w:tcW w:w="6913" w:type="dxa"/>
          </w:tcPr>
          <w:p w:rsidR="001949EA" w:rsidRPr="00130C07" w:rsidRDefault="00350524" w:rsidP="001949EA">
            <w:pPr>
              <w:ind w:left="142"/>
            </w:pPr>
            <w:r w:rsidRPr="00130C07">
              <w:t>Do tourists prefer spending nights in the least environmental impacts accommodations forms?</w:t>
            </w:r>
          </w:p>
          <w:p w:rsidR="00350524" w:rsidRPr="00130C07" w:rsidRDefault="00350524" w:rsidP="001949EA">
            <w:pPr>
              <w:ind w:left="142"/>
            </w:pPr>
            <w:r w:rsidRPr="00130C07">
              <w:t>How can tourism help protect the environment?</w:t>
            </w:r>
          </w:p>
        </w:tc>
      </w:tr>
      <w:tr w:rsidR="001949EA" w:rsidRPr="00130C07" w:rsidTr="00213EFD">
        <w:tc>
          <w:tcPr>
            <w:tcW w:w="2126" w:type="dxa"/>
            <w:gridSpan w:val="3"/>
          </w:tcPr>
          <w:p w:rsidR="001949EA" w:rsidRPr="00130C07" w:rsidRDefault="001949EA" w:rsidP="001949EA">
            <w:pPr>
              <w:ind w:left="142"/>
            </w:pPr>
            <w:r w:rsidRPr="00130C07">
              <w:t xml:space="preserve">Specific assessment </w:t>
            </w:r>
          </w:p>
        </w:tc>
        <w:tc>
          <w:tcPr>
            <w:tcW w:w="6913" w:type="dxa"/>
          </w:tcPr>
          <w:p w:rsidR="001949EA" w:rsidRPr="00130C07" w:rsidRDefault="008B6BBC" w:rsidP="008B6BBC">
            <w:pPr>
              <w:ind w:left="142"/>
            </w:pPr>
            <w:r w:rsidRPr="00130C07">
              <w:rPr>
                <w:color w:val="auto"/>
              </w:rPr>
              <w:t xml:space="preserve">Available data so far do not allow answering the previous questions. In order to answer the first question, a specific survey </w:t>
            </w:r>
            <w:proofErr w:type="gramStart"/>
            <w:r w:rsidRPr="00130C07">
              <w:rPr>
                <w:color w:val="auto"/>
              </w:rPr>
              <w:t>should be carried out</w:t>
            </w:r>
            <w:proofErr w:type="gramEnd"/>
            <w:r w:rsidRPr="00130C07">
              <w:rPr>
                <w:color w:val="auto"/>
              </w:rPr>
              <w:t xml:space="preserve">. Regarding the second one, it is generally considered </w:t>
            </w:r>
            <w:proofErr w:type="gramStart"/>
            <w:r w:rsidRPr="00130C07">
              <w:rPr>
                <w:color w:val="auto"/>
              </w:rPr>
              <w:t>that environmental</w:t>
            </w:r>
            <w:proofErr w:type="gramEnd"/>
            <w:r w:rsidRPr="00130C07">
              <w:rPr>
                <w:color w:val="auto"/>
              </w:rPr>
              <w:t xml:space="preserve"> and sustainability certification and labelling in the tourism sector can be very useful tools to enhance the environmental performance and contribute to improve the environmental quality of a tourism destination.</w:t>
            </w:r>
          </w:p>
        </w:tc>
      </w:tr>
      <w:tr w:rsidR="001949EA" w:rsidRPr="00130C07" w:rsidTr="00213EFD">
        <w:tc>
          <w:tcPr>
            <w:tcW w:w="2126" w:type="dxa"/>
            <w:gridSpan w:val="3"/>
          </w:tcPr>
          <w:p w:rsidR="001949EA" w:rsidRPr="00130C07" w:rsidRDefault="001949EA" w:rsidP="001949EA">
            <w:pPr>
              <w:ind w:left="142"/>
            </w:pPr>
            <w:r w:rsidRPr="00130C07">
              <w:t>Examples</w:t>
            </w:r>
          </w:p>
        </w:tc>
        <w:tc>
          <w:tcPr>
            <w:tcW w:w="6913" w:type="dxa"/>
          </w:tcPr>
          <w:p w:rsidR="001949EA" w:rsidRPr="00130C07" w:rsidRDefault="001949EA" w:rsidP="001949EA">
            <w:pPr>
              <w:ind w:left="142"/>
            </w:pPr>
          </w:p>
        </w:tc>
      </w:tr>
      <w:tr w:rsidR="001949EA" w:rsidRPr="00130C07" w:rsidTr="00213EFD">
        <w:tc>
          <w:tcPr>
            <w:tcW w:w="2126" w:type="dxa"/>
            <w:gridSpan w:val="3"/>
          </w:tcPr>
          <w:p w:rsidR="001949EA" w:rsidRPr="00130C07" w:rsidRDefault="001949EA" w:rsidP="001949EA">
            <w:pPr>
              <w:ind w:left="142"/>
              <w:rPr>
                <w:b/>
              </w:rPr>
            </w:pPr>
            <w:r w:rsidRPr="00130C07">
              <w:rPr>
                <w:b/>
              </w:rPr>
              <w:t>SPECIFICATIONS</w:t>
            </w:r>
          </w:p>
        </w:tc>
        <w:tc>
          <w:tcPr>
            <w:tcW w:w="6913" w:type="dxa"/>
          </w:tcPr>
          <w:p w:rsidR="001949EA" w:rsidRPr="00130C07" w:rsidRDefault="001949EA" w:rsidP="001949EA">
            <w:pPr>
              <w:ind w:left="142"/>
            </w:pPr>
          </w:p>
        </w:tc>
      </w:tr>
      <w:tr w:rsidR="001949EA" w:rsidRPr="00130C07" w:rsidTr="00213EFD">
        <w:tc>
          <w:tcPr>
            <w:tcW w:w="2126" w:type="dxa"/>
            <w:gridSpan w:val="3"/>
          </w:tcPr>
          <w:p w:rsidR="001949EA" w:rsidRPr="00130C07" w:rsidRDefault="001949EA" w:rsidP="001949EA">
            <w:pPr>
              <w:ind w:left="142"/>
              <w:rPr>
                <w:b/>
              </w:rPr>
            </w:pPr>
            <w:r w:rsidRPr="00130C07">
              <w:t>Indicator definition</w:t>
            </w:r>
          </w:p>
        </w:tc>
        <w:tc>
          <w:tcPr>
            <w:tcW w:w="6913" w:type="dxa"/>
          </w:tcPr>
          <w:p w:rsidR="001949EA" w:rsidRPr="00130C07" w:rsidRDefault="0088617E" w:rsidP="0088617E">
            <w:pPr>
              <w:ind w:left="142"/>
              <w:rPr>
                <w:lang w:val="en-US"/>
              </w:rPr>
            </w:pPr>
            <w:r w:rsidRPr="00130C07">
              <w:rPr>
                <w:lang w:val="en-US"/>
              </w:rPr>
              <w:t xml:space="preserve">There are two </w:t>
            </w:r>
            <w:proofErr w:type="spellStart"/>
            <w:r w:rsidRPr="00130C07">
              <w:rPr>
                <w:lang w:val="en-US"/>
              </w:rPr>
              <w:t>subindicators</w:t>
            </w:r>
            <w:proofErr w:type="spellEnd"/>
            <w:r w:rsidRPr="00130C07">
              <w:rPr>
                <w:lang w:val="en-US"/>
              </w:rPr>
              <w:t>: 1) Percentage of tourist accommodation enterpr</w:t>
            </w:r>
            <w:r w:rsidR="003142C9" w:rsidRPr="00130C07">
              <w:rPr>
                <w:lang w:val="en-US"/>
              </w:rPr>
              <w:t>ises certified with the EU</w:t>
            </w:r>
            <w:r w:rsidRPr="00130C07">
              <w:rPr>
                <w:lang w:val="en-US"/>
              </w:rPr>
              <w:t xml:space="preserve"> Eco</w:t>
            </w:r>
            <w:r w:rsidR="002606FE" w:rsidRPr="00130C07">
              <w:rPr>
                <w:lang w:val="en-US"/>
              </w:rPr>
              <w:t>-</w:t>
            </w:r>
            <w:r w:rsidRPr="00130C07">
              <w:rPr>
                <w:lang w:val="en-US"/>
              </w:rPr>
              <w:t>label for tourist accommodation</w:t>
            </w:r>
            <w:r w:rsidR="006E4E1A" w:rsidRPr="00130C07">
              <w:rPr>
                <w:lang w:val="en-US"/>
              </w:rPr>
              <w:t>s</w:t>
            </w:r>
            <w:r w:rsidRPr="00130C07">
              <w:rPr>
                <w:lang w:val="en-US"/>
              </w:rPr>
              <w:t xml:space="preserve"> and campsites; and 2) Percentage of tourist accommodation enterprises certified with the EMAS environmental management system.</w:t>
            </w:r>
          </w:p>
        </w:tc>
      </w:tr>
      <w:tr w:rsidR="001949EA" w:rsidRPr="00130C07" w:rsidTr="00213EFD">
        <w:tc>
          <w:tcPr>
            <w:tcW w:w="2126" w:type="dxa"/>
            <w:gridSpan w:val="3"/>
            <w:tcBorders>
              <w:bottom w:val="single" w:sz="4" w:space="0" w:color="auto"/>
            </w:tcBorders>
          </w:tcPr>
          <w:p w:rsidR="001949EA" w:rsidRPr="00130C07" w:rsidRDefault="001949EA" w:rsidP="001949EA">
            <w:pPr>
              <w:ind w:left="142"/>
            </w:pPr>
            <w:r w:rsidRPr="00130C07">
              <w:t>DPSIR</w:t>
            </w:r>
          </w:p>
        </w:tc>
        <w:tc>
          <w:tcPr>
            <w:tcW w:w="6913" w:type="dxa"/>
            <w:tcBorders>
              <w:bottom w:val="single" w:sz="4" w:space="0" w:color="auto"/>
            </w:tcBorders>
          </w:tcPr>
          <w:p w:rsidR="001949EA" w:rsidRPr="00130C07" w:rsidRDefault="00350524" w:rsidP="001949EA">
            <w:pPr>
              <w:ind w:left="142"/>
            </w:pPr>
            <w:r w:rsidRPr="00130C07">
              <w:t>R</w:t>
            </w:r>
          </w:p>
        </w:tc>
      </w:tr>
      <w:tr w:rsidR="001949EA" w:rsidRPr="00130C07" w:rsidTr="00213EFD">
        <w:tc>
          <w:tcPr>
            <w:tcW w:w="2126" w:type="dxa"/>
            <w:gridSpan w:val="3"/>
            <w:tcBorders>
              <w:bottom w:val="single" w:sz="4" w:space="0" w:color="C4BC96" w:themeColor="background2" w:themeShade="BF"/>
            </w:tcBorders>
          </w:tcPr>
          <w:p w:rsidR="001949EA" w:rsidRPr="00130C07" w:rsidRDefault="001949EA" w:rsidP="001949EA">
            <w:pPr>
              <w:ind w:left="142"/>
            </w:pPr>
            <w:r w:rsidRPr="00130C07">
              <w:t>Justification</w:t>
            </w:r>
          </w:p>
        </w:tc>
        <w:tc>
          <w:tcPr>
            <w:tcW w:w="6913" w:type="dxa"/>
            <w:tcBorders>
              <w:bottom w:val="single" w:sz="4" w:space="0" w:color="C4BC96" w:themeColor="background2" w:themeShade="BF"/>
            </w:tcBorders>
          </w:tcPr>
          <w:p w:rsidR="001949EA" w:rsidRPr="00130C07" w:rsidRDefault="001949EA" w:rsidP="001949EA">
            <w:pPr>
              <w:ind w:left="142"/>
            </w:pPr>
          </w:p>
        </w:tc>
      </w:tr>
      <w:tr w:rsidR="001949EA" w:rsidRPr="00130C07" w:rsidTr="00213EFD">
        <w:tc>
          <w:tcPr>
            <w:tcW w:w="959" w:type="dxa"/>
            <w:gridSpan w:val="2"/>
            <w:tcBorders>
              <w:top w:val="single" w:sz="4" w:space="0" w:color="C4BC96" w:themeColor="background2" w:themeShade="BF"/>
              <w:bottom w:val="nil"/>
              <w:right w:val="nil"/>
            </w:tcBorders>
          </w:tcPr>
          <w:p w:rsidR="001949EA" w:rsidRPr="00130C07" w:rsidRDefault="001949EA" w:rsidP="001949EA">
            <w:pPr>
              <w:ind w:left="142"/>
            </w:pPr>
          </w:p>
        </w:tc>
        <w:tc>
          <w:tcPr>
            <w:tcW w:w="1167" w:type="dxa"/>
            <w:tcBorders>
              <w:top w:val="single" w:sz="4" w:space="0" w:color="C4BC96" w:themeColor="background2" w:themeShade="BF"/>
              <w:left w:val="nil"/>
            </w:tcBorders>
          </w:tcPr>
          <w:p w:rsidR="001949EA" w:rsidRPr="00130C07" w:rsidRDefault="001949EA" w:rsidP="001949EA">
            <w:pPr>
              <w:ind w:left="142"/>
            </w:pPr>
            <w:r w:rsidRPr="00130C07">
              <w:t>Rationale</w:t>
            </w:r>
          </w:p>
        </w:tc>
        <w:tc>
          <w:tcPr>
            <w:tcW w:w="6913" w:type="dxa"/>
            <w:tcBorders>
              <w:top w:val="single" w:sz="4" w:space="0" w:color="C4BC96" w:themeColor="background2" w:themeShade="BF"/>
            </w:tcBorders>
          </w:tcPr>
          <w:p w:rsidR="001949EA" w:rsidRPr="00130C07" w:rsidRDefault="0088617E" w:rsidP="00CD6D78">
            <w:pPr>
              <w:ind w:left="142"/>
              <w:rPr>
                <w:lang w:val="en-US"/>
              </w:rPr>
            </w:pPr>
            <w:r w:rsidRPr="00130C07">
              <w:rPr>
                <w:lang w:val="en-US"/>
              </w:rPr>
              <w:t xml:space="preserve">Environmental certification or labelling in the tourism sector is one of the ways to assess the extent to which enterprises (especially in </w:t>
            </w:r>
            <w:r w:rsidRPr="00130C07">
              <w:rPr>
                <w:lang w:val="en-US"/>
              </w:rPr>
              <w:lastRenderedPageBreak/>
              <w:t xml:space="preserve">the tourist accommodation subsector) are actively incorporating sustainability principles into their operations and if they are involved in </w:t>
            </w:r>
            <w:proofErr w:type="spellStart"/>
            <w:r w:rsidRPr="00130C07">
              <w:rPr>
                <w:lang w:val="en-US"/>
              </w:rPr>
              <w:t>recognised</w:t>
            </w:r>
            <w:proofErr w:type="spellEnd"/>
            <w:r w:rsidRPr="00130C07">
              <w:rPr>
                <w:lang w:val="en-US"/>
              </w:rPr>
              <w:t xml:space="preserve"> (or qualified) eco-certification </w:t>
            </w:r>
            <w:proofErr w:type="spellStart"/>
            <w:r w:rsidRPr="00130C07">
              <w:rPr>
                <w:lang w:val="en-US"/>
              </w:rPr>
              <w:t>programmes</w:t>
            </w:r>
            <w:proofErr w:type="spellEnd"/>
            <w:r w:rsidRPr="00130C07">
              <w:rPr>
                <w:lang w:val="en-US"/>
              </w:rPr>
              <w:t xml:space="preserve"> and sustainability reporting procedures.</w:t>
            </w:r>
          </w:p>
        </w:tc>
      </w:tr>
      <w:tr w:rsidR="001949EA" w:rsidRPr="00130C07" w:rsidTr="00213EFD">
        <w:tc>
          <w:tcPr>
            <w:tcW w:w="959" w:type="dxa"/>
            <w:gridSpan w:val="2"/>
            <w:tcBorders>
              <w:top w:val="nil"/>
              <w:right w:val="nil"/>
            </w:tcBorders>
          </w:tcPr>
          <w:p w:rsidR="001949EA" w:rsidRPr="00130C07" w:rsidRDefault="001949EA" w:rsidP="001949EA">
            <w:pPr>
              <w:ind w:left="142"/>
              <w:rPr>
                <w:lang w:val="en-US"/>
              </w:rPr>
            </w:pPr>
          </w:p>
        </w:tc>
        <w:tc>
          <w:tcPr>
            <w:tcW w:w="1167" w:type="dxa"/>
            <w:tcBorders>
              <w:left w:val="nil"/>
            </w:tcBorders>
          </w:tcPr>
          <w:p w:rsidR="001949EA" w:rsidRPr="00130C07" w:rsidRDefault="001949EA" w:rsidP="001949EA">
            <w:pPr>
              <w:ind w:left="142"/>
            </w:pPr>
            <w:r w:rsidRPr="00130C07">
              <w:t>References</w:t>
            </w:r>
          </w:p>
        </w:tc>
        <w:tc>
          <w:tcPr>
            <w:tcW w:w="6913" w:type="dxa"/>
          </w:tcPr>
          <w:p w:rsidR="001949EA" w:rsidRPr="00130C07" w:rsidRDefault="0088617E" w:rsidP="00E80A5C">
            <w:pPr>
              <w:ind w:left="142"/>
            </w:pPr>
            <w:proofErr w:type="gramStart"/>
            <w:r w:rsidRPr="00130C07">
              <w:t>EC (2016).</w:t>
            </w:r>
            <w:proofErr w:type="gramEnd"/>
            <w:r w:rsidRPr="00130C07">
              <w:t xml:space="preserve"> </w:t>
            </w:r>
            <w:proofErr w:type="gramStart"/>
            <w:r w:rsidRPr="00130C07">
              <w:rPr>
                <w:i/>
              </w:rPr>
              <w:t>The European Tourism Indicator System</w:t>
            </w:r>
            <w:r w:rsidRPr="00130C07">
              <w:t>.</w:t>
            </w:r>
            <w:proofErr w:type="gramEnd"/>
            <w:r w:rsidRPr="00130C07">
              <w:t xml:space="preserve"> Brussels.</w:t>
            </w:r>
          </w:p>
          <w:p w:rsidR="003142C9" w:rsidRPr="00130C07" w:rsidRDefault="003142C9" w:rsidP="00E80A5C">
            <w:pPr>
              <w:ind w:left="142"/>
            </w:pPr>
            <w:proofErr w:type="spellStart"/>
            <w:proofErr w:type="gramStart"/>
            <w:r w:rsidRPr="00130C07">
              <w:t>Ludain</w:t>
            </w:r>
            <w:proofErr w:type="spellEnd"/>
            <w:r w:rsidRPr="00130C07">
              <w:t>, S. (2016).</w:t>
            </w:r>
            <w:proofErr w:type="gramEnd"/>
            <w:r w:rsidRPr="00130C07">
              <w:t xml:space="preserve"> </w:t>
            </w:r>
            <w:proofErr w:type="gramStart"/>
            <w:r w:rsidRPr="00130C07">
              <w:rPr>
                <w:i/>
              </w:rPr>
              <w:t>Potential synergies between ETIS and the EU Eco</w:t>
            </w:r>
            <w:r w:rsidR="002606FE" w:rsidRPr="00130C07">
              <w:rPr>
                <w:i/>
              </w:rPr>
              <w:t>-</w:t>
            </w:r>
            <w:r w:rsidRPr="00130C07">
              <w:rPr>
                <w:i/>
              </w:rPr>
              <w:t>label / EMAS</w:t>
            </w:r>
            <w:r w:rsidRPr="00130C07">
              <w:t>.</w:t>
            </w:r>
            <w:proofErr w:type="gramEnd"/>
            <w:r w:rsidRPr="00130C07">
              <w:t xml:space="preserve"> </w:t>
            </w:r>
            <w:proofErr w:type="gramStart"/>
            <w:r w:rsidRPr="00130C07">
              <w:t>Joint conference on managing and promoting sustainable and accessible tourism destinations.</w:t>
            </w:r>
            <w:proofErr w:type="gramEnd"/>
            <w:r w:rsidRPr="00130C07">
              <w:t xml:space="preserve"> EC, Brussels.</w:t>
            </w:r>
          </w:p>
        </w:tc>
      </w:tr>
      <w:tr w:rsidR="001949EA" w:rsidRPr="00130C07" w:rsidTr="00213EFD">
        <w:tc>
          <w:tcPr>
            <w:tcW w:w="2126" w:type="dxa"/>
            <w:gridSpan w:val="3"/>
            <w:tcBorders>
              <w:bottom w:val="single" w:sz="4" w:space="0" w:color="C4BC96" w:themeColor="background2" w:themeShade="BF"/>
            </w:tcBorders>
          </w:tcPr>
          <w:p w:rsidR="001949EA" w:rsidRPr="00130C07" w:rsidRDefault="001949EA" w:rsidP="001949EA">
            <w:pPr>
              <w:ind w:left="142"/>
            </w:pPr>
            <w:r w:rsidRPr="00130C07">
              <w:t>Policy context</w:t>
            </w:r>
          </w:p>
        </w:tc>
        <w:tc>
          <w:tcPr>
            <w:tcW w:w="6913" w:type="dxa"/>
            <w:tcBorders>
              <w:bottom w:val="single" w:sz="4" w:space="0" w:color="C4BC96" w:themeColor="background2" w:themeShade="BF"/>
            </w:tcBorders>
          </w:tcPr>
          <w:p w:rsidR="001949EA" w:rsidRPr="00130C07" w:rsidRDefault="001949EA" w:rsidP="001949EA">
            <w:pPr>
              <w:ind w:left="142"/>
            </w:pPr>
          </w:p>
        </w:tc>
      </w:tr>
      <w:tr w:rsidR="001949EA" w:rsidRPr="00130C07" w:rsidTr="00213EFD">
        <w:tc>
          <w:tcPr>
            <w:tcW w:w="959" w:type="dxa"/>
            <w:gridSpan w:val="2"/>
            <w:tcBorders>
              <w:top w:val="single" w:sz="4" w:space="0" w:color="C4BC96" w:themeColor="background2" w:themeShade="BF"/>
              <w:bottom w:val="nil"/>
              <w:right w:val="nil"/>
            </w:tcBorders>
          </w:tcPr>
          <w:p w:rsidR="001949EA" w:rsidRPr="00130C07" w:rsidRDefault="001949EA" w:rsidP="001949EA">
            <w:pPr>
              <w:ind w:left="142"/>
            </w:pPr>
          </w:p>
        </w:tc>
        <w:tc>
          <w:tcPr>
            <w:tcW w:w="1167" w:type="dxa"/>
            <w:tcBorders>
              <w:top w:val="single" w:sz="4" w:space="0" w:color="C4BC96" w:themeColor="background2" w:themeShade="BF"/>
              <w:left w:val="nil"/>
            </w:tcBorders>
          </w:tcPr>
          <w:p w:rsidR="001949EA" w:rsidRPr="00130C07" w:rsidRDefault="001949EA" w:rsidP="001949EA">
            <w:pPr>
              <w:ind w:left="142"/>
            </w:pPr>
            <w:r w:rsidRPr="00130C07">
              <w:t>Policy context</w:t>
            </w:r>
          </w:p>
        </w:tc>
        <w:tc>
          <w:tcPr>
            <w:tcW w:w="6913" w:type="dxa"/>
            <w:tcBorders>
              <w:top w:val="single" w:sz="4" w:space="0" w:color="C4BC96" w:themeColor="background2" w:themeShade="BF"/>
            </w:tcBorders>
          </w:tcPr>
          <w:p w:rsidR="001949EA" w:rsidRPr="00130C07" w:rsidRDefault="0088617E" w:rsidP="001949EA">
            <w:pPr>
              <w:ind w:left="142"/>
              <w:rPr>
                <w:lang w:val="en-US"/>
              </w:rPr>
            </w:pPr>
            <w:proofErr w:type="gramStart"/>
            <w:r w:rsidRPr="00130C07">
              <w:rPr>
                <w:lang w:val="en-US"/>
              </w:rPr>
              <w:t>EC and national policies on tourism, environment and sustainable tourism.</w:t>
            </w:r>
            <w:proofErr w:type="gramEnd"/>
          </w:p>
        </w:tc>
      </w:tr>
      <w:tr w:rsidR="001949EA" w:rsidRPr="00130C07" w:rsidTr="00213EFD">
        <w:tc>
          <w:tcPr>
            <w:tcW w:w="959" w:type="dxa"/>
            <w:gridSpan w:val="2"/>
            <w:tcBorders>
              <w:top w:val="nil"/>
              <w:bottom w:val="nil"/>
              <w:right w:val="nil"/>
            </w:tcBorders>
          </w:tcPr>
          <w:p w:rsidR="001949EA" w:rsidRPr="00130C07" w:rsidRDefault="001949EA" w:rsidP="001949EA">
            <w:pPr>
              <w:ind w:left="142"/>
              <w:rPr>
                <w:lang w:val="en-US"/>
              </w:rPr>
            </w:pPr>
          </w:p>
        </w:tc>
        <w:tc>
          <w:tcPr>
            <w:tcW w:w="1167" w:type="dxa"/>
            <w:tcBorders>
              <w:left w:val="nil"/>
            </w:tcBorders>
          </w:tcPr>
          <w:p w:rsidR="001949EA" w:rsidRPr="00130C07" w:rsidRDefault="001949EA" w:rsidP="001949EA">
            <w:pPr>
              <w:ind w:left="142"/>
            </w:pPr>
            <w:r w:rsidRPr="00130C07">
              <w:t>Targets</w:t>
            </w:r>
          </w:p>
        </w:tc>
        <w:tc>
          <w:tcPr>
            <w:tcW w:w="6913" w:type="dxa"/>
          </w:tcPr>
          <w:p w:rsidR="001949EA" w:rsidRPr="00130C07" w:rsidRDefault="003142C9" w:rsidP="00E80A5C">
            <w:pPr>
              <w:ind w:left="142"/>
              <w:rPr>
                <w:lang w:val="en-US"/>
              </w:rPr>
            </w:pPr>
            <w:r w:rsidRPr="00130C07">
              <w:rPr>
                <w:lang w:val="en-US"/>
              </w:rPr>
              <w:t>Increase significantly the implementation of EU Eco</w:t>
            </w:r>
            <w:r w:rsidR="002606FE" w:rsidRPr="00130C07">
              <w:rPr>
                <w:lang w:val="en-US"/>
              </w:rPr>
              <w:t>-</w:t>
            </w:r>
            <w:r w:rsidRPr="00130C07">
              <w:rPr>
                <w:lang w:val="en-US"/>
              </w:rPr>
              <w:t>label and EMAS in the tourism sector.</w:t>
            </w:r>
          </w:p>
        </w:tc>
      </w:tr>
      <w:tr w:rsidR="001949EA" w:rsidRPr="00130C07" w:rsidTr="00213EFD">
        <w:tc>
          <w:tcPr>
            <w:tcW w:w="959" w:type="dxa"/>
            <w:gridSpan w:val="2"/>
            <w:tcBorders>
              <w:top w:val="nil"/>
              <w:bottom w:val="single" w:sz="4" w:space="0" w:color="auto"/>
              <w:right w:val="nil"/>
            </w:tcBorders>
          </w:tcPr>
          <w:p w:rsidR="001949EA" w:rsidRPr="00130C07" w:rsidRDefault="001949EA" w:rsidP="001949EA">
            <w:pPr>
              <w:ind w:left="142"/>
              <w:rPr>
                <w:lang w:val="en-US"/>
              </w:rPr>
            </w:pPr>
          </w:p>
        </w:tc>
        <w:tc>
          <w:tcPr>
            <w:tcW w:w="1167" w:type="dxa"/>
            <w:tcBorders>
              <w:left w:val="nil"/>
              <w:bottom w:val="single" w:sz="4" w:space="0" w:color="auto"/>
            </w:tcBorders>
          </w:tcPr>
          <w:p w:rsidR="001949EA" w:rsidRPr="00130C07" w:rsidRDefault="001949EA" w:rsidP="001949EA">
            <w:pPr>
              <w:ind w:left="142"/>
            </w:pPr>
            <w:r w:rsidRPr="00130C07">
              <w:t>Related policy documents</w:t>
            </w:r>
          </w:p>
        </w:tc>
        <w:tc>
          <w:tcPr>
            <w:tcW w:w="6913" w:type="dxa"/>
            <w:tcBorders>
              <w:bottom w:val="single" w:sz="4" w:space="0" w:color="auto"/>
            </w:tcBorders>
          </w:tcPr>
          <w:p w:rsidR="001949EA" w:rsidRPr="00130C07" w:rsidRDefault="001949EA" w:rsidP="001949EA">
            <w:pPr>
              <w:ind w:left="142"/>
            </w:pPr>
          </w:p>
        </w:tc>
      </w:tr>
      <w:tr w:rsidR="001949EA" w:rsidRPr="00130C07" w:rsidTr="00213EFD">
        <w:tc>
          <w:tcPr>
            <w:tcW w:w="2126" w:type="dxa"/>
            <w:gridSpan w:val="3"/>
            <w:tcBorders>
              <w:bottom w:val="single" w:sz="4" w:space="0" w:color="C4BC96" w:themeColor="background2" w:themeShade="BF"/>
            </w:tcBorders>
          </w:tcPr>
          <w:p w:rsidR="001949EA" w:rsidRPr="00130C07" w:rsidRDefault="001949EA" w:rsidP="001949EA">
            <w:pPr>
              <w:ind w:left="142"/>
            </w:pPr>
            <w:r w:rsidRPr="00130C07">
              <w:t xml:space="preserve"> Methodology</w:t>
            </w:r>
          </w:p>
        </w:tc>
        <w:tc>
          <w:tcPr>
            <w:tcW w:w="6913" w:type="dxa"/>
            <w:tcBorders>
              <w:bottom w:val="single" w:sz="4" w:space="0" w:color="C4BC96" w:themeColor="background2" w:themeShade="BF"/>
            </w:tcBorders>
          </w:tcPr>
          <w:p w:rsidR="001949EA" w:rsidRPr="00130C07" w:rsidRDefault="001949EA" w:rsidP="001949EA">
            <w:pPr>
              <w:ind w:left="142"/>
            </w:pPr>
          </w:p>
        </w:tc>
      </w:tr>
      <w:tr w:rsidR="001949EA" w:rsidRPr="00130C07" w:rsidTr="00213EFD">
        <w:tc>
          <w:tcPr>
            <w:tcW w:w="600" w:type="dxa"/>
            <w:tcBorders>
              <w:top w:val="single" w:sz="4" w:space="0" w:color="C4BC96" w:themeColor="background2" w:themeShade="BF"/>
              <w:bottom w:val="nil"/>
              <w:right w:val="nil"/>
            </w:tcBorders>
          </w:tcPr>
          <w:p w:rsidR="001949EA" w:rsidRPr="00130C07" w:rsidRDefault="001949EA" w:rsidP="001949EA">
            <w:pPr>
              <w:ind w:left="142"/>
            </w:pPr>
          </w:p>
        </w:tc>
        <w:tc>
          <w:tcPr>
            <w:tcW w:w="1526" w:type="dxa"/>
            <w:gridSpan w:val="2"/>
            <w:tcBorders>
              <w:top w:val="single" w:sz="4" w:space="0" w:color="C4BC96" w:themeColor="background2" w:themeShade="BF"/>
              <w:left w:val="nil"/>
            </w:tcBorders>
          </w:tcPr>
          <w:p w:rsidR="001949EA" w:rsidRPr="00130C07" w:rsidRDefault="001949EA" w:rsidP="001949EA">
            <w:pPr>
              <w:ind w:left="142"/>
              <w:jc w:val="left"/>
            </w:pPr>
            <w:r w:rsidRPr="00130C07">
              <w:t>Methodology for indicator calculation</w:t>
            </w:r>
          </w:p>
        </w:tc>
        <w:tc>
          <w:tcPr>
            <w:tcW w:w="6913" w:type="dxa"/>
            <w:tcBorders>
              <w:top w:val="single" w:sz="4" w:space="0" w:color="C4BC96" w:themeColor="background2" w:themeShade="BF"/>
            </w:tcBorders>
          </w:tcPr>
          <w:p w:rsidR="00C91D75" w:rsidRPr="00130C07" w:rsidRDefault="0088617E" w:rsidP="005D65E7">
            <w:pPr>
              <w:ind w:left="142"/>
            </w:pPr>
            <w:proofErr w:type="gramStart"/>
            <w:r w:rsidRPr="00130C07">
              <w:t>Data is provided by DG ENV (European Commission)</w:t>
            </w:r>
            <w:proofErr w:type="gramEnd"/>
            <w:r w:rsidRPr="00130C07">
              <w:t>.</w:t>
            </w:r>
          </w:p>
        </w:tc>
      </w:tr>
      <w:tr w:rsidR="001949EA" w:rsidRPr="00130C07" w:rsidTr="00213EFD">
        <w:trPr>
          <w:cantSplit/>
        </w:trPr>
        <w:tc>
          <w:tcPr>
            <w:tcW w:w="600" w:type="dxa"/>
            <w:tcBorders>
              <w:top w:val="nil"/>
              <w:bottom w:val="nil"/>
              <w:right w:val="nil"/>
            </w:tcBorders>
          </w:tcPr>
          <w:p w:rsidR="001949EA" w:rsidRPr="00130C07" w:rsidRDefault="001949EA" w:rsidP="001949EA">
            <w:pPr>
              <w:ind w:left="142"/>
            </w:pPr>
          </w:p>
        </w:tc>
        <w:tc>
          <w:tcPr>
            <w:tcW w:w="1526" w:type="dxa"/>
            <w:gridSpan w:val="2"/>
            <w:tcBorders>
              <w:left w:val="nil"/>
            </w:tcBorders>
          </w:tcPr>
          <w:p w:rsidR="001949EA" w:rsidRPr="00130C07" w:rsidRDefault="001949EA" w:rsidP="001949EA">
            <w:pPr>
              <w:ind w:left="142"/>
            </w:pPr>
            <w:r w:rsidRPr="00130C07">
              <w:t>Methodology for gap filling</w:t>
            </w:r>
          </w:p>
        </w:tc>
        <w:tc>
          <w:tcPr>
            <w:tcW w:w="6913" w:type="dxa"/>
          </w:tcPr>
          <w:p w:rsidR="001949EA" w:rsidRPr="00130C07" w:rsidRDefault="001949EA" w:rsidP="001949EA">
            <w:pPr>
              <w:ind w:left="142"/>
            </w:pPr>
          </w:p>
        </w:tc>
      </w:tr>
      <w:tr w:rsidR="001949EA" w:rsidRPr="00130C07" w:rsidTr="00213EFD">
        <w:tc>
          <w:tcPr>
            <w:tcW w:w="600" w:type="dxa"/>
            <w:tcBorders>
              <w:top w:val="nil"/>
              <w:right w:val="nil"/>
            </w:tcBorders>
          </w:tcPr>
          <w:p w:rsidR="001949EA" w:rsidRPr="00130C07" w:rsidRDefault="001949EA" w:rsidP="001949EA">
            <w:pPr>
              <w:ind w:left="142"/>
            </w:pPr>
          </w:p>
        </w:tc>
        <w:tc>
          <w:tcPr>
            <w:tcW w:w="1526" w:type="dxa"/>
            <w:gridSpan w:val="2"/>
            <w:tcBorders>
              <w:left w:val="nil"/>
            </w:tcBorders>
          </w:tcPr>
          <w:p w:rsidR="001949EA" w:rsidRPr="00130C07" w:rsidRDefault="001949EA" w:rsidP="001949EA">
            <w:pPr>
              <w:ind w:left="142"/>
            </w:pPr>
            <w:r w:rsidRPr="00130C07">
              <w:t>References</w:t>
            </w:r>
          </w:p>
        </w:tc>
        <w:tc>
          <w:tcPr>
            <w:tcW w:w="6913" w:type="dxa"/>
          </w:tcPr>
          <w:p w:rsidR="001949EA" w:rsidRPr="00130C07" w:rsidRDefault="001949EA" w:rsidP="001949EA">
            <w:pPr>
              <w:ind w:left="142"/>
            </w:pPr>
          </w:p>
        </w:tc>
      </w:tr>
      <w:tr w:rsidR="001949EA" w:rsidRPr="00130C07" w:rsidTr="00213EFD">
        <w:tc>
          <w:tcPr>
            <w:tcW w:w="2126" w:type="dxa"/>
            <w:gridSpan w:val="3"/>
            <w:tcBorders>
              <w:bottom w:val="single" w:sz="4" w:space="0" w:color="auto"/>
            </w:tcBorders>
          </w:tcPr>
          <w:p w:rsidR="001949EA" w:rsidRPr="00130C07" w:rsidRDefault="001949EA" w:rsidP="001949EA">
            <w:pPr>
              <w:ind w:left="142"/>
            </w:pPr>
            <w:r w:rsidRPr="00130C07">
              <w:t>Data specifications</w:t>
            </w:r>
          </w:p>
        </w:tc>
        <w:tc>
          <w:tcPr>
            <w:tcW w:w="6913" w:type="dxa"/>
            <w:tcBorders>
              <w:bottom w:val="single" w:sz="4" w:space="0" w:color="auto"/>
            </w:tcBorders>
          </w:tcPr>
          <w:p w:rsidR="001949EA" w:rsidRPr="00130C07" w:rsidRDefault="001949EA" w:rsidP="001949EA">
            <w:pPr>
              <w:ind w:left="142"/>
            </w:pPr>
          </w:p>
        </w:tc>
      </w:tr>
      <w:tr w:rsidR="001949EA" w:rsidRPr="00130C07" w:rsidTr="00213EFD">
        <w:tc>
          <w:tcPr>
            <w:tcW w:w="2126" w:type="dxa"/>
            <w:gridSpan w:val="3"/>
            <w:tcBorders>
              <w:bottom w:val="single" w:sz="4" w:space="0" w:color="C4BC96" w:themeColor="background2" w:themeShade="BF"/>
            </w:tcBorders>
          </w:tcPr>
          <w:p w:rsidR="001949EA" w:rsidRPr="00130C07" w:rsidRDefault="001949EA" w:rsidP="001949EA">
            <w:pPr>
              <w:ind w:left="142"/>
            </w:pPr>
            <w:r w:rsidRPr="00130C07">
              <w:t xml:space="preserve"> Uncertainties</w:t>
            </w:r>
          </w:p>
        </w:tc>
        <w:tc>
          <w:tcPr>
            <w:tcW w:w="6913" w:type="dxa"/>
            <w:tcBorders>
              <w:bottom w:val="single" w:sz="4" w:space="0" w:color="C4BC96" w:themeColor="background2" w:themeShade="BF"/>
            </w:tcBorders>
          </w:tcPr>
          <w:p w:rsidR="001949EA" w:rsidRPr="00130C07" w:rsidRDefault="001949EA" w:rsidP="001949EA">
            <w:pPr>
              <w:ind w:left="142"/>
            </w:pPr>
          </w:p>
        </w:tc>
      </w:tr>
      <w:tr w:rsidR="001949EA" w:rsidRPr="00130C07" w:rsidTr="00213EFD">
        <w:tc>
          <w:tcPr>
            <w:tcW w:w="600" w:type="dxa"/>
            <w:tcBorders>
              <w:top w:val="single" w:sz="4" w:space="0" w:color="C4BC96" w:themeColor="background2" w:themeShade="BF"/>
              <w:bottom w:val="nil"/>
              <w:right w:val="nil"/>
            </w:tcBorders>
          </w:tcPr>
          <w:p w:rsidR="001949EA" w:rsidRPr="00130C07" w:rsidRDefault="001949EA" w:rsidP="001949EA">
            <w:pPr>
              <w:ind w:left="142"/>
            </w:pPr>
          </w:p>
        </w:tc>
        <w:tc>
          <w:tcPr>
            <w:tcW w:w="1526" w:type="dxa"/>
            <w:gridSpan w:val="2"/>
            <w:tcBorders>
              <w:top w:val="single" w:sz="4" w:space="0" w:color="C4BC96" w:themeColor="background2" w:themeShade="BF"/>
              <w:left w:val="nil"/>
            </w:tcBorders>
          </w:tcPr>
          <w:p w:rsidR="001949EA" w:rsidRPr="00130C07" w:rsidRDefault="001949EA" w:rsidP="001949EA">
            <w:pPr>
              <w:ind w:left="142"/>
            </w:pPr>
            <w:r w:rsidRPr="00130C07">
              <w:t>Methodology uncertainty</w:t>
            </w:r>
          </w:p>
        </w:tc>
        <w:tc>
          <w:tcPr>
            <w:tcW w:w="6913" w:type="dxa"/>
            <w:tcBorders>
              <w:top w:val="single" w:sz="4" w:space="0" w:color="C4BC96" w:themeColor="background2" w:themeShade="BF"/>
            </w:tcBorders>
          </w:tcPr>
          <w:p w:rsidR="001949EA" w:rsidRPr="00130C07" w:rsidRDefault="001949EA" w:rsidP="001949EA">
            <w:pPr>
              <w:ind w:left="142"/>
            </w:pPr>
          </w:p>
        </w:tc>
      </w:tr>
      <w:tr w:rsidR="001949EA" w:rsidRPr="00130C07" w:rsidTr="00213EFD">
        <w:tc>
          <w:tcPr>
            <w:tcW w:w="600" w:type="dxa"/>
            <w:tcBorders>
              <w:top w:val="nil"/>
              <w:bottom w:val="nil"/>
              <w:right w:val="nil"/>
            </w:tcBorders>
          </w:tcPr>
          <w:p w:rsidR="001949EA" w:rsidRPr="00130C07" w:rsidRDefault="001949EA" w:rsidP="001949EA">
            <w:pPr>
              <w:ind w:left="142"/>
            </w:pPr>
          </w:p>
        </w:tc>
        <w:tc>
          <w:tcPr>
            <w:tcW w:w="1526" w:type="dxa"/>
            <w:gridSpan w:val="2"/>
            <w:tcBorders>
              <w:left w:val="nil"/>
            </w:tcBorders>
          </w:tcPr>
          <w:p w:rsidR="001949EA" w:rsidRPr="00130C07" w:rsidRDefault="001949EA" w:rsidP="001949EA">
            <w:pPr>
              <w:ind w:left="142"/>
              <w:jc w:val="left"/>
            </w:pPr>
            <w:r w:rsidRPr="00130C07">
              <w:t>Data sets uncertainties</w:t>
            </w:r>
          </w:p>
        </w:tc>
        <w:tc>
          <w:tcPr>
            <w:tcW w:w="6913" w:type="dxa"/>
          </w:tcPr>
          <w:p w:rsidR="001949EA" w:rsidRPr="00130C07" w:rsidRDefault="001949EA" w:rsidP="001949EA">
            <w:pPr>
              <w:pStyle w:val="Textocomentario"/>
              <w:ind w:left="142"/>
              <w:rPr>
                <w:rFonts w:ascii="Times New Roman" w:hAnsi="Times New Roman"/>
                <w:sz w:val="24"/>
                <w:szCs w:val="24"/>
              </w:rPr>
            </w:pPr>
          </w:p>
        </w:tc>
      </w:tr>
      <w:tr w:rsidR="001949EA" w:rsidRPr="00130C07" w:rsidTr="00213EFD">
        <w:tc>
          <w:tcPr>
            <w:tcW w:w="600" w:type="dxa"/>
            <w:tcBorders>
              <w:top w:val="nil"/>
              <w:right w:val="nil"/>
            </w:tcBorders>
          </w:tcPr>
          <w:p w:rsidR="001949EA" w:rsidRPr="00130C07" w:rsidRDefault="001949EA" w:rsidP="001949EA">
            <w:pPr>
              <w:ind w:left="142"/>
              <w:rPr>
                <w:lang w:val="en-US"/>
              </w:rPr>
            </w:pPr>
          </w:p>
        </w:tc>
        <w:tc>
          <w:tcPr>
            <w:tcW w:w="1526" w:type="dxa"/>
            <w:gridSpan w:val="2"/>
            <w:tcBorders>
              <w:left w:val="nil"/>
            </w:tcBorders>
          </w:tcPr>
          <w:p w:rsidR="001949EA" w:rsidRPr="00130C07" w:rsidRDefault="001949EA" w:rsidP="001949EA">
            <w:pPr>
              <w:ind w:left="142"/>
            </w:pPr>
            <w:r w:rsidRPr="00130C07">
              <w:t>Rationale uncertainty</w:t>
            </w:r>
          </w:p>
        </w:tc>
        <w:tc>
          <w:tcPr>
            <w:tcW w:w="6913" w:type="dxa"/>
          </w:tcPr>
          <w:p w:rsidR="001949EA" w:rsidRPr="00130C07" w:rsidRDefault="001949EA" w:rsidP="001949EA">
            <w:pPr>
              <w:ind w:left="142"/>
              <w:rPr>
                <w:lang w:val="en-US"/>
              </w:rPr>
            </w:pPr>
          </w:p>
        </w:tc>
      </w:tr>
      <w:tr w:rsidR="001949EA" w:rsidRPr="00130C07" w:rsidTr="00213EFD">
        <w:tc>
          <w:tcPr>
            <w:tcW w:w="2126" w:type="dxa"/>
            <w:gridSpan w:val="3"/>
          </w:tcPr>
          <w:p w:rsidR="001949EA" w:rsidRPr="00130C07" w:rsidRDefault="001949EA" w:rsidP="001949EA">
            <w:pPr>
              <w:ind w:left="142"/>
            </w:pPr>
            <w:r w:rsidRPr="00130C07">
              <w:t>Further work</w:t>
            </w:r>
          </w:p>
        </w:tc>
        <w:tc>
          <w:tcPr>
            <w:tcW w:w="6913" w:type="dxa"/>
          </w:tcPr>
          <w:p w:rsidR="001949EA" w:rsidRPr="00130C07" w:rsidRDefault="001949EA" w:rsidP="00E80A5C">
            <w:pPr>
              <w:ind w:left="142"/>
              <w:rPr>
                <w:lang w:val="en-US"/>
              </w:rPr>
            </w:pPr>
          </w:p>
        </w:tc>
      </w:tr>
      <w:tr w:rsidR="001949EA" w:rsidRPr="0011039F" w:rsidTr="00213EFD">
        <w:tc>
          <w:tcPr>
            <w:tcW w:w="2126" w:type="dxa"/>
            <w:gridSpan w:val="3"/>
          </w:tcPr>
          <w:p w:rsidR="001949EA" w:rsidRPr="00130C07" w:rsidRDefault="001949EA" w:rsidP="001949EA">
            <w:pPr>
              <w:ind w:left="142"/>
              <w:jc w:val="left"/>
            </w:pPr>
            <w:r w:rsidRPr="00130C07">
              <w:t xml:space="preserve">Ownership and contacts </w:t>
            </w:r>
          </w:p>
        </w:tc>
        <w:tc>
          <w:tcPr>
            <w:tcW w:w="6913" w:type="dxa"/>
          </w:tcPr>
          <w:p w:rsidR="001949EA" w:rsidRPr="0011039F" w:rsidRDefault="00350524" w:rsidP="001949EA">
            <w:pPr>
              <w:ind w:left="142"/>
            </w:pPr>
            <w:r w:rsidRPr="00130C07">
              <w:t>DG ENV, ETC-ULS</w:t>
            </w:r>
          </w:p>
        </w:tc>
      </w:tr>
    </w:tbl>
    <w:p w:rsidR="001949EA" w:rsidRDefault="001949EA" w:rsidP="00C91D75">
      <w:pPr>
        <w:jc w:val="left"/>
        <w:rPr>
          <w:lang w:val="en-US"/>
        </w:rPr>
      </w:pPr>
    </w:p>
    <w:sectPr w:rsidR="001949EA" w:rsidSect="001949EA">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EA"/>
    <w:rsid w:val="000004D6"/>
    <w:rsid w:val="00005AE7"/>
    <w:rsid w:val="00040F85"/>
    <w:rsid w:val="000906B0"/>
    <w:rsid w:val="00093E7D"/>
    <w:rsid w:val="000C6C72"/>
    <w:rsid w:val="000D5890"/>
    <w:rsid w:val="000F1E87"/>
    <w:rsid w:val="00127B8D"/>
    <w:rsid w:val="00130C07"/>
    <w:rsid w:val="001949EA"/>
    <w:rsid w:val="001A32DC"/>
    <w:rsid w:val="002426E7"/>
    <w:rsid w:val="00253668"/>
    <w:rsid w:val="002606FE"/>
    <w:rsid w:val="002741B5"/>
    <w:rsid w:val="0029618D"/>
    <w:rsid w:val="002C132E"/>
    <w:rsid w:val="003142C9"/>
    <w:rsid w:val="00350524"/>
    <w:rsid w:val="00447F24"/>
    <w:rsid w:val="00456402"/>
    <w:rsid w:val="004A215D"/>
    <w:rsid w:val="004E31E0"/>
    <w:rsid w:val="005D65E7"/>
    <w:rsid w:val="00634341"/>
    <w:rsid w:val="006E4E1A"/>
    <w:rsid w:val="007168E0"/>
    <w:rsid w:val="00734956"/>
    <w:rsid w:val="007F0071"/>
    <w:rsid w:val="007F218A"/>
    <w:rsid w:val="00816334"/>
    <w:rsid w:val="00831D02"/>
    <w:rsid w:val="00841521"/>
    <w:rsid w:val="00865B4B"/>
    <w:rsid w:val="00872021"/>
    <w:rsid w:val="0088617E"/>
    <w:rsid w:val="008927B4"/>
    <w:rsid w:val="00892EC7"/>
    <w:rsid w:val="008A19C6"/>
    <w:rsid w:val="008A6F13"/>
    <w:rsid w:val="008B6BBC"/>
    <w:rsid w:val="009475BE"/>
    <w:rsid w:val="009A2080"/>
    <w:rsid w:val="009C6C56"/>
    <w:rsid w:val="009F267D"/>
    <w:rsid w:val="00A23B1F"/>
    <w:rsid w:val="00A505AA"/>
    <w:rsid w:val="00A55453"/>
    <w:rsid w:val="00AA2357"/>
    <w:rsid w:val="00B21ED6"/>
    <w:rsid w:val="00B26116"/>
    <w:rsid w:val="00B621BD"/>
    <w:rsid w:val="00B71DA2"/>
    <w:rsid w:val="00B8485F"/>
    <w:rsid w:val="00B912A5"/>
    <w:rsid w:val="00BA6C71"/>
    <w:rsid w:val="00BD4DF7"/>
    <w:rsid w:val="00C1475F"/>
    <w:rsid w:val="00C7679E"/>
    <w:rsid w:val="00C91D75"/>
    <w:rsid w:val="00CD6D78"/>
    <w:rsid w:val="00CE0832"/>
    <w:rsid w:val="00D249E2"/>
    <w:rsid w:val="00D32C89"/>
    <w:rsid w:val="00D6314E"/>
    <w:rsid w:val="00D970BF"/>
    <w:rsid w:val="00DA02F3"/>
    <w:rsid w:val="00DE5BE3"/>
    <w:rsid w:val="00E55AE6"/>
    <w:rsid w:val="00E80A5C"/>
    <w:rsid w:val="00E864FA"/>
    <w:rsid w:val="00EA07CE"/>
    <w:rsid w:val="00EE679E"/>
    <w:rsid w:val="00EF7796"/>
    <w:rsid w:val="00F321E4"/>
    <w:rsid w:val="00F57E3E"/>
    <w:rsid w:val="00FA485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Number of tourist accommodation establishments registered with the</a:t>
            </a:r>
            <a:r>
              <a:rPr lang="en-US" sz="800" baseline="0"/>
              <a:t> </a:t>
            </a:r>
            <a:r>
              <a:rPr lang="en-US" sz="800"/>
              <a:t>EU Ecolabel (2016)</a:t>
            </a:r>
          </a:p>
        </c:rich>
      </c:tx>
      <c:layout>
        <c:manualLayout>
          <c:xMode val="edge"/>
          <c:yMode val="edge"/>
          <c:x val="0.15267440538244628"/>
          <c:y val="5.2410406199928643E-2"/>
        </c:manualLayout>
      </c:layout>
      <c:overlay val="0"/>
    </c:title>
    <c:autoTitleDeleted val="0"/>
    <c:plotArea>
      <c:layout>
        <c:manualLayout>
          <c:layoutTarget val="inner"/>
          <c:xMode val="edge"/>
          <c:yMode val="edge"/>
          <c:x val="7.5225368700972586E-2"/>
          <c:y val="0.17944978707937662"/>
          <c:w val="0.90119413124047676"/>
          <c:h val="0.719776535533172"/>
        </c:manualLayout>
      </c:layout>
      <c:barChart>
        <c:barDir val="col"/>
        <c:grouping val="clustered"/>
        <c:varyColors val="0"/>
        <c:ser>
          <c:idx val="0"/>
          <c:order val="0"/>
          <c:tx>
            <c:strRef>
              <c:f>Hoja1!$B$1</c:f>
              <c:strCache>
                <c:ptCount val="1"/>
                <c:pt idx="0">
                  <c:v>Number of EU Ecolabels awarded (2016)</c:v>
                </c:pt>
              </c:strCache>
            </c:strRef>
          </c:tx>
          <c:invertIfNegative val="0"/>
          <c:dLbls>
            <c:txPr>
              <a:bodyPr/>
              <a:lstStyle/>
              <a:p>
                <a:pPr>
                  <a:defRPr sz="800"/>
                </a:pPr>
                <a:endParaRPr lang="ca-ES"/>
              </a:p>
            </c:txPr>
            <c:showLegendKey val="0"/>
            <c:showVal val="1"/>
            <c:showCatName val="0"/>
            <c:showSerName val="0"/>
            <c:showPercent val="0"/>
            <c:showBubbleSize val="0"/>
            <c:showLeaderLines val="0"/>
          </c:dLbls>
          <c:cat>
            <c:strRef>
              <c:f>Hoja1!$A$2:$A$22</c:f>
              <c:strCache>
                <c:ptCount val="21"/>
                <c:pt idx="0">
                  <c:v>FR</c:v>
                </c:pt>
                <c:pt idx="1">
                  <c:v>IT</c:v>
                </c:pt>
                <c:pt idx="2">
                  <c:v>AU</c:v>
                </c:pt>
                <c:pt idx="3">
                  <c:v>ES</c:v>
                </c:pt>
                <c:pt idx="4">
                  <c:v>GR</c:v>
                </c:pt>
                <c:pt idx="5">
                  <c:v>DE</c:v>
                </c:pt>
                <c:pt idx="6">
                  <c:v>DK</c:v>
                </c:pt>
                <c:pt idx="7">
                  <c:v>SI</c:v>
                </c:pt>
                <c:pt idx="8">
                  <c:v>NL</c:v>
                </c:pt>
                <c:pt idx="9">
                  <c:v>PT</c:v>
                </c:pt>
                <c:pt idx="10">
                  <c:v>CZ </c:v>
                </c:pt>
                <c:pt idx="11">
                  <c:v>RO</c:v>
                </c:pt>
                <c:pt idx="12">
                  <c:v>FI</c:v>
                </c:pt>
                <c:pt idx="13">
                  <c:v>PO</c:v>
                </c:pt>
                <c:pt idx="14">
                  <c:v>SK</c:v>
                </c:pt>
                <c:pt idx="15">
                  <c:v>BE</c:v>
                </c:pt>
                <c:pt idx="16">
                  <c:v>CY</c:v>
                </c:pt>
                <c:pt idx="17">
                  <c:v>HU</c:v>
                </c:pt>
                <c:pt idx="18">
                  <c:v>IE</c:v>
                </c:pt>
                <c:pt idx="19">
                  <c:v>MT</c:v>
                </c:pt>
                <c:pt idx="20">
                  <c:v>SE</c:v>
                </c:pt>
              </c:strCache>
            </c:strRef>
          </c:cat>
          <c:val>
            <c:numRef>
              <c:f>Hoja1!$B$2:$B$22</c:f>
              <c:numCache>
                <c:formatCode>General</c:formatCode>
                <c:ptCount val="21"/>
                <c:pt idx="0">
                  <c:v>358</c:v>
                </c:pt>
                <c:pt idx="1">
                  <c:v>222</c:v>
                </c:pt>
                <c:pt idx="2">
                  <c:v>100</c:v>
                </c:pt>
                <c:pt idx="3">
                  <c:v>35</c:v>
                </c:pt>
                <c:pt idx="4">
                  <c:v>12</c:v>
                </c:pt>
                <c:pt idx="5">
                  <c:v>12</c:v>
                </c:pt>
                <c:pt idx="6">
                  <c:v>8</c:v>
                </c:pt>
                <c:pt idx="7">
                  <c:v>6</c:v>
                </c:pt>
                <c:pt idx="8">
                  <c:v>5</c:v>
                </c:pt>
                <c:pt idx="9">
                  <c:v>5</c:v>
                </c:pt>
                <c:pt idx="10">
                  <c:v>4</c:v>
                </c:pt>
                <c:pt idx="11">
                  <c:v>3</c:v>
                </c:pt>
                <c:pt idx="12">
                  <c:v>2</c:v>
                </c:pt>
                <c:pt idx="13">
                  <c:v>2</c:v>
                </c:pt>
                <c:pt idx="14">
                  <c:v>2</c:v>
                </c:pt>
                <c:pt idx="15">
                  <c:v>1</c:v>
                </c:pt>
                <c:pt idx="16">
                  <c:v>1</c:v>
                </c:pt>
                <c:pt idx="17">
                  <c:v>1</c:v>
                </c:pt>
                <c:pt idx="18">
                  <c:v>1</c:v>
                </c:pt>
                <c:pt idx="19">
                  <c:v>1</c:v>
                </c:pt>
                <c:pt idx="20">
                  <c:v>1</c:v>
                </c:pt>
              </c:numCache>
            </c:numRef>
          </c:val>
        </c:ser>
        <c:dLbls>
          <c:showLegendKey val="0"/>
          <c:showVal val="0"/>
          <c:showCatName val="0"/>
          <c:showSerName val="0"/>
          <c:showPercent val="0"/>
          <c:showBubbleSize val="0"/>
        </c:dLbls>
        <c:gapWidth val="150"/>
        <c:axId val="75481472"/>
        <c:axId val="75483008"/>
      </c:barChart>
      <c:catAx>
        <c:axId val="75481472"/>
        <c:scaling>
          <c:orientation val="minMax"/>
        </c:scaling>
        <c:delete val="0"/>
        <c:axPos val="b"/>
        <c:majorTickMark val="none"/>
        <c:minorTickMark val="none"/>
        <c:tickLblPos val="nextTo"/>
        <c:txPr>
          <a:bodyPr/>
          <a:lstStyle/>
          <a:p>
            <a:pPr>
              <a:defRPr sz="800"/>
            </a:pPr>
            <a:endParaRPr lang="ca-ES"/>
          </a:p>
        </c:txPr>
        <c:crossAx val="75483008"/>
        <c:crosses val="autoZero"/>
        <c:auto val="1"/>
        <c:lblAlgn val="ctr"/>
        <c:lblOffset val="100"/>
        <c:noMultiLvlLbl val="0"/>
      </c:catAx>
      <c:valAx>
        <c:axId val="75483008"/>
        <c:scaling>
          <c:orientation val="minMax"/>
        </c:scaling>
        <c:delete val="0"/>
        <c:axPos val="l"/>
        <c:majorGridlines/>
        <c:numFmt formatCode="General" sourceLinked="1"/>
        <c:majorTickMark val="none"/>
        <c:minorTickMark val="none"/>
        <c:tickLblPos val="nextTo"/>
        <c:txPr>
          <a:bodyPr/>
          <a:lstStyle/>
          <a:p>
            <a:pPr>
              <a:defRPr sz="800"/>
            </a:pPr>
            <a:endParaRPr lang="ca-ES"/>
          </a:p>
        </c:txPr>
        <c:crossAx val="7548147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Number of tourist accommodation establishments registered with EMAS (2016)</a:t>
            </a:r>
          </a:p>
        </c:rich>
      </c:tx>
      <c:layout>
        <c:manualLayout>
          <c:xMode val="edge"/>
          <c:yMode val="edge"/>
          <c:x val="0.1110675655217512"/>
          <c:y val="3.6283007458173755E-2"/>
        </c:manualLayout>
      </c:layout>
      <c:overlay val="0"/>
    </c:title>
    <c:autoTitleDeleted val="0"/>
    <c:plotArea>
      <c:layout/>
      <c:barChart>
        <c:barDir val="col"/>
        <c:grouping val="clustered"/>
        <c:varyColors val="0"/>
        <c:ser>
          <c:idx val="0"/>
          <c:order val="0"/>
          <c:tx>
            <c:strRef>
              <c:f>Hoja1!$B$1</c:f>
              <c:strCache>
                <c:ptCount val="1"/>
                <c:pt idx="0">
                  <c:v>Number of tourist accommodation establishments with EMAS certification (2016)</c:v>
                </c:pt>
              </c:strCache>
            </c:strRef>
          </c:tx>
          <c:invertIfNegative val="0"/>
          <c:dLbls>
            <c:txPr>
              <a:bodyPr/>
              <a:lstStyle/>
              <a:p>
                <a:pPr>
                  <a:defRPr sz="800"/>
                </a:pPr>
                <a:endParaRPr lang="ca-ES"/>
              </a:p>
            </c:txPr>
            <c:showLegendKey val="0"/>
            <c:showVal val="1"/>
            <c:showCatName val="0"/>
            <c:showSerName val="0"/>
            <c:showPercent val="0"/>
            <c:showBubbleSize val="0"/>
            <c:showLeaderLines val="0"/>
          </c:dLbls>
          <c:cat>
            <c:strRef>
              <c:f>Hoja1!$A$2:$A$10</c:f>
              <c:strCache>
                <c:ptCount val="9"/>
                <c:pt idx="0">
                  <c:v>DE</c:v>
                </c:pt>
                <c:pt idx="1">
                  <c:v>ES</c:v>
                </c:pt>
                <c:pt idx="2">
                  <c:v>IT</c:v>
                </c:pt>
                <c:pt idx="3">
                  <c:v>BE</c:v>
                </c:pt>
                <c:pt idx="4">
                  <c:v>CY</c:v>
                </c:pt>
                <c:pt idx="5">
                  <c:v>GR</c:v>
                </c:pt>
                <c:pt idx="6">
                  <c:v>PT</c:v>
                </c:pt>
                <c:pt idx="7">
                  <c:v>AT</c:v>
                </c:pt>
                <c:pt idx="8">
                  <c:v>RO</c:v>
                </c:pt>
              </c:strCache>
            </c:strRef>
          </c:cat>
          <c:val>
            <c:numRef>
              <c:f>Hoja1!$B$2:$B$10</c:f>
              <c:numCache>
                <c:formatCode>General</c:formatCode>
                <c:ptCount val="9"/>
                <c:pt idx="0">
                  <c:v>104</c:v>
                </c:pt>
                <c:pt idx="1">
                  <c:v>91</c:v>
                </c:pt>
                <c:pt idx="2">
                  <c:v>26</c:v>
                </c:pt>
                <c:pt idx="3">
                  <c:v>10</c:v>
                </c:pt>
                <c:pt idx="4">
                  <c:v>7</c:v>
                </c:pt>
                <c:pt idx="5">
                  <c:v>4</c:v>
                </c:pt>
                <c:pt idx="6">
                  <c:v>2</c:v>
                </c:pt>
                <c:pt idx="7">
                  <c:v>1</c:v>
                </c:pt>
                <c:pt idx="8">
                  <c:v>1</c:v>
                </c:pt>
              </c:numCache>
            </c:numRef>
          </c:val>
        </c:ser>
        <c:dLbls>
          <c:showLegendKey val="0"/>
          <c:showVal val="0"/>
          <c:showCatName val="0"/>
          <c:showSerName val="0"/>
          <c:showPercent val="0"/>
          <c:showBubbleSize val="0"/>
        </c:dLbls>
        <c:gapWidth val="150"/>
        <c:axId val="74897280"/>
        <c:axId val="74898816"/>
      </c:barChart>
      <c:catAx>
        <c:axId val="74897280"/>
        <c:scaling>
          <c:orientation val="minMax"/>
        </c:scaling>
        <c:delete val="0"/>
        <c:axPos val="b"/>
        <c:majorTickMark val="out"/>
        <c:minorTickMark val="none"/>
        <c:tickLblPos val="nextTo"/>
        <c:txPr>
          <a:bodyPr/>
          <a:lstStyle/>
          <a:p>
            <a:pPr>
              <a:defRPr sz="800"/>
            </a:pPr>
            <a:endParaRPr lang="ca-ES"/>
          </a:p>
        </c:txPr>
        <c:crossAx val="74898816"/>
        <c:crosses val="autoZero"/>
        <c:auto val="1"/>
        <c:lblAlgn val="ctr"/>
        <c:lblOffset val="100"/>
        <c:noMultiLvlLbl val="0"/>
      </c:catAx>
      <c:valAx>
        <c:axId val="74898816"/>
        <c:scaling>
          <c:orientation val="minMax"/>
        </c:scaling>
        <c:delete val="0"/>
        <c:axPos val="l"/>
        <c:majorGridlines/>
        <c:numFmt formatCode="General" sourceLinked="1"/>
        <c:majorTickMark val="out"/>
        <c:minorTickMark val="none"/>
        <c:tickLblPos val="nextTo"/>
        <c:txPr>
          <a:bodyPr/>
          <a:lstStyle/>
          <a:p>
            <a:pPr>
              <a:defRPr sz="800"/>
            </a:pPr>
            <a:endParaRPr lang="ca-ES"/>
          </a:p>
        </c:txPr>
        <c:crossAx val="74897280"/>
        <c:crosses val="autoZero"/>
        <c:crossBetween val="between"/>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0.69091</cdr:x>
      <cdr:y>0.30368</cdr:y>
    </cdr:from>
    <cdr:to>
      <cdr:x>0.8727</cdr:x>
      <cdr:y>0.63612</cdr:y>
    </cdr:to>
    <cdr:pic>
      <cdr:nvPicPr>
        <cdr:cNvPr id="2" name="1 Imagen"/>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978068" y="715817"/>
          <a:ext cx="783590" cy="783590"/>
        </a:xfrm>
        <a:prstGeom xmlns:a="http://schemas.openxmlformats.org/drawingml/2006/main" prst="rect">
          <a:avLst/>
        </a:prstGeom>
        <a:noFill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0.69259</cdr:x>
      <cdr:y>0.25561</cdr:y>
    </cdr:from>
    <cdr:to>
      <cdr:x>0.85386</cdr:x>
      <cdr:y>0.64214</cdr:y>
    </cdr:to>
    <cdr:pic>
      <cdr:nvPicPr>
        <cdr:cNvPr id="2" name="1 Imagen"/>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841502" y="561439"/>
          <a:ext cx="661670" cy="848995"/>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Francesc Romagosa Casals</cp:lastModifiedBy>
  <cp:revision>5</cp:revision>
  <dcterms:created xsi:type="dcterms:W3CDTF">2017-06-02T09:10:00Z</dcterms:created>
  <dcterms:modified xsi:type="dcterms:W3CDTF">2017-06-02T09:16:00Z</dcterms:modified>
</cp:coreProperties>
</file>