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7C" w:rsidRDefault="006D517C" w:rsidP="00865B4B">
      <w:pPr>
        <w:rPr>
          <w:lang w:val="en-US"/>
        </w:rPr>
      </w:pP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252"/>
        <w:gridCol w:w="1472"/>
        <w:gridCol w:w="7286"/>
      </w:tblGrid>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rPr>
                <w:b/>
              </w:rPr>
            </w:pPr>
            <w:r w:rsidRPr="007D35CA">
              <w:rPr>
                <w:b/>
              </w:rPr>
              <w:t>Indicator name</w:t>
            </w:r>
          </w:p>
        </w:tc>
        <w:tc>
          <w:tcPr>
            <w:tcW w:w="6913" w:type="dxa"/>
            <w:tcMar>
              <w:top w:w="57" w:type="dxa"/>
              <w:left w:w="57" w:type="dxa"/>
              <w:bottom w:w="57" w:type="dxa"/>
              <w:right w:w="57" w:type="dxa"/>
            </w:tcMar>
          </w:tcPr>
          <w:p w:rsidR="006D517C" w:rsidRPr="007D35CA" w:rsidRDefault="00763D57" w:rsidP="00B57FE2">
            <w:pPr>
              <w:ind w:left="142"/>
            </w:pPr>
            <w:r>
              <w:t>Tourism certification tools (2. Beaches and marinas)</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rPr>
                <w:b/>
              </w:rPr>
            </w:pPr>
            <w:r w:rsidRPr="007D35CA">
              <w:rPr>
                <w:b/>
              </w:rPr>
              <w:t>ASSESSMENT</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Indicator Name</w:t>
            </w:r>
          </w:p>
        </w:tc>
        <w:tc>
          <w:tcPr>
            <w:tcW w:w="6913" w:type="dxa"/>
            <w:tcMar>
              <w:top w:w="57" w:type="dxa"/>
              <w:left w:w="57" w:type="dxa"/>
              <w:bottom w:w="57" w:type="dxa"/>
              <w:right w:w="57" w:type="dxa"/>
            </w:tcMar>
          </w:tcPr>
          <w:p w:rsidR="006D517C" w:rsidRPr="007D35CA" w:rsidRDefault="00763D57" w:rsidP="00B57FE2">
            <w:pPr>
              <w:ind w:left="142"/>
              <w:rPr>
                <w:lang w:val="en-US"/>
              </w:rPr>
            </w:pPr>
            <w:r>
              <w:rPr>
                <w:lang w:val="en-US"/>
              </w:rPr>
              <w:t>TOUR009c –</w:t>
            </w:r>
            <w:r w:rsidR="006D517C" w:rsidRPr="007D35CA">
              <w:rPr>
                <w:lang w:val="en-US"/>
              </w:rPr>
              <w:t xml:space="preserve"> Blue</w:t>
            </w:r>
            <w:r>
              <w:rPr>
                <w:lang w:val="en-US"/>
              </w:rPr>
              <w:t xml:space="preserve"> </w:t>
            </w:r>
            <w:r w:rsidR="006D517C" w:rsidRPr="007D35CA">
              <w:rPr>
                <w:lang w:val="en-US"/>
              </w:rPr>
              <w:t>Flag</w:t>
            </w:r>
            <w:r>
              <w:rPr>
                <w:lang w:val="en-US"/>
              </w:rPr>
              <w:t>s for beaches and marinas</w:t>
            </w:r>
          </w:p>
          <w:p w:rsidR="006D517C" w:rsidRPr="007D35CA" w:rsidRDefault="00763D57" w:rsidP="00B57FE2">
            <w:pPr>
              <w:ind w:left="142"/>
              <w:rPr>
                <w:lang w:val="en-US"/>
              </w:rPr>
            </w:pPr>
            <w:r>
              <w:rPr>
                <w:lang w:val="en-US"/>
              </w:rPr>
              <w:t xml:space="preserve">TOUR009e – </w:t>
            </w:r>
            <w:r w:rsidR="006D517C" w:rsidRPr="007D35CA">
              <w:rPr>
                <w:lang w:val="en-US"/>
              </w:rPr>
              <w:t>Share</w:t>
            </w:r>
            <w:r>
              <w:rPr>
                <w:lang w:val="en-US"/>
              </w:rPr>
              <w:t xml:space="preserve"> </w:t>
            </w:r>
            <w:r w:rsidR="006D517C" w:rsidRPr="007D35CA">
              <w:rPr>
                <w:lang w:val="en-US"/>
              </w:rPr>
              <w:t>of marina port capacity with Blue Flag by coastal NUTS 3</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Key policy question</w:t>
            </w:r>
          </w:p>
        </w:tc>
        <w:tc>
          <w:tcPr>
            <w:tcW w:w="6913" w:type="dxa"/>
            <w:tcMar>
              <w:top w:w="57" w:type="dxa"/>
              <w:left w:w="57" w:type="dxa"/>
              <w:bottom w:w="57" w:type="dxa"/>
              <w:right w:w="57" w:type="dxa"/>
            </w:tcMar>
          </w:tcPr>
          <w:p w:rsidR="006D517C" w:rsidRPr="007D35CA" w:rsidRDefault="006D517C" w:rsidP="00B57FE2">
            <w:pPr>
              <w:spacing w:line="276" w:lineRule="auto"/>
              <w:ind w:left="142"/>
              <w:rPr>
                <w:lang w:val="en-US"/>
              </w:rPr>
            </w:pPr>
            <w:r w:rsidRPr="007D35CA">
              <w:rPr>
                <w:lang w:val="en-US"/>
              </w:rPr>
              <w:t>How effective are environmental management and monitoring tools towards a more integrated tourism strategy?</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Key message</w:t>
            </w:r>
          </w:p>
        </w:tc>
        <w:tc>
          <w:tcPr>
            <w:tcW w:w="6913" w:type="dxa"/>
            <w:tcMar>
              <w:top w:w="57" w:type="dxa"/>
              <w:left w:w="57" w:type="dxa"/>
              <w:bottom w:w="57" w:type="dxa"/>
              <w:right w:w="57" w:type="dxa"/>
            </w:tcMar>
          </w:tcPr>
          <w:p w:rsidR="006D517C" w:rsidRPr="007D35CA" w:rsidRDefault="006D517C" w:rsidP="00B57FE2">
            <w:pPr>
              <w:ind w:left="142"/>
            </w:pPr>
            <w:r w:rsidRPr="007D35CA">
              <w:t xml:space="preserve">Blue Flags have a significant presence and recognition, as a certification tool for beaches and marinas, in many European coastal tourism destinations, especially (but not only) in the Mediterranean basin. </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 xml:space="preserve">Key assessment </w:t>
            </w:r>
          </w:p>
        </w:tc>
        <w:tc>
          <w:tcPr>
            <w:tcW w:w="6913" w:type="dxa"/>
            <w:tcMar>
              <w:top w:w="57" w:type="dxa"/>
              <w:left w:w="57" w:type="dxa"/>
              <w:bottom w:w="57" w:type="dxa"/>
              <w:right w:w="57" w:type="dxa"/>
            </w:tcMar>
          </w:tcPr>
          <w:p w:rsidR="006D517C" w:rsidRPr="007D35CA" w:rsidRDefault="006D517C" w:rsidP="00B57FE2">
            <w:pPr>
              <w:ind w:left="147"/>
            </w:pPr>
            <w:smartTag w:uri="urn:schemas-microsoft-com:office:smarttags" w:element="country-region">
              <w:r w:rsidRPr="007D35CA">
                <w:t>Spain</w:t>
              </w:r>
            </w:smartTag>
            <w:r w:rsidRPr="007D35CA">
              <w:t xml:space="preserve">, </w:t>
            </w:r>
            <w:smartTag w:uri="urn:schemas-microsoft-com:office:smarttags" w:element="country-region">
              <w:r w:rsidRPr="007D35CA">
                <w:t>Turkey</w:t>
              </w:r>
            </w:smartTag>
            <w:r w:rsidRPr="007D35CA">
              <w:t xml:space="preserve">, </w:t>
            </w:r>
            <w:smartTag w:uri="urn:schemas-microsoft-com:office:smarttags" w:element="country-region">
              <w:r w:rsidRPr="007D35CA">
                <w:t>France</w:t>
              </w:r>
            </w:smartTag>
            <w:r w:rsidRPr="007D35CA">
              <w:t xml:space="preserve">, </w:t>
            </w:r>
            <w:smartTag w:uri="urn:schemas-microsoft-com:office:smarttags" w:element="country-region">
              <w:r w:rsidRPr="007D35CA">
                <w:t>Greece</w:t>
              </w:r>
            </w:smartTag>
            <w:r w:rsidRPr="007D35CA">
              <w:t xml:space="preserve">, </w:t>
            </w:r>
            <w:smartTag w:uri="urn:schemas-microsoft-com:office:smarttags" w:element="country-region">
              <w:r w:rsidRPr="007D35CA">
                <w:t>Portugal</w:t>
              </w:r>
            </w:smartTag>
            <w:r w:rsidRPr="007D35CA">
              <w:t xml:space="preserve">, </w:t>
            </w:r>
            <w:smartTag w:uri="urn:schemas-microsoft-com:office:smarttags" w:element="country-region">
              <w:r w:rsidRPr="007D35CA">
                <w:t>Italy</w:t>
              </w:r>
            </w:smartTag>
            <w:r w:rsidRPr="007D35CA">
              <w:t xml:space="preserve">, and </w:t>
            </w:r>
            <w:smartTag w:uri="urn:schemas-microsoft-com:office:smarttags" w:element="place">
              <w:smartTag w:uri="urn:schemas-microsoft-com:office:smarttags" w:element="country-region">
                <w:r w:rsidRPr="007D35CA">
                  <w:t>Denmark</w:t>
                </w:r>
              </w:smartTag>
            </w:smartTag>
            <w:r w:rsidRPr="007D35CA">
              <w:t xml:space="preserve"> were the countries with the highest number of Blue Flags for beaches in 2016 (more than 200 per country). The other European countries present lower numbers. Regarding marinas, the countries with more awards (more than 50) were the </w:t>
            </w:r>
            <w:smartTag w:uri="urn:schemas-microsoft-com:office:smarttags" w:element="place">
              <w:r w:rsidRPr="007D35CA">
                <w:t>Netherlands</w:t>
              </w:r>
            </w:smartTag>
            <w:r w:rsidRPr="007D35CA">
              <w:t xml:space="preserve">, </w:t>
            </w:r>
            <w:smartTag w:uri="urn:schemas-microsoft-com:office:smarttags" w:element="place">
              <w:r w:rsidRPr="007D35CA">
                <w:t>Germany</w:t>
              </w:r>
            </w:smartTag>
            <w:r w:rsidRPr="007D35CA">
              <w:t xml:space="preserve">, </w:t>
            </w:r>
            <w:smartTag w:uri="urn:schemas-microsoft-com:office:smarttags" w:element="place">
              <w:r w:rsidRPr="007D35CA">
                <w:t>Spain</w:t>
              </w:r>
            </w:smartTag>
            <w:r w:rsidRPr="007D35CA">
              <w:t xml:space="preserve">, </w:t>
            </w:r>
            <w:smartTag w:uri="urn:schemas-microsoft-com:office:smarttags" w:element="place">
              <w:r w:rsidRPr="007D35CA">
                <w:t>France</w:t>
              </w:r>
            </w:smartTag>
            <w:r w:rsidRPr="007D35CA">
              <w:t xml:space="preserve">, and </w:t>
            </w:r>
            <w:smartTag w:uri="urn:schemas-microsoft-com:office:smarttags" w:element="place">
              <w:r w:rsidRPr="007D35CA">
                <w:t>Italy</w:t>
              </w:r>
            </w:smartTag>
            <w:r w:rsidRPr="007D35CA">
              <w:t>.</w:t>
            </w:r>
          </w:p>
          <w:p w:rsidR="00E0389F" w:rsidRPr="007D35CA" w:rsidRDefault="00E0389F" w:rsidP="00B57FE2">
            <w:pPr>
              <w:ind w:left="147"/>
            </w:pPr>
          </w:p>
          <w:p w:rsidR="006D517C" w:rsidRPr="007D35CA" w:rsidRDefault="00E0389F" w:rsidP="00B57FE2">
            <w:pPr>
              <w:ind w:left="147"/>
              <w:jc w:val="center"/>
            </w:pPr>
            <w:r w:rsidRPr="007D35CA">
              <w:rPr>
                <w:noProof/>
                <w:lang w:val="ca-ES" w:eastAsia="ca-ES"/>
              </w:rPr>
              <w:drawing>
                <wp:inline distT="0" distB="0" distL="0" distR="0" wp14:anchorId="2A67EC45" wp14:editId="6FDFD6E0">
                  <wp:extent cx="819150" cy="53467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34670"/>
                          </a:xfrm>
                          <a:prstGeom prst="rect">
                            <a:avLst/>
                          </a:prstGeom>
                          <a:noFill/>
                          <a:ln>
                            <a:noFill/>
                          </a:ln>
                        </pic:spPr>
                      </pic:pic>
                    </a:graphicData>
                  </a:graphic>
                </wp:inline>
              </w:drawing>
            </w:r>
          </w:p>
          <w:p w:rsidR="006D517C" w:rsidRPr="007D35CA" w:rsidRDefault="00E0389F" w:rsidP="00B57FE2">
            <w:pPr>
              <w:spacing w:before="120"/>
            </w:pPr>
            <w:r w:rsidRPr="007D35CA">
              <w:rPr>
                <w:noProof/>
                <w:lang w:val="ca-ES" w:eastAsia="ca-ES"/>
              </w:rPr>
              <w:drawing>
                <wp:inline distT="0" distB="0" distL="0" distR="0" wp14:anchorId="4695404D" wp14:editId="66D0A9A7">
                  <wp:extent cx="4459184" cy="260710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9395" cy="2607232"/>
                          </a:xfrm>
                          <a:prstGeom prst="rect">
                            <a:avLst/>
                          </a:prstGeom>
                          <a:noFill/>
                          <a:ln>
                            <a:noFill/>
                          </a:ln>
                        </pic:spPr>
                      </pic:pic>
                    </a:graphicData>
                  </a:graphic>
                </wp:inline>
              </w:drawing>
            </w:r>
          </w:p>
          <w:p w:rsidR="006D517C" w:rsidRPr="007D35CA" w:rsidRDefault="006D517C" w:rsidP="00B57FE2">
            <w:pPr>
              <w:spacing w:before="120"/>
            </w:pPr>
            <w:r w:rsidRPr="007D35CA">
              <w:t xml:space="preserve">In the case of the share of the marinas’ capacity awarded with Blue Flag in the </w:t>
            </w:r>
            <w:smartTag w:uri="urn:schemas-microsoft-com:office:smarttags" w:element="place">
              <w:r w:rsidRPr="007D35CA">
                <w:t>Mediterranean sea</w:t>
              </w:r>
            </w:smartTag>
            <w:r w:rsidRPr="007D35CA">
              <w:t xml:space="preserve"> countries, there is an unev</w:t>
            </w:r>
            <w:bookmarkStart w:id="0" w:name="_GoBack"/>
            <w:bookmarkEnd w:id="0"/>
            <w:r w:rsidRPr="007D35CA">
              <w:t xml:space="preserve">en territorial distribution of this certification tool. Most of the coastal NUTS 3 regions of </w:t>
            </w:r>
            <w:smartTag w:uri="urn:schemas-microsoft-com:office:smarttags" w:element="place">
              <w:r w:rsidRPr="007D35CA">
                <w:t>Spain</w:t>
              </w:r>
            </w:smartTag>
            <w:r w:rsidRPr="007D35CA">
              <w:t xml:space="preserve"> have a certain percentage of their port capacity under the Blue Flag award. The French NUTS 3 regions included into the NUTS 2 region of Languedoc-Roussillon have high percentages, while in the Provence-</w:t>
            </w:r>
            <w:proofErr w:type="spellStart"/>
            <w:r w:rsidRPr="007D35CA">
              <w:t>Alpes</w:t>
            </w:r>
            <w:proofErr w:type="spellEnd"/>
            <w:r w:rsidRPr="007D35CA">
              <w:t xml:space="preserve">-Cote d’Azur region these numbers are lower. In </w:t>
            </w:r>
            <w:smartTag w:uri="urn:schemas-microsoft-com:office:smarttags" w:element="place">
              <w:r w:rsidRPr="007D35CA">
                <w:t>Italy</w:t>
              </w:r>
            </w:smartTag>
            <w:r w:rsidRPr="007D35CA">
              <w:t xml:space="preserve">, most of the regions do not have awarded marinas, although a few number of regions have a relatively high percentage of port capacity under the Blue Flag certification. In the case of </w:t>
            </w:r>
            <w:smartTag w:uri="urn:schemas-microsoft-com:office:smarttags" w:element="place">
              <w:r w:rsidRPr="007D35CA">
                <w:t>Croatia</w:t>
              </w:r>
            </w:smartTag>
            <w:r w:rsidRPr="007D35CA">
              <w:t xml:space="preserve">, most of its NUTS 3 regions have between their 25% and 50% of their port capacity with Blue Flag </w:t>
            </w:r>
            <w:r w:rsidRPr="007D35CA">
              <w:lastRenderedPageBreak/>
              <w:t xml:space="preserve">certification. Finally, </w:t>
            </w:r>
            <w:smartTag w:uri="urn:schemas-microsoft-com:office:smarttags" w:element="place">
              <w:r w:rsidRPr="007D35CA">
                <w:t>Montenegro</w:t>
              </w:r>
            </w:smartTag>
            <w:r w:rsidRPr="007D35CA">
              <w:t xml:space="preserve"> do not have any marina with Blue Flag, and most of the Greek coastal NUTS 3 regions neither do not have the award. </w:t>
            </w:r>
          </w:p>
          <w:p w:rsidR="006D517C" w:rsidRPr="007D35CA" w:rsidRDefault="00E0389F" w:rsidP="00B57FE2">
            <w:pPr>
              <w:spacing w:before="120"/>
            </w:pPr>
            <w:r w:rsidRPr="007D35CA">
              <w:rPr>
                <w:noProof/>
                <w:lang w:val="ca-ES" w:eastAsia="ca-ES"/>
              </w:rPr>
              <w:drawing>
                <wp:inline distT="0" distB="0" distL="0" distR="0" wp14:anchorId="3DA86C09" wp14:editId="01456F7D">
                  <wp:extent cx="4554220" cy="2054225"/>
                  <wp:effectExtent l="0" t="0" r="0" b="3175"/>
                  <wp:docPr id="7" name="Imagen 7" descr="C:\Users\2012351\Downloads\Marinas_Blue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2351\Downloads\Marinas_BlueFla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220" cy="2054225"/>
                          </a:xfrm>
                          <a:prstGeom prst="rect">
                            <a:avLst/>
                          </a:prstGeom>
                          <a:noFill/>
                          <a:ln>
                            <a:noFill/>
                          </a:ln>
                        </pic:spPr>
                      </pic:pic>
                    </a:graphicData>
                  </a:graphic>
                </wp:inline>
              </w:drawing>
            </w:r>
          </w:p>
          <w:p w:rsidR="006D517C" w:rsidRPr="007D35CA" w:rsidRDefault="006D517C" w:rsidP="00B57FE2">
            <w:pPr>
              <w:spacing w:before="120"/>
              <w:jc w:val="center"/>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jc w:val="left"/>
            </w:pPr>
            <w:r w:rsidRPr="007D35CA">
              <w:lastRenderedPageBreak/>
              <w:t>Specific policy question</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 xml:space="preserve">Specific assessment </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Examples</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rPr>
                <w:b/>
              </w:rPr>
            </w:pPr>
            <w:r w:rsidRPr="007D35CA">
              <w:rPr>
                <w:b/>
              </w:rPr>
              <w:t>SPECIFICATIONS</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rPr>
                <w:b/>
              </w:rPr>
            </w:pPr>
            <w:r w:rsidRPr="007D35CA">
              <w:t>Indicator definition</w:t>
            </w:r>
          </w:p>
        </w:tc>
        <w:tc>
          <w:tcPr>
            <w:tcW w:w="6913" w:type="dxa"/>
            <w:tcMar>
              <w:top w:w="57" w:type="dxa"/>
              <w:left w:w="57" w:type="dxa"/>
              <w:bottom w:w="57" w:type="dxa"/>
              <w:right w:w="57" w:type="dxa"/>
            </w:tcMar>
          </w:tcPr>
          <w:p w:rsidR="006D517C" w:rsidRPr="007D35CA" w:rsidRDefault="006D517C" w:rsidP="00B57FE2">
            <w:pPr>
              <w:ind w:left="142"/>
              <w:rPr>
                <w:lang w:val="en-US"/>
              </w:rPr>
            </w:pPr>
            <w:r w:rsidRPr="007D35CA">
              <w:rPr>
                <w:lang w:val="en-US"/>
              </w:rPr>
              <w:t>Number of Blue Flags awarded by the Foundation for Environmental Education per country and year, split by beaches and marinas.</w:t>
            </w:r>
          </w:p>
          <w:p w:rsidR="006D517C" w:rsidRPr="007D35CA" w:rsidRDefault="006D517C" w:rsidP="00B57FE2">
            <w:pPr>
              <w:ind w:left="142"/>
              <w:rPr>
                <w:lang w:val="en-US"/>
              </w:rPr>
            </w:pPr>
            <w:r w:rsidRPr="007D35CA">
              <w:rPr>
                <w:lang w:val="en-US"/>
              </w:rPr>
              <w:t xml:space="preserve">In the case of marinas, a </w:t>
            </w:r>
            <w:proofErr w:type="spellStart"/>
            <w:r w:rsidRPr="007D35CA">
              <w:rPr>
                <w:lang w:val="en-US"/>
              </w:rPr>
              <w:t>subindicator</w:t>
            </w:r>
            <w:proofErr w:type="spellEnd"/>
            <w:r w:rsidRPr="007D35CA">
              <w:rPr>
                <w:lang w:val="en-US"/>
              </w:rPr>
              <w:t xml:space="preserve"> on the share of marina port capacity with Blue Flags by coastal NUTS 3 regions has also been calculated for the </w:t>
            </w:r>
            <w:smartTag w:uri="urn:schemas-microsoft-com:office:smarttags" w:element="place">
              <w:r w:rsidRPr="007D35CA">
                <w:rPr>
                  <w:lang w:val="en-US"/>
                </w:rPr>
                <w:t>Mediterranean sea</w:t>
              </w:r>
            </w:smartTag>
            <w:r w:rsidRPr="007D35CA">
              <w:rPr>
                <w:lang w:val="en-US"/>
              </w:rPr>
              <w:t>.</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DPSIR</w:t>
            </w:r>
          </w:p>
        </w:tc>
        <w:tc>
          <w:tcPr>
            <w:tcW w:w="6913" w:type="dxa"/>
            <w:tcMar>
              <w:top w:w="57" w:type="dxa"/>
              <w:left w:w="57" w:type="dxa"/>
              <w:bottom w:w="57" w:type="dxa"/>
              <w:right w:w="57" w:type="dxa"/>
            </w:tcMar>
          </w:tcPr>
          <w:p w:rsidR="006D517C" w:rsidRPr="007D35CA" w:rsidRDefault="006D517C" w:rsidP="00B57FE2">
            <w:pPr>
              <w:ind w:left="142"/>
            </w:pPr>
            <w:r w:rsidRPr="007D35CA">
              <w:t>R</w:t>
            </w:r>
          </w:p>
        </w:tc>
      </w:tr>
      <w:tr w:rsidR="006D517C" w:rsidRPr="007D35CA" w:rsidTr="00B57FE2">
        <w:tc>
          <w:tcPr>
            <w:tcW w:w="2126" w:type="dxa"/>
            <w:gridSpan w:val="3"/>
            <w:tcBorders>
              <w:bottom w:val="single" w:sz="4" w:space="0" w:color="C4BC96"/>
            </w:tcBorders>
            <w:tcMar>
              <w:top w:w="57" w:type="dxa"/>
              <w:left w:w="57" w:type="dxa"/>
              <w:bottom w:w="57" w:type="dxa"/>
              <w:right w:w="57" w:type="dxa"/>
            </w:tcMar>
          </w:tcPr>
          <w:p w:rsidR="006D517C" w:rsidRPr="007D35CA" w:rsidRDefault="006D517C" w:rsidP="00B57FE2">
            <w:pPr>
              <w:ind w:left="142"/>
            </w:pPr>
            <w:r w:rsidRPr="007D35CA">
              <w:t>Justification</w:t>
            </w:r>
          </w:p>
        </w:tc>
        <w:tc>
          <w:tcPr>
            <w:tcW w:w="6913" w:type="dxa"/>
            <w:tcBorders>
              <w:bottom w:val="single" w:sz="4" w:space="0" w:color="C4BC96"/>
            </w:tcBorders>
            <w:tcMar>
              <w:top w:w="57" w:type="dxa"/>
              <w:left w:w="57" w:type="dxa"/>
              <w:bottom w:w="57" w:type="dxa"/>
              <w:right w:w="57" w:type="dxa"/>
            </w:tcMar>
          </w:tcPr>
          <w:p w:rsidR="006D517C" w:rsidRPr="007D35CA" w:rsidRDefault="006D517C" w:rsidP="00B57FE2">
            <w:pPr>
              <w:ind w:left="142"/>
            </w:pPr>
          </w:p>
        </w:tc>
      </w:tr>
      <w:tr w:rsidR="006D517C" w:rsidRPr="007D35CA" w:rsidTr="00B57FE2">
        <w:tc>
          <w:tcPr>
            <w:tcW w:w="959" w:type="dxa"/>
            <w:gridSpan w:val="2"/>
            <w:tcBorders>
              <w:top w:val="single" w:sz="4" w:space="0" w:color="C4BC96"/>
              <w:bottom w:val="nil"/>
              <w:right w:val="nil"/>
            </w:tcBorders>
            <w:tcMar>
              <w:top w:w="57" w:type="dxa"/>
              <w:left w:w="57" w:type="dxa"/>
              <w:bottom w:w="57" w:type="dxa"/>
              <w:right w:w="57" w:type="dxa"/>
            </w:tcMar>
          </w:tcPr>
          <w:p w:rsidR="006D517C" w:rsidRPr="007D35CA" w:rsidRDefault="006D517C" w:rsidP="00B57FE2">
            <w:pPr>
              <w:ind w:left="142"/>
            </w:pPr>
          </w:p>
        </w:tc>
        <w:tc>
          <w:tcPr>
            <w:tcW w:w="1167" w:type="dxa"/>
            <w:tcBorders>
              <w:top w:val="single" w:sz="4" w:space="0" w:color="C4BC96"/>
              <w:left w:val="nil"/>
            </w:tcBorders>
            <w:tcMar>
              <w:top w:w="57" w:type="dxa"/>
              <w:left w:w="57" w:type="dxa"/>
              <w:bottom w:w="57" w:type="dxa"/>
              <w:right w:w="57" w:type="dxa"/>
            </w:tcMar>
          </w:tcPr>
          <w:p w:rsidR="006D517C" w:rsidRPr="007D35CA" w:rsidRDefault="006D517C" w:rsidP="00B57FE2">
            <w:pPr>
              <w:ind w:left="142"/>
            </w:pPr>
            <w:r w:rsidRPr="007D35CA">
              <w:t>Rationale</w:t>
            </w:r>
          </w:p>
        </w:tc>
        <w:tc>
          <w:tcPr>
            <w:tcW w:w="6913" w:type="dxa"/>
            <w:tcBorders>
              <w:top w:val="single" w:sz="4" w:space="0" w:color="C4BC96"/>
            </w:tcBorders>
            <w:tcMar>
              <w:top w:w="57" w:type="dxa"/>
              <w:left w:w="57" w:type="dxa"/>
              <w:bottom w:w="57" w:type="dxa"/>
              <w:right w:w="57" w:type="dxa"/>
            </w:tcMar>
          </w:tcPr>
          <w:p w:rsidR="006D517C" w:rsidRPr="007D35CA" w:rsidRDefault="006D517C" w:rsidP="00B57FE2">
            <w:pPr>
              <w:ind w:left="142"/>
              <w:rPr>
                <w:lang w:val="en-US"/>
              </w:rPr>
            </w:pPr>
            <w:r w:rsidRPr="007D35CA">
              <w:rPr>
                <w:lang w:val="en-US"/>
              </w:rPr>
              <w:t>Blue Flag is the most renowned eco-label in the world, specifically created for beaches and marinas. It is an indicator of environmental (and safety and services quality) performance for coastal destinations.</w:t>
            </w:r>
          </w:p>
        </w:tc>
      </w:tr>
      <w:tr w:rsidR="006D517C" w:rsidRPr="007D35CA" w:rsidTr="00B57FE2">
        <w:tc>
          <w:tcPr>
            <w:tcW w:w="959" w:type="dxa"/>
            <w:gridSpan w:val="2"/>
            <w:tcBorders>
              <w:top w:val="nil"/>
              <w:right w:val="nil"/>
            </w:tcBorders>
            <w:tcMar>
              <w:top w:w="57" w:type="dxa"/>
              <w:left w:w="57" w:type="dxa"/>
              <w:bottom w:w="57" w:type="dxa"/>
              <w:right w:w="57" w:type="dxa"/>
            </w:tcMar>
          </w:tcPr>
          <w:p w:rsidR="006D517C" w:rsidRPr="007D35CA" w:rsidRDefault="006D517C" w:rsidP="00B57FE2">
            <w:pPr>
              <w:ind w:left="142"/>
              <w:rPr>
                <w:lang w:val="en-US"/>
              </w:rPr>
            </w:pPr>
          </w:p>
        </w:tc>
        <w:tc>
          <w:tcPr>
            <w:tcW w:w="1167" w:type="dxa"/>
            <w:tcBorders>
              <w:left w:val="nil"/>
            </w:tcBorders>
            <w:tcMar>
              <w:top w:w="57" w:type="dxa"/>
              <w:left w:w="57" w:type="dxa"/>
              <w:bottom w:w="57" w:type="dxa"/>
              <w:right w:w="57" w:type="dxa"/>
            </w:tcMar>
          </w:tcPr>
          <w:p w:rsidR="006D517C" w:rsidRPr="007D35CA" w:rsidRDefault="006D517C" w:rsidP="00B57FE2">
            <w:pPr>
              <w:ind w:left="142"/>
            </w:pPr>
            <w:r w:rsidRPr="007D35CA">
              <w:t>References</w:t>
            </w:r>
          </w:p>
        </w:tc>
        <w:tc>
          <w:tcPr>
            <w:tcW w:w="6913" w:type="dxa"/>
            <w:tcMar>
              <w:top w:w="57" w:type="dxa"/>
              <w:left w:w="57" w:type="dxa"/>
              <w:bottom w:w="57" w:type="dxa"/>
              <w:right w:w="57" w:type="dxa"/>
            </w:tcMar>
          </w:tcPr>
          <w:p w:rsidR="006D517C" w:rsidRPr="007D35CA" w:rsidRDefault="00763D57" w:rsidP="00B57FE2">
            <w:pPr>
              <w:ind w:left="142"/>
            </w:pPr>
            <w:hyperlink r:id="rId8" w:history="1">
              <w:r w:rsidR="006D517C" w:rsidRPr="007D35CA">
                <w:rPr>
                  <w:rStyle w:val="Hipervnculo"/>
                </w:rPr>
                <w:t>http://www.blueflag.global</w:t>
              </w:r>
            </w:hyperlink>
            <w:r w:rsidR="006D517C" w:rsidRPr="007D35CA">
              <w:t xml:space="preserve"> </w:t>
            </w:r>
          </w:p>
        </w:tc>
      </w:tr>
      <w:tr w:rsidR="006D517C" w:rsidRPr="007D35CA" w:rsidTr="00B57FE2">
        <w:tc>
          <w:tcPr>
            <w:tcW w:w="2126" w:type="dxa"/>
            <w:gridSpan w:val="3"/>
            <w:tcBorders>
              <w:bottom w:val="single" w:sz="4" w:space="0" w:color="C4BC96"/>
            </w:tcBorders>
            <w:tcMar>
              <w:top w:w="57" w:type="dxa"/>
              <w:left w:w="57" w:type="dxa"/>
              <w:bottom w:w="57" w:type="dxa"/>
              <w:right w:w="57" w:type="dxa"/>
            </w:tcMar>
          </w:tcPr>
          <w:p w:rsidR="006D517C" w:rsidRPr="007D35CA" w:rsidRDefault="006D517C" w:rsidP="00B57FE2">
            <w:pPr>
              <w:ind w:left="142"/>
            </w:pPr>
            <w:r w:rsidRPr="007D35CA">
              <w:t>Policy context</w:t>
            </w:r>
          </w:p>
        </w:tc>
        <w:tc>
          <w:tcPr>
            <w:tcW w:w="6913" w:type="dxa"/>
            <w:tcBorders>
              <w:bottom w:val="single" w:sz="4" w:space="0" w:color="C4BC96"/>
            </w:tcBorders>
            <w:tcMar>
              <w:top w:w="57" w:type="dxa"/>
              <w:left w:w="57" w:type="dxa"/>
              <w:bottom w:w="57" w:type="dxa"/>
              <w:right w:w="57" w:type="dxa"/>
            </w:tcMar>
          </w:tcPr>
          <w:p w:rsidR="006D517C" w:rsidRPr="007D35CA" w:rsidRDefault="006D517C" w:rsidP="00B57FE2">
            <w:pPr>
              <w:ind w:left="142"/>
            </w:pPr>
          </w:p>
        </w:tc>
      </w:tr>
      <w:tr w:rsidR="006D517C" w:rsidRPr="007D35CA" w:rsidTr="00B57FE2">
        <w:tc>
          <w:tcPr>
            <w:tcW w:w="959" w:type="dxa"/>
            <w:gridSpan w:val="2"/>
            <w:tcBorders>
              <w:top w:val="single" w:sz="4" w:space="0" w:color="C4BC96"/>
              <w:bottom w:val="nil"/>
              <w:right w:val="nil"/>
            </w:tcBorders>
            <w:tcMar>
              <w:top w:w="57" w:type="dxa"/>
              <w:left w:w="57" w:type="dxa"/>
              <w:bottom w:w="57" w:type="dxa"/>
              <w:right w:w="57" w:type="dxa"/>
            </w:tcMar>
          </w:tcPr>
          <w:p w:rsidR="006D517C" w:rsidRPr="007D35CA" w:rsidRDefault="006D517C" w:rsidP="00B57FE2">
            <w:pPr>
              <w:ind w:left="142"/>
            </w:pPr>
          </w:p>
        </w:tc>
        <w:tc>
          <w:tcPr>
            <w:tcW w:w="1167" w:type="dxa"/>
            <w:tcBorders>
              <w:top w:val="single" w:sz="4" w:space="0" w:color="C4BC96"/>
              <w:left w:val="nil"/>
            </w:tcBorders>
            <w:tcMar>
              <w:top w:w="57" w:type="dxa"/>
              <w:left w:w="57" w:type="dxa"/>
              <w:bottom w:w="57" w:type="dxa"/>
              <w:right w:w="57" w:type="dxa"/>
            </w:tcMar>
          </w:tcPr>
          <w:p w:rsidR="006D517C" w:rsidRPr="007D35CA" w:rsidRDefault="006D517C" w:rsidP="00B57FE2">
            <w:pPr>
              <w:ind w:left="142"/>
            </w:pPr>
            <w:r w:rsidRPr="007D35CA">
              <w:t>Policy context</w:t>
            </w:r>
          </w:p>
        </w:tc>
        <w:tc>
          <w:tcPr>
            <w:tcW w:w="6913" w:type="dxa"/>
            <w:tcBorders>
              <w:top w:val="single" w:sz="4" w:space="0" w:color="C4BC96"/>
            </w:tcBorders>
            <w:tcMar>
              <w:top w:w="57" w:type="dxa"/>
              <w:left w:w="57" w:type="dxa"/>
              <w:bottom w:w="57" w:type="dxa"/>
              <w:right w:w="57" w:type="dxa"/>
            </w:tcMar>
          </w:tcPr>
          <w:p w:rsidR="006D517C" w:rsidRPr="007D35CA" w:rsidRDefault="006D517C" w:rsidP="00B57FE2">
            <w:pPr>
              <w:ind w:left="142"/>
              <w:rPr>
                <w:lang w:val="en-US"/>
              </w:rPr>
            </w:pPr>
            <w:r w:rsidRPr="007D35CA">
              <w:rPr>
                <w:lang w:val="en-US"/>
              </w:rPr>
              <w:t>Blue Flag is a voluntary certification system.</w:t>
            </w:r>
          </w:p>
        </w:tc>
      </w:tr>
      <w:tr w:rsidR="006D517C" w:rsidRPr="007D35CA" w:rsidTr="00B57FE2">
        <w:tc>
          <w:tcPr>
            <w:tcW w:w="959" w:type="dxa"/>
            <w:gridSpan w:val="2"/>
            <w:tcBorders>
              <w:top w:val="nil"/>
              <w:bottom w:val="nil"/>
              <w:right w:val="nil"/>
            </w:tcBorders>
            <w:tcMar>
              <w:top w:w="57" w:type="dxa"/>
              <w:left w:w="57" w:type="dxa"/>
              <w:bottom w:w="57" w:type="dxa"/>
              <w:right w:w="57" w:type="dxa"/>
            </w:tcMar>
          </w:tcPr>
          <w:p w:rsidR="006D517C" w:rsidRPr="007D35CA" w:rsidRDefault="006D517C" w:rsidP="00B57FE2">
            <w:pPr>
              <w:ind w:left="142"/>
              <w:rPr>
                <w:lang w:val="en-US"/>
              </w:rPr>
            </w:pPr>
          </w:p>
        </w:tc>
        <w:tc>
          <w:tcPr>
            <w:tcW w:w="1167" w:type="dxa"/>
            <w:tcBorders>
              <w:left w:val="nil"/>
            </w:tcBorders>
            <w:tcMar>
              <w:top w:w="57" w:type="dxa"/>
              <w:left w:w="57" w:type="dxa"/>
              <w:bottom w:w="57" w:type="dxa"/>
              <w:right w:w="57" w:type="dxa"/>
            </w:tcMar>
          </w:tcPr>
          <w:p w:rsidR="006D517C" w:rsidRPr="007D35CA" w:rsidRDefault="006D517C" w:rsidP="00B57FE2">
            <w:pPr>
              <w:ind w:left="142"/>
            </w:pPr>
            <w:r w:rsidRPr="007D35CA">
              <w:t>Targets</w:t>
            </w:r>
          </w:p>
        </w:tc>
        <w:tc>
          <w:tcPr>
            <w:tcW w:w="6913" w:type="dxa"/>
            <w:tcMar>
              <w:top w:w="57" w:type="dxa"/>
              <w:left w:w="57" w:type="dxa"/>
              <w:bottom w:w="57" w:type="dxa"/>
              <w:right w:w="57" w:type="dxa"/>
            </w:tcMar>
          </w:tcPr>
          <w:p w:rsidR="006D517C" w:rsidRPr="007D35CA" w:rsidRDefault="006D517C" w:rsidP="00B57FE2">
            <w:pPr>
              <w:ind w:left="142"/>
              <w:rPr>
                <w:lang w:val="en-US"/>
              </w:rPr>
            </w:pPr>
          </w:p>
        </w:tc>
      </w:tr>
      <w:tr w:rsidR="006D517C" w:rsidRPr="007D35CA" w:rsidTr="00B57FE2">
        <w:tc>
          <w:tcPr>
            <w:tcW w:w="959" w:type="dxa"/>
            <w:gridSpan w:val="2"/>
            <w:tcBorders>
              <w:top w:val="nil"/>
              <w:right w:val="nil"/>
            </w:tcBorders>
            <w:tcMar>
              <w:top w:w="57" w:type="dxa"/>
              <w:left w:w="57" w:type="dxa"/>
              <w:bottom w:w="57" w:type="dxa"/>
              <w:right w:w="57" w:type="dxa"/>
            </w:tcMar>
          </w:tcPr>
          <w:p w:rsidR="006D517C" w:rsidRPr="007D35CA" w:rsidRDefault="006D517C" w:rsidP="00B57FE2">
            <w:pPr>
              <w:ind w:left="142"/>
              <w:rPr>
                <w:lang w:val="en-US"/>
              </w:rPr>
            </w:pPr>
          </w:p>
        </w:tc>
        <w:tc>
          <w:tcPr>
            <w:tcW w:w="1167" w:type="dxa"/>
            <w:tcBorders>
              <w:left w:val="nil"/>
            </w:tcBorders>
            <w:tcMar>
              <w:top w:w="57" w:type="dxa"/>
              <w:left w:w="57" w:type="dxa"/>
              <w:bottom w:w="57" w:type="dxa"/>
              <w:right w:w="57" w:type="dxa"/>
            </w:tcMar>
          </w:tcPr>
          <w:p w:rsidR="006D517C" w:rsidRPr="007D35CA" w:rsidRDefault="006D517C" w:rsidP="00B57FE2">
            <w:pPr>
              <w:ind w:left="142"/>
            </w:pPr>
            <w:r w:rsidRPr="007D35CA">
              <w:t>Related policy documents</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Borders>
              <w:bottom w:val="single" w:sz="4" w:space="0" w:color="C4BC96"/>
            </w:tcBorders>
            <w:tcMar>
              <w:top w:w="57" w:type="dxa"/>
              <w:left w:w="57" w:type="dxa"/>
              <w:bottom w:w="57" w:type="dxa"/>
              <w:right w:w="57" w:type="dxa"/>
            </w:tcMar>
          </w:tcPr>
          <w:p w:rsidR="006D517C" w:rsidRPr="007D35CA" w:rsidRDefault="006D517C" w:rsidP="00B57FE2">
            <w:pPr>
              <w:ind w:left="142"/>
            </w:pPr>
            <w:r w:rsidRPr="007D35CA">
              <w:t xml:space="preserve"> Methodology</w:t>
            </w:r>
          </w:p>
        </w:tc>
        <w:tc>
          <w:tcPr>
            <w:tcW w:w="6913" w:type="dxa"/>
            <w:tcBorders>
              <w:bottom w:val="single" w:sz="4" w:space="0" w:color="C4BC96"/>
            </w:tcBorders>
            <w:tcMar>
              <w:top w:w="57" w:type="dxa"/>
              <w:left w:w="57" w:type="dxa"/>
              <w:bottom w:w="57" w:type="dxa"/>
              <w:right w:w="57" w:type="dxa"/>
            </w:tcMar>
          </w:tcPr>
          <w:p w:rsidR="006D517C" w:rsidRPr="007D35CA" w:rsidRDefault="006D517C" w:rsidP="00B57FE2">
            <w:pPr>
              <w:ind w:left="142"/>
            </w:pPr>
          </w:p>
        </w:tc>
      </w:tr>
      <w:tr w:rsidR="006D517C" w:rsidRPr="007D35CA" w:rsidTr="00B57FE2">
        <w:tc>
          <w:tcPr>
            <w:tcW w:w="600" w:type="dxa"/>
            <w:tcBorders>
              <w:top w:val="single" w:sz="4" w:space="0" w:color="C4BC96"/>
              <w:bottom w:val="nil"/>
              <w:right w:val="nil"/>
            </w:tcBorders>
            <w:tcMar>
              <w:top w:w="57" w:type="dxa"/>
              <w:left w:w="57" w:type="dxa"/>
              <w:bottom w:w="57" w:type="dxa"/>
              <w:right w:w="57" w:type="dxa"/>
            </w:tcMar>
          </w:tcPr>
          <w:p w:rsidR="006D517C" w:rsidRPr="007D35CA" w:rsidRDefault="006D517C" w:rsidP="00B57FE2">
            <w:pPr>
              <w:ind w:left="142"/>
            </w:pPr>
          </w:p>
        </w:tc>
        <w:tc>
          <w:tcPr>
            <w:tcW w:w="1526" w:type="dxa"/>
            <w:gridSpan w:val="2"/>
            <w:tcBorders>
              <w:top w:val="single" w:sz="4" w:space="0" w:color="C4BC96"/>
              <w:left w:val="nil"/>
            </w:tcBorders>
            <w:tcMar>
              <w:top w:w="57" w:type="dxa"/>
              <w:left w:w="57" w:type="dxa"/>
              <w:bottom w:w="57" w:type="dxa"/>
              <w:right w:w="57" w:type="dxa"/>
            </w:tcMar>
          </w:tcPr>
          <w:p w:rsidR="006D517C" w:rsidRPr="007D35CA" w:rsidRDefault="006D517C" w:rsidP="00B57FE2">
            <w:pPr>
              <w:ind w:left="142"/>
              <w:jc w:val="left"/>
            </w:pPr>
            <w:r w:rsidRPr="007D35CA">
              <w:t xml:space="preserve">Methodology for indicator </w:t>
            </w:r>
            <w:r w:rsidRPr="007D35CA">
              <w:lastRenderedPageBreak/>
              <w:t>calculation</w:t>
            </w:r>
          </w:p>
        </w:tc>
        <w:tc>
          <w:tcPr>
            <w:tcW w:w="6913" w:type="dxa"/>
            <w:tcBorders>
              <w:top w:val="single" w:sz="4" w:space="0" w:color="C4BC96"/>
            </w:tcBorders>
            <w:tcMar>
              <w:top w:w="57" w:type="dxa"/>
              <w:left w:w="57" w:type="dxa"/>
              <w:bottom w:w="57" w:type="dxa"/>
              <w:right w:w="57" w:type="dxa"/>
            </w:tcMar>
          </w:tcPr>
          <w:p w:rsidR="006D517C" w:rsidRPr="007D35CA" w:rsidRDefault="006D517C" w:rsidP="00B57FE2">
            <w:pPr>
              <w:ind w:left="142"/>
            </w:pPr>
            <w:r w:rsidRPr="007D35CA">
              <w:lastRenderedPageBreak/>
              <w:t>Total number of beaches and marinas per country provided by the Foundation for Environmental Education.</w:t>
            </w:r>
          </w:p>
          <w:p w:rsidR="006D517C" w:rsidRPr="007D35CA" w:rsidRDefault="006D517C" w:rsidP="00B57FE2">
            <w:pPr>
              <w:ind w:left="142"/>
            </w:pPr>
            <w:proofErr w:type="spellStart"/>
            <w:r w:rsidRPr="007D35CA">
              <w:lastRenderedPageBreak/>
              <w:t>Subindicator</w:t>
            </w:r>
            <w:proofErr w:type="spellEnd"/>
            <w:r w:rsidRPr="007D35CA">
              <w:t xml:space="preserve"> on share of marina port capacity with Blue Flag: percentage of marinas port capacity with Blue Flag in relation to the total marina port capacity of the region.</w:t>
            </w:r>
          </w:p>
        </w:tc>
      </w:tr>
      <w:tr w:rsidR="006D517C" w:rsidRPr="007D35CA" w:rsidTr="00B57FE2">
        <w:trPr>
          <w:cantSplit/>
        </w:trPr>
        <w:tc>
          <w:tcPr>
            <w:tcW w:w="600" w:type="dxa"/>
            <w:tcBorders>
              <w:top w:val="nil"/>
              <w:bottom w:val="nil"/>
              <w:right w:val="nil"/>
            </w:tcBorders>
            <w:tcMar>
              <w:top w:w="57" w:type="dxa"/>
              <w:left w:w="57" w:type="dxa"/>
              <w:bottom w:w="57" w:type="dxa"/>
              <w:right w:w="57" w:type="dxa"/>
            </w:tcMar>
          </w:tcPr>
          <w:p w:rsidR="006D517C" w:rsidRPr="007D35CA" w:rsidRDefault="006D517C" w:rsidP="00B57FE2">
            <w:pPr>
              <w:ind w:left="142"/>
            </w:pPr>
          </w:p>
        </w:tc>
        <w:tc>
          <w:tcPr>
            <w:tcW w:w="1526" w:type="dxa"/>
            <w:gridSpan w:val="2"/>
            <w:tcBorders>
              <w:left w:val="nil"/>
            </w:tcBorders>
            <w:tcMar>
              <w:top w:w="57" w:type="dxa"/>
              <w:left w:w="57" w:type="dxa"/>
              <w:bottom w:w="57" w:type="dxa"/>
              <w:right w:w="57" w:type="dxa"/>
            </w:tcMar>
          </w:tcPr>
          <w:p w:rsidR="006D517C" w:rsidRPr="007D35CA" w:rsidRDefault="006D517C" w:rsidP="00B57FE2">
            <w:pPr>
              <w:ind w:left="142"/>
            </w:pPr>
            <w:r w:rsidRPr="007D35CA">
              <w:t>Methodology for gap filling</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600" w:type="dxa"/>
            <w:tcBorders>
              <w:top w:val="nil"/>
              <w:right w:val="nil"/>
            </w:tcBorders>
            <w:tcMar>
              <w:top w:w="57" w:type="dxa"/>
              <w:left w:w="57" w:type="dxa"/>
              <w:bottom w:w="57" w:type="dxa"/>
              <w:right w:w="57" w:type="dxa"/>
            </w:tcMar>
          </w:tcPr>
          <w:p w:rsidR="006D517C" w:rsidRPr="007D35CA" w:rsidRDefault="006D517C" w:rsidP="00B57FE2">
            <w:pPr>
              <w:ind w:left="142"/>
            </w:pPr>
          </w:p>
        </w:tc>
        <w:tc>
          <w:tcPr>
            <w:tcW w:w="1526" w:type="dxa"/>
            <w:gridSpan w:val="2"/>
            <w:tcBorders>
              <w:left w:val="nil"/>
            </w:tcBorders>
            <w:tcMar>
              <w:top w:w="57" w:type="dxa"/>
              <w:left w:w="57" w:type="dxa"/>
              <w:bottom w:w="57" w:type="dxa"/>
              <w:right w:w="57" w:type="dxa"/>
            </w:tcMar>
          </w:tcPr>
          <w:p w:rsidR="006D517C" w:rsidRPr="007D35CA" w:rsidRDefault="006D517C" w:rsidP="00B57FE2">
            <w:pPr>
              <w:ind w:left="142"/>
            </w:pPr>
            <w:r w:rsidRPr="007D35CA">
              <w:t>References</w:t>
            </w:r>
          </w:p>
        </w:tc>
        <w:tc>
          <w:tcPr>
            <w:tcW w:w="6913" w:type="dxa"/>
            <w:tcMar>
              <w:top w:w="57" w:type="dxa"/>
              <w:left w:w="57" w:type="dxa"/>
              <w:bottom w:w="57" w:type="dxa"/>
              <w:right w:w="57" w:type="dxa"/>
            </w:tcMar>
          </w:tcPr>
          <w:p w:rsidR="006D517C" w:rsidRPr="007D35CA" w:rsidRDefault="00763D57" w:rsidP="00B57FE2">
            <w:pPr>
              <w:ind w:left="142"/>
            </w:pPr>
            <w:hyperlink r:id="rId9" w:history="1">
              <w:r w:rsidR="006D517C" w:rsidRPr="007D35CA">
                <w:rPr>
                  <w:rStyle w:val="Hipervnculo"/>
                </w:rPr>
                <w:t>http://www.blueflag.global</w:t>
              </w:r>
            </w:hyperlink>
            <w:r w:rsidR="006D517C" w:rsidRPr="007D35CA">
              <w:t xml:space="preserve"> </w:t>
            </w: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Data specifications</w:t>
            </w:r>
          </w:p>
        </w:tc>
        <w:tc>
          <w:tcPr>
            <w:tcW w:w="6913" w:type="dxa"/>
            <w:tcMar>
              <w:top w:w="57" w:type="dxa"/>
              <w:left w:w="57" w:type="dxa"/>
              <w:bottom w:w="57" w:type="dxa"/>
              <w:right w:w="57" w:type="dxa"/>
            </w:tcMar>
          </w:tcPr>
          <w:p w:rsidR="006D517C" w:rsidRPr="007D35CA" w:rsidRDefault="006D517C" w:rsidP="00B57FE2">
            <w:pPr>
              <w:ind w:left="142"/>
            </w:pPr>
          </w:p>
        </w:tc>
      </w:tr>
      <w:tr w:rsidR="006D517C" w:rsidRPr="007D35CA" w:rsidTr="00B57FE2">
        <w:tc>
          <w:tcPr>
            <w:tcW w:w="2126" w:type="dxa"/>
            <w:gridSpan w:val="3"/>
            <w:tcBorders>
              <w:bottom w:val="single" w:sz="4" w:space="0" w:color="C4BC96"/>
            </w:tcBorders>
            <w:tcMar>
              <w:top w:w="57" w:type="dxa"/>
              <w:left w:w="57" w:type="dxa"/>
              <w:bottom w:w="57" w:type="dxa"/>
              <w:right w:w="57" w:type="dxa"/>
            </w:tcMar>
          </w:tcPr>
          <w:p w:rsidR="006D517C" w:rsidRPr="007D35CA" w:rsidRDefault="006D517C" w:rsidP="00B57FE2">
            <w:pPr>
              <w:ind w:left="142"/>
            </w:pPr>
            <w:r w:rsidRPr="007D35CA">
              <w:t xml:space="preserve"> Uncertainties</w:t>
            </w:r>
          </w:p>
        </w:tc>
        <w:tc>
          <w:tcPr>
            <w:tcW w:w="6913" w:type="dxa"/>
            <w:tcBorders>
              <w:bottom w:val="single" w:sz="4" w:space="0" w:color="C4BC96"/>
            </w:tcBorders>
            <w:tcMar>
              <w:top w:w="57" w:type="dxa"/>
              <w:left w:w="57" w:type="dxa"/>
              <w:bottom w:w="57" w:type="dxa"/>
              <w:right w:w="57" w:type="dxa"/>
            </w:tcMar>
          </w:tcPr>
          <w:p w:rsidR="006D517C" w:rsidRPr="007D35CA" w:rsidRDefault="006D517C" w:rsidP="00B57FE2">
            <w:pPr>
              <w:ind w:left="142"/>
            </w:pPr>
          </w:p>
        </w:tc>
      </w:tr>
      <w:tr w:rsidR="006D517C" w:rsidRPr="007D35CA" w:rsidTr="00B57FE2">
        <w:tc>
          <w:tcPr>
            <w:tcW w:w="600" w:type="dxa"/>
            <w:tcBorders>
              <w:top w:val="single" w:sz="4" w:space="0" w:color="C4BC96"/>
              <w:bottom w:val="nil"/>
              <w:right w:val="nil"/>
            </w:tcBorders>
            <w:tcMar>
              <w:top w:w="57" w:type="dxa"/>
              <w:left w:w="57" w:type="dxa"/>
              <w:bottom w:w="57" w:type="dxa"/>
              <w:right w:w="57" w:type="dxa"/>
            </w:tcMar>
          </w:tcPr>
          <w:p w:rsidR="006D517C" w:rsidRPr="007D35CA" w:rsidRDefault="006D517C" w:rsidP="00B57FE2">
            <w:pPr>
              <w:ind w:left="142"/>
            </w:pPr>
          </w:p>
        </w:tc>
        <w:tc>
          <w:tcPr>
            <w:tcW w:w="1526" w:type="dxa"/>
            <w:gridSpan w:val="2"/>
            <w:tcBorders>
              <w:top w:val="single" w:sz="4" w:space="0" w:color="C4BC96"/>
              <w:left w:val="nil"/>
            </w:tcBorders>
            <w:tcMar>
              <w:top w:w="57" w:type="dxa"/>
              <w:left w:w="57" w:type="dxa"/>
              <w:bottom w:w="57" w:type="dxa"/>
              <w:right w:w="57" w:type="dxa"/>
            </w:tcMar>
          </w:tcPr>
          <w:p w:rsidR="006D517C" w:rsidRPr="007D35CA" w:rsidRDefault="006D517C" w:rsidP="00B57FE2">
            <w:pPr>
              <w:ind w:left="142"/>
            </w:pPr>
            <w:r w:rsidRPr="007D35CA">
              <w:t>Methodology uncertainty</w:t>
            </w:r>
          </w:p>
        </w:tc>
        <w:tc>
          <w:tcPr>
            <w:tcW w:w="6913" w:type="dxa"/>
            <w:tcBorders>
              <w:top w:val="single" w:sz="4" w:space="0" w:color="C4BC96"/>
            </w:tcBorders>
            <w:tcMar>
              <w:top w:w="57" w:type="dxa"/>
              <w:left w:w="57" w:type="dxa"/>
              <w:bottom w:w="57" w:type="dxa"/>
              <w:right w:w="57" w:type="dxa"/>
            </w:tcMar>
          </w:tcPr>
          <w:p w:rsidR="006D517C" w:rsidRPr="007D35CA" w:rsidRDefault="006D517C" w:rsidP="00B57FE2">
            <w:pPr>
              <w:ind w:left="142"/>
            </w:pPr>
          </w:p>
        </w:tc>
      </w:tr>
      <w:tr w:rsidR="006D517C" w:rsidRPr="007D35CA" w:rsidTr="00B57FE2">
        <w:tc>
          <w:tcPr>
            <w:tcW w:w="600" w:type="dxa"/>
            <w:tcBorders>
              <w:top w:val="nil"/>
              <w:bottom w:val="nil"/>
              <w:right w:val="nil"/>
            </w:tcBorders>
            <w:tcMar>
              <w:top w:w="57" w:type="dxa"/>
              <w:left w:w="57" w:type="dxa"/>
              <w:bottom w:w="57" w:type="dxa"/>
              <w:right w:w="57" w:type="dxa"/>
            </w:tcMar>
          </w:tcPr>
          <w:p w:rsidR="006D517C" w:rsidRPr="007D35CA" w:rsidRDefault="006D517C" w:rsidP="00B57FE2">
            <w:pPr>
              <w:ind w:left="142"/>
            </w:pPr>
          </w:p>
        </w:tc>
        <w:tc>
          <w:tcPr>
            <w:tcW w:w="1526" w:type="dxa"/>
            <w:gridSpan w:val="2"/>
            <w:tcBorders>
              <w:left w:val="nil"/>
            </w:tcBorders>
            <w:tcMar>
              <w:top w:w="57" w:type="dxa"/>
              <w:left w:w="57" w:type="dxa"/>
              <w:bottom w:w="57" w:type="dxa"/>
              <w:right w:w="57" w:type="dxa"/>
            </w:tcMar>
          </w:tcPr>
          <w:p w:rsidR="006D517C" w:rsidRPr="007D35CA" w:rsidRDefault="006D517C" w:rsidP="00B57FE2">
            <w:pPr>
              <w:ind w:left="142"/>
              <w:jc w:val="left"/>
            </w:pPr>
            <w:r w:rsidRPr="007D35CA">
              <w:t>Data sets uncertainties</w:t>
            </w:r>
          </w:p>
        </w:tc>
        <w:tc>
          <w:tcPr>
            <w:tcW w:w="6913" w:type="dxa"/>
            <w:tcMar>
              <w:top w:w="57" w:type="dxa"/>
              <w:left w:w="57" w:type="dxa"/>
              <w:bottom w:w="57" w:type="dxa"/>
              <w:right w:w="57" w:type="dxa"/>
            </w:tcMar>
          </w:tcPr>
          <w:p w:rsidR="006D517C" w:rsidRPr="007D35CA" w:rsidRDefault="006D517C" w:rsidP="00B57FE2">
            <w:pPr>
              <w:pStyle w:val="Textocomentario"/>
              <w:ind w:left="142"/>
              <w:rPr>
                <w:rFonts w:ascii="Times New Roman" w:hAnsi="Times New Roman"/>
                <w:sz w:val="24"/>
                <w:szCs w:val="24"/>
              </w:rPr>
            </w:pPr>
          </w:p>
        </w:tc>
      </w:tr>
      <w:tr w:rsidR="006D517C" w:rsidRPr="007D35CA" w:rsidTr="00B57FE2">
        <w:tc>
          <w:tcPr>
            <w:tcW w:w="600" w:type="dxa"/>
            <w:tcBorders>
              <w:top w:val="nil"/>
              <w:right w:val="nil"/>
            </w:tcBorders>
            <w:tcMar>
              <w:top w:w="57" w:type="dxa"/>
              <w:left w:w="57" w:type="dxa"/>
              <w:bottom w:w="57" w:type="dxa"/>
              <w:right w:w="57" w:type="dxa"/>
            </w:tcMar>
          </w:tcPr>
          <w:p w:rsidR="006D517C" w:rsidRPr="007D35CA" w:rsidRDefault="006D517C" w:rsidP="00B57FE2">
            <w:pPr>
              <w:ind w:left="142"/>
              <w:rPr>
                <w:lang w:val="en-US"/>
              </w:rPr>
            </w:pPr>
          </w:p>
        </w:tc>
        <w:tc>
          <w:tcPr>
            <w:tcW w:w="1526" w:type="dxa"/>
            <w:gridSpan w:val="2"/>
            <w:tcBorders>
              <w:left w:val="nil"/>
            </w:tcBorders>
            <w:tcMar>
              <w:top w:w="57" w:type="dxa"/>
              <w:left w:w="57" w:type="dxa"/>
              <w:bottom w:w="57" w:type="dxa"/>
              <w:right w:w="57" w:type="dxa"/>
            </w:tcMar>
          </w:tcPr>
          <w:p w:rsidR="006D517C" w:rsidRPr="007D35CA" w:rsidRDefault="006D517C" w:rsidP="00B57FE2">
            <w:pPr>
              <w:ind w:left="142"/>
            </w:pPr>
            <w:r w:rsidRPr="007D35CA">
              <w:t>Rationale uncertainty</w:t>
            </w:r>
          </w:p>
        </w:tc>
        <w:tc>
          <w:tcPr>
            <w:tcW w:w="6913" w:type="dxa"/>
            <w:tcMar>
              <w:top w:w="57" w:type="dxa"/>
              <w:left w:w="57" w:type="dxa"/>
              <w:bottom w:w="57" w:type="dxa"/>
              <w:right w:w="57" w:type="dxa"/>
            </w:tcMar>
          </w:tcPr>
          <w:p w:rsidR="006D517C" w:rsidRPr="007D35CA" w:rsidRDefault="006D517C" w:rsidP="00B57FE2">
            <w:pPr>
              <w:ind w:left="142"/>
              <w:rPr>
                <w:lang w:val="en-US"/>
              </w:rPr>
            </w:pPr>
          </w:p>
        </w:tc>
      </w:tr>
      <w:tr w:rsidR="006D517C" w:rsidRPr="007D35CA" w:rsidTr="00B57FE2">
        <w:tc>
          <w:tcPr>
            <w:tcW w:w="2126" w:type="dxa"/>
            <w:gridSpan w:val="3"/>
            <w:tcMar>
              <w:top w:w="57" w:type="dxa"/>
              <w:left w:w="57" w:type="dxa"/>
              <w:bottom w:w="57" w:type="dxa"/>
              <w:right w:w="57" w:type="dxa"/>
            </w:tcMar>
          </w:tcPr>
          <w:p w:rsidR="006D517C" w:rsidRPr="007D35CA" w:rsidRDefault="006D517C" w:rsidP="00B57FE2">
            <w:pPr>
              <w:ind w:left="142"/>
            </w:pPr>
            <w:r w:rsidRPr="007D35CA">
              <w:t>Further work</w:t>
            </w:r>
          </w:p>
        </w:tc>
        <w:tc>
          <w:tcPr>
            <w:tcW w:w="6913" w:type="dxa"/>
            <w:tcMar>
              <w:top w:w="57" w:type="dxa"/>
              <w:left w:w="57" w:type="dxa"/>
              <w:bottom w:w="57" w:type="dxa"/>
              <w:right w:w="57" w:type="dxa"/>
            </w:tcMar>
          </w:tcPr>
          <w:p w:rsidR="006D517C" w:rsidRPr="007D35CA" w:rsidRDefault="006D517C" w:rsidP="00B57FE2">
            <w:pPr>
              <w:ind w:left="142"/>
              <w:rPr>
                <w:lang w:val="en-US"/>
              </w:rPr>
            </w:pPr>
            <w:r w:rsidRPr="007D35CA">
              <w:rPr>
                <w:lang w:val="en-US"/>
              </w:rPr>
              <w:t xml:space="preserve">Data needs to be regularly updated. This will allow analyzing trends. A new </w:t>
            </w:r>
            <w:proofErr w:type="spellStart"/>
            <w:r w:rsidRPr="007D35CA">
              <w:rPr>
                <w:lang w:val="en-US"/>
              </w:rPr>
              <w:t>subindicator</w:t>
            </w:r>
            <w:proofErr w:type="spellEnd"/>
            <w:r w:rsidRPr="007D35CA">
              <w:rPr>
                <w:lang w:val="en-US"/>
              </w:rPr>
              <w:t xml:space="preserve"> could be also created, calculating the number of Blue Flags (beaches) per km of beach. </w:t>
            </w:r>
          </w:p>
        </w:tc>
      </w:tr>
      <w:tr w:rsidR="006D517C" w:rsidRPr="0011039F" w:rsidTr="00B57FE2">
        <w:tc>
          <w:tcPr>
            <w:tcW w:w="2126" w:type="dxa"/>
            <w:gridSpan w:val="3"/>
            <w:tcMar>
              <w:top w:w="57" w:type="dxa"/>
              <w:left w:w="57" w:type="dxa"/>
              <w:bottom w:w="57" w:type="dxa"/>
              <w:right w:w="57" w:type="dxa"/>
            </w:tcMar>
          </w:tcPr>
          <w:p w:rsidR="006D517C" w:rsidRPr="007D35CA" w:rsidRDefault="006D517C" w:rsidP="00B57FE2">
            <w:pPr>
              <w:ind w:left="142"/>
              <w:jc w:val="left"/>
            </w:pPr>
            <w:r w:rsidRPr="007D35CA">
              <w:t xml:space="preserve">Ownership and contacts </w:t>
            </w:r>
          </w:p>
        </w:tc>
        <w:tc>
          <w:tcPr>
            <w:tcW w:w="6913" w:type="dxa"/>
            <w:tcMar>
              <w:top w:w="57" w:type="dxa"/>
              <w:left w:w="57" w:type="dxa"/>
              <w:bottom w:w="57" w:type="dxa"/>
              <w:right w:w="57" w:type="dxa"/>
            </w:tcMar>
          </w:tcPr>
          <w:p w:rsidR="006D517C" w:rsidRPr="0011039F" w:rsidRDefault="006D517C" w:rsidP="00B57FE2">
            <w:pPr>
              <w:ind w:left="142"/>
            </w:pPr>
            <w:r w:rsidRPr="007D35CA">
              <w:t>ETC-ULS</w:t>
            </w:r>
            <w:r>
              <w:t xml:space="preserve"> </w:t>
            </w:r>
          </w:p>
        </w:tc>
      </w:tr>
    </w:tbl>
    <w:p w:rsidR="006D517C" w:rsidRDefault="006D517C" w:rsidP="00C91D75">
      <w:pPr>
        <w:jc w:val="left"/>
        <w:rPr>
          <w:lang w:val="en-US"/>
        </w:rPr>
      </w:pPr>
    </w:p>
    <w:sectPr w:rsidR="006D517C"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5AE7"/>
    <w:rsid w:val="00040F85"/>
    <w:rsid w:val="000906B0"/>
    <w:rsid w:val="00093E7D"/>
    <w:rsid w:val="00095209"/>
    <w:rsid w:val="000C6C72"/>
    <w:rsid w:val="0011039F"/>
    <w:rsid w:val="00123611"/>
    <w:rsid w:val="00127B8D"/>
    <w:rsid w:val="001949EA"/>
    <w:rsid w:val="001E18CB"/>
    <w:rsid w:val="002426E7"/>
    <w:rsid w:val="00253668"/>
    <w:rsid w:val="002741B5"/>
    <w:rsid w:val="002755C3"/>
    <w:rsid w:val="0029618D"/>
    <w:rsid w:val="00447F24"/>
    <w:rsid w:val="00456402"/>
    <w:rsid w:val="004A215D"/>
    <w:rsid w:val="004E31E0"/>
    <w:rsid w:val="004F6DF1"/>
    <w:rsid w:val="00567C9E"/>
    <w:rsid w:val="005D65E7"/>
    <w:rsid w:val="00634341"/>
    <w:rsid w:val="006D517C"/>
    <w:rsid w:val="0070218A"/>
    <w:rsid w:val="007073F4"/>
    <w:rsid w:val="00734956"/>
    <w:rsid w:val="00763D57"/>
    <w:rsid w:val="007D35CA"/>
    <w:rsid w:val="007F0071"/>
    <w:rsid w:val="007F218A"/>
    <w:rsid w:val="00841521"/>
    <w:rsid w:val="00865B4B"/>
    <w:rsid w:val="00872021"/>
    <w:rsid w:val="008927B4"/>
    <w:rsid w:val="00892EC7"/>
    <w:rsid w:val="008A19C6"/>
    <w:rsid w:val="008A6F13"/>
    <w:rsid w:val="009A2080"/>
    <w:rsid w:val="009C6C56"/>
    <w:rsid w:val="009F267D"/>
    <w:rsid w:val="009F59F5"/>
    <w:rsid w:val="00A00E98"/>
    <w:rsid w:val="00A23B1F"/>
    <w:rsid w:val="00A51A75"/>
    <w:rsid w:val="00A55453"/>
    <w:rsid w:val="00AA2357"/>
    <w:rsid w:val="00B26116"/>
    <w:rsid w:val="00B470C3"/>
    <w:rsid w:val="00B57FE2"/>
    <w:rsid w:val="00B621BD"/>
    <w:rsid w:val="00B908F2"/>
    <w:rsid w:val="00B912A5"/>
    <w:rsid w:val="00BA6C71"/>
    <w:rsid w:val="00BD4C18"/>
    <w:rsid w:val="00BD4DF7"/>
    <w:rsid w:val="00C1475F"/>
    <w:rsid w:val="00C7679E"/>
    <w:rsid w:val="00C91D75"/>
    <w:rsid w:val="00CD6D78"/>
    <w:rsid w:val="00CE0832"/>
    <w:rsid w:val="00D249E2"/>
    <w:rsid w:val="00D32C89"/>
    <w:rsid w:val="00D6314E"/>
    <w:rsid w:val="00D850DD"/>
    <w:rsid w:val="00D970BF"/>
    <w:rsid w:val="00DA02F3"/>
    <w:rsid w:val="00DE5BE3"/>
    <w:rsid w:val="00E0389F"/>
    <w:rsid w:val="00E55AE6"/>
    <w:rsid w:val="00E80A5C"/>
    <w:rsid w:val="00E864FA"/>
    <w:rsid w:val="00EA07CE"/>
    <w:rsid w:val="00EF7796"/>
    <w:rsid w:val="00F321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jc w:val="both"/>
    </w:pPr>
    <w:rPr>
      <w:rFonts w:ascii="Times New Roman" w:eastAsia="ヒラギノ角ゴ Pro W3" w:hAnsi="Times New Roman"/>
      <w:color w:val="000000"/>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7">
    <w:name w:val="57"/>
    <w:uiPriority w:val="99"/>
    <w:pPr>
      <w:widowControl w:val="0"/>
      <w:autoSpaceDE w:val="0"/>
      <w:autoSpaceDN w:val="0"/>
      <w:adjustRightInd w:val="0"/>
    </w:pPr>
    <w:rPr>
      <w:rFonts w:ascii="Times New Roman" w:eastAsia="Times New Roman" w:hAnsi="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locked/>
    <w:rsid w:val="001949EA"/>
    <w:rPr>
      <w:rFonts w:ascii="Calibri" w:hAnsi="Calibri" w:cs="Times New Roman"/>
      <w:sz w:val="20"/>
      <w:szCs w:val="20"/>
      <w:lang w:val="en-GB" w:eastAsia="en-GB"/>
    </w:rPr>
  </w:style>
  <w:style w:type="paragraph" w:styleId="Textodeglobo">
    <w:name w:val="Balloon Text"/>
    <w:basedOn w:val="Normal"/>
    <w:link w:val="TextodegloboCar"/>
    <w:uiPriority w:val="99"/>
    <w:semiHidden/>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949EA"/>
    <w:rPr>
      <w:rFonts w:ascii="Tahoma" w:eastAsia="ヒラギノ角ゴ Pro W3" w:hAnsi="Tahoma" w:cs="Tahoma"/>
      <w:color w:val="000000"/>
      <w:sz w:val="16"/>
      <w:szCs w:val="16"/>
      <w:lang w:val="en-GB"/>
    </w:rPr>
  </w:style>
  <w:style w:type="character" w:styleId="Hipervnculo">
    <w:name w:val="Hyperlink"/>
    <w:basedOn w:val="Fuentedeprrafopredeter"/>
    <w:uiPriority w:val="99"/>
    <w:rsid w:val="001236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jc w:val="both"/>
    </w:pPr>
    <w:rPr>
      <w:rFonts w:ascii="Times New Roman" w:eastAsia="ヒラギノ角ゴ Pro W3" w:hAnsi="Times New Roman"/>
      <w:color w:val="000000"/>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7">
    <w:name w:val="57"/>
    <w:uiPriority w:val="99"/>
    <w:pPr>
      <w:widowControl w:val="0"/>
      <w:autoSpaceDE w:val="0"/>
      <w:autoSpaceDN w:val="0"/>
      <w:adjustRightInd w:val="0"/>
    </w:pPr>
    <w:rPr>
      <w:rFonts w:ascii="Times New Roman" w:eastAsia="Times New Roman" w:hAnsi="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locked/>
    <w:rsid w:val="001949EA"/>
    <w:rPr>
      <w:rFonts w:ascii="Calibri" w:hAnsi="Calibri" w:cs="Times New Roman"/>
      <w:sz w:val="20"/>
      <w:szCs w:val="20"/>
      <w:lang w:val="en-GB" w:eastAsia="en-GB"/>
    </w:rPr>
  </w:style>
  <w:style w:type="paragraph" w:styleId="Textodeglobo">
    <w:name w:val="Balloon Text"/>
    <w:basedOn w:val="Normal"/>
    <w:link w:val="TextodegloboCar"/>
    <w:uiPriority w:val="99"/>
    <w:semiHidden/>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949EA"/>
    <w:rPr>
      <w:rFonts w:ascii="Tahoma" w:eastAsia="ヒラギノ角ゴ Pro W3" w:hAnsi="Tahoma" w:cs="Tahoma"/>
      <w:color w:val="000000"/>
      <w:sz w:val="16"/>
      <w:szCs w:val="16"/>
      <w:lang w:val="en-GB"/>
    </w:rPr>
  </w:style>
  <w:style w:type="character" w:styleId="Hipervnculo">
    <w:name w:val="Hyperlink"/>
    <w:basedOn w:val="Fuentedeprrafopredeter"/>
    <w:uiPriority w:val="99"/>
    <w:rsid w:val="001236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lag.global"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eflag.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2977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3</cp:revision>
  <dcterms:created xsi:type="dcterms:W3CDTF">2017-06-02T09:17:00Z</dcterms:created>
  <dcterms:modified xsi:type="dcterms:W3CDTF">2017-06-02T09:20:00Z</dcterms:modified>
</cp:coreProperties>
</file>