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EA" w:rsidRDefault="001949EA" w:rsidP="00865B4B">
      <w:pPr>
        <w:rPr>
          <w:lang w:val="en-US"/>
        </w:rPr>
      </w:pPr>
    </w:p>
    <w:tbl>
      <w:tblPr>
        <w:tblStyle w:val="Tablaconcuadrcula"/>
        <w:tblW w:w="9039" w:type="dxa"/>
        <w:tblInd w:w="392" w:type="dxa"/>
        <w:tblLook w:val="04A0" w:firstRow="1" w:lastRow="0" w:firstColumn="1" w:lastColumn="0" w:noHBand="0" w:noVBand="1"/>
      </w:tblPr>
      <w:tblGrid>
        <w:gridCol w:w="573"/>
        <w:gridCol w:w="252"/>
        <w:gridCol w:w="1472"/>
        <w:gridCol w:w="7344"/>
      </w:tblGrid>
      <w:tr w:rsidR="001949EA" w:rsidRPr="00D14A96" w:rsidTr="00213EFD">
        <w:tc>
          <w:tcPr>
            <w:tcW w:w="2126" w:type="dxa"/>
            <w:gridSpan w:val="3"/>
          </w:tcPr>
          <w:p w:rsidR="001949EA" w:rsidRPr="00D14A96" w:rsidRDefault="001949EA" w:rsidP="001949EA">
            <w:pPr>
              <w:ind w:left="142"/>
              <w:rPr>
                <w:b/>
              </w:rPr>
            </w:pPr>
            <w:r w:rsidRPr="00D14A96">
              <w:rPr>
                <w:b/>
              </w:rPr>
              <w:t>Indicator name</w:t>
            </w:r>
          </w:p>
        </w:tc>
        <w:tc>
          <w:tcPr>
            <w:tcW w:w="6913" w:type="dxa"/>
          </w:tcPr>
          <w:p w:rsidR="001949EA" w:rsidRPr="00D14A96" w:rsidRDefault="0016180A" w:rsidP="007B3185">
            <w:r>
              <w:t xml:space="preserve">   </w:t>
            </w:r>
            <w:r w:rsidR="00343690">
              <w:t>Tourism certification tools (3. P</w:t>
            </w:r>
            <w:bookmarkStart w:id="0" w:name="_GoBack"/>
            <w:bookmarkEnd w:id="0"/>
            <w:r w:rsidR="007B3185">
              <w:t>rotected areas)</w:t>
            </w:r>
          </w:p>
        </w:tc>
      </w:tr>
      <w:tr w:rsidR="001949EA" w:rsidRPr="00D14A96" w:rsidTr="00213EFD">
        <w:tc>
          <w:tcPr>
            <w:tcW w:w="2126" w:type="dxa"/>
            <w:gridSpan w:val="3"/>
          </w:tcPr>
          <w:p w:rsidR="001949EA" w:rsidRPr="00D14A96" w:rsidRDefault="001949EA" w:rsidP="001949EA">
            <w:pPr>
              <w:ind w:left="142"/>
              <w:rPr>
                <w:b/>
              </w:rPr>
            </w:pPr>
            <w:r w:rsidRPr="00D14A96">
              <w:rPr>
                <w:b/>
              </w:rPr>
              <w:t>ASSESSMENT</w:t>
            </w:r>
          </w:p>
        </w:tc>
        <w:tc>
          <w:tcPr>
            <w:tcW w:w="6913" w:type="dxa"/>
          </w:tcPr>
          <w:p w:rsidR="001949EA" w:rsidRPr="00D14A96" w:rsidRDefault="001949EA" w:rsidP="001949EA">
            <w:pPr>
              <w:ind w:left="142"/>
            </w:pPr>
          </w:p>
        </w:tc>
      </w:tr>
      <w:tr w:rsidR="001949EA" w:rsidRPr="00D14A96" w:rsidTr="00213EFD">
        <w:tc>
          <w:tcPr>
            <w:tcW w:w="2126" w:type="dxa"/>
            <w:gridSpan w:val="3"/>
          </w:tcPr>
          <w:p w:rsidR="001949EA" w:rsidRPr="00D14A96" w:rsidRDefault="001949EA" w:rsidP="001949EA">
            <w:pPr>
              <w:ind w:left="142"/>
            </w:pPr>
            <w:r w:rsidRPr="00D14A96">
              <w:t>Indicator Name</w:t>
            </w:r>
          </w:p>
        </w:tc>
        <w:tc>
          <w:tcPr>
            <w:tcW w:w="6913" w:type="dxa"/>
          </w:tcPr>
          <w:p w:rsidR="001632FF" w:rsidRPr="00D14A96" w:rsidRDefault="00D27473" w:rsidP="00DE5BE3">
            <w:pPr>
              <w:ind w:left="142"/>
              <w:rPr>
                <w:lang w:val="en-US"/>
              </w:rPr>
            </w:pPr>
            <w:r>
              <w:rPr>
                <w:lang w:val="en-US"/>
              </w:rPr>
              <w:t>TOUR009d –</w:t>
            </w:r>
            <w:r w:rsidR="001632FF" w:rsidRPr="00D14A96">
              <w:rPr>
                <w:lang w:val="en-US"/>
              </w:rPr>
              <w:t xml:space="preserve"> Number of protected areas awarded with the European Charter of Sustainable Tourism</w:t>
            </w:r>
          </w:p>
        </w:tc>
      </w:tr>
      <w:tr w:rsidR="001949EA" w:rsidRPr="00D14A96" w:rsidTr="00213EFD">
        <w:tc>
          <w:tcPr>
            <w:tcW w:w="2126" w:type="dxa"/>
            <w:gridSpan w:val="3"/>
          </w:tcPr>
          <w:p w:rsidR="001949EA" w:rsidRPr="00D14A96" w:rsidRDefault="001949EA" w:rsidP="001949EA">
            <w:pPr>
              <w:ind w:left="142"/>
            </w:pPr>
            <w:r w:rsidRPr="00D14A96">
              <w:t>Key policy question</w:t>
            </w:r>
          </w:p>
        </w:tc>
        <w:tc>
          <w:tcPr>
            <w:tcW w:w="6913" w:type="dxa"/>
          </w:tcPr>
          <w:p w:rsidR="007F218A" w:rsidRPr="00D14A96" w:rsidRDefault="0048329D" w:rsidP="00A23B1F">
            <w:pPr>
              <w:spacing w:line="276" w:lineRule="auto"/>
              <w:ind w:left="142"/>
              <w:rPr>
                <w:lang w:val="en-US"/>
              </w:rPr>
            </w:pPr>
            <w:r w:rsidRPr="00D14A96">
              <w:rPr>
                <w:lang w:val="en-US"/>
              </w:rPr>
              <w:t>What is the potential for promoting nature-based tourism in each territory?</w:t>
            </w:r>
          </w:p>
        </w:tc>
      </w:tr>
      <w:tr w:rsidR="001949EA" w:rsidRPr="00D14A96" w:rsidTr="00213EFD">
        <w:tc>
          <w:tcPr>
            <w:tcW w:w="2126" w:type="dxa"/>
            <w:gridSpan w:val="3"/>
          </w:tcPr>
          <w:p w:rsidR="001949EA" w:rsidRPr="00D14A96" w:rsidRDefault="001949EA" w:rsidP="001949EA">
            <w:pPr>
              <w:ind w:left="142"/>
            </w:pPr>
            <w:r w:rsidRPr="00D14A96">
              <w:t>Key message</w:t>
            </w:r>
          </w:p>
        </w:tc>
        <w:tc>
          <w:tcPr>
            <w:tcW w:w="6913" w:type="dxa"/>
          </w:tcPr>
          <w:p w:rsidR="00BA6C71" w:rsidRPr="00D14A96" w:rsidRDefault="00CC463D" w:rsidP="00CC463D">
            <w:pPr>
              <w:ind w:left="142"/>
            </w:pPr>
            <w:r w:rsidRPr="00D14A96">
              <w:t xml:space="preserve">A </w:t>
            </w:r>
            <w:proofErr w:type="gramStart"/>
            <w:r w:rsidRPr="00D14A96">
              <w:t>necessary prerequisite</w:t>
            </w:r>
            <w:proofErr w:type="gramEnd"/>
            <w:r w:rsidRPr="00D14A96">
              <w:t xml:space="preserve"> to help increase ecotourism and nature-based tourism is to offer to tourists appropriate places where to undertake those associated activities, such as protected areas. Europe has</w:t>
            </w:r>
            <w:r w:rsidR="00EC0274" w:rsidRPr="00D14A96">
              <w:t xml:space="preserve"> different levels of nature protection in terms of protected surface, depending on the country and the region inside each country.</w:t>
            </w:r>
            <w:r w:rsidR="00D27473">
              <w:t xml:space="preserve"> Complementary to strict nature protection, a certification tool such as the European Charter of Sustainable Tourism </w:t>
            </w:r>
            <w:proofErr w:type="gramStart"/>
            <w:r w:rsidR="00D27473">
              <w:t>has been developed</w:t>
            </w:r>
            <w:proofErr w:type="gramEnd"/>
            <w:r w:rsidR="00D27473">
              <w:t xml:space="preserve"> in order to identify and promote those protected areas committed to sustainable tourism.</w:t>
            </w:r>
          </w:p>
        </w:tc>
      </w:tr>
      <w:tr w:rsidR="001949EA" w:rsidRPr="00D14A96" w:rsidTr="00213EFD">
        <w:tc>
          <w:tcPr>
            <w:tcW w:w="2126" w:type="dxa"/>
            <w:gridSpan w:val="3"/>
          </w:tcPr>
          <w:p w:rsidR="001949EA" w:rsidRPr="00D14A96" w:rsidRDefault="001949EA" w:rsidP="001949EA">
            <w:pPr>
              <w:ind w:left="142"/>
            </w:pPr>
            <w:r w:rsidRPr="00D14A96">
              <w:t xml:space="preserve">Key assessment </w:t>
            </w:r>
          </w:p>
        </w:tc>
        <w:tc>
          <w:tcPr>
            <w:tcW w:w="6913" w:type="dxa"/>
          </w:tcPr>
          <w:p w:rsidR="00D45511" w:rsidRPr="00D14A96" w:rsidRDefault="007F5C35" w:rsidP="00D27473">
            <w:pPr>
              <w:spacing w:before="120"/>
              <w:ind w:left="146"/>
            </w:pPr>
            <w:r w:rsidRPr="00D14A96">
              <w:t xml:space="preserve">The European Charter for Sustainable Tourism is a certification tool for protected areas created and awarded by </w:t>
            </w:r>
            <w:proofErr w:type="spellStart"/>
            <w:r w:rsidRPr="00D14A96">
              <w:t>Europarc</w:t>
            </w:r>
            <w:proofErr w:type="spellEnd"/>
            <w:r w:rsidRPr="00D14A96">
              <w:t xml:space="preserve"> Federation. The Charter reflects the wish of authorities managing protected areas, of local stakeholders and representatives of the tourism business, to support and encourage tourism that accords with the principles of sustainable development. </w:t>
            </w:r>
            <w:r w:rsidR="00D45511" w:rsidRPr="00D14A96">
              <w:t xml:space="preserve">In this sense, the ECST can be seen as a booster for sustainable nature tourism in the places where it has been implemented. </w:t>
            </w:r>
            <w:r w:rsidRPr="00D14A96">
              <w:t>146 protected areas throughout Europe hold this certification</w:t>
            </w:r>
            <w:r w:rsidR="00D45511" w:rsidRPr="00D14A96">
              <w:t xml:space="preserve"> so far (2016)</w:t>
            </w:r>
            <w:r w:rsidRPr="00D14A96">
              <w:t>, although</w:t>
            </w:r>
            <w:r w:rsidR="008071F7" w:rsidRPr="00D14A96">
              <w:t xml:space="preserve"> more than 100 are concentrated in only three countries (Spain, France, and Italy). This fact shows the potential </w:t>
            </w:r>
            <w:r w:rsidR="00D45511" w:rsidRPr="00D14A96">
              <w:t>increase in the implementation and consolidation of this award</w:t>
            </w:r>
            <w:r w:rsidR="008071F7" w:rsidRPr="00D14A96">
              <w:t xml:space="preserve"> </w:t>
            </w:r>
            <w:r w:rsidR="00D45511" w:rsidRPr="00D14A96">
              <w:t>throughout the continent.</w:t>
            </w:r>
          </w:p>
          <w:p w:rsidR="00E14DB6" w:rsidRDefault="00866D58" w:rsidP="00D249E2">
            <w:pPr>
              <w:spacing w:before="120"/>
            </w:pPr>
            <w:r w:rsidRPr="00D14A96">
              <w:rPr>
                <w:noProof/>
                <w:lang w:val="ca-ES" w:eastAsia="ca-ES"/>
              </w:rPr>
              <w:drawing>
                <wp:inline distT="0" distB="0" distL="0" distR="0" wp14:anchorId="5D49C1C8" wp14:editId="719BF629">
                  <wp:extent cx="4584700" cy="27559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03909" w:rsidRPr="00D14A96" w:rsidRDefault="00103909" w:rsidP="00D249E2">
            <w:pPr>
              <w:spacing w:before="120"/>
            </w:pPr>
          </w:p>
        </w:tc>
      </w:tr>
      <w:tr w:rsidR="001949EA" w:rsidRPr="00D14A96" w:rsidTr="00213EFD">
        <w:tc>
          <w:tcPr>
            <w:tcW w:w="2126" w:type="dxa"/>
            <w:gridSpan w:val="3"/>
          </w:tcPr>
          <w:p w:rsidR="001949EA" w:rsidRPr="00D14A96" w:rsidRDefault="001949EA" w:rsidP="00841521">
            <w:pPr>
              <w:ind w:left="142"/>
              <w:jc w:val="left"/>
            </w:pPr>
            <w:r w:rsidRPr="00D14A96">
              <w:t>Specific policy question</w:t>
            </w:r>
          </w:p>
        </w:tc>
        <w:tc>
          <w:tcPr>
            <w:tcW w:w="6913" w:type="dxa"/>
          </w:tcPr>
          <w:p w:rsidR="001949EA" w:rsidRPr="00D14A96" w:rsidRDefault="0048329D" w:rsidP="001949EA">
            <w:pPr>
              <w:ind w:left="142"/>
            </w:pPr>
            <w:r w:rsidRPr="00D14A96">
              <w:t>What are the potential conflicts in land use by tourism (with other activities)?</w:t>
            </w:r>
          </w:p>
        </w:tc>
      </w:tr>
      <w:tr w:rsidR="001949EA" w:rsidRPr="00D14A96" w:rsidTr="00213EFD">
        <w:tc>
          <w:tcPr>
            <w:tcW w:w="2126" w:type="dxa"/>
            <w:gridSpan w:val="3"/>
          </w:tcPr>
          <w:p w:rsidR="001949EA" w:rsidRPr="00D14A96" w:rsidRDefault="001949EA" w:rsidP="001949EA">
            <w:pPr>
              <w:ind w:left="142"/>
            </w:pPr>
            <w:r w:rsidRPr="00D14A96">
              <w:lastRenderedPageBreak/>
              <w:t xml:space="preserve">Specific assessment </w:t>
            </w:r>
          </w:p>
        </w:tc>
        <w:tc>
          <w:tcPr>
            <w:tcW w:w="6913" w:type="dxa"/>
          </w:tcPr>
          <w:p w:rsidR="001949EA" w:rsidRPr="00D14A96" w:rsidRDefault="00177D44" w:rsidP="001949EA">
            <w:pPr>
              <w:ind w:left="142"/>
            </w:pPr>
            <w:r w:rsidRPr="00D14A96">
              <w:t xml:space="preserve">Protected areas visitation </w:t>
            </w:r>
            <w:r w:rsidR="00A16918" w:rsidRPr="00D14A96">
              <w:t>by tourists and leisure excursionists can be a benefit for those places and the surrounding areas, but at the same time it can create pressure and conflicts with other activities. In this case, though, there is no data at European level to analyse this issue so far.</w:t>
            </w:r>
          </w:p>
        </w:tc>
      </w:tr>
      <w:tr w:rsidR="001949EA" w:rsidRPr="00D14A96" w:rsidTr="00213EFD">
        <w:tc>
          <w:tcPr>
            <w:tcW w:w="2126" w:type="dxa"/>
            <w:gridSpan w:val="3"/>
          </w:tcPr>
          <w:p w:rsidR="001949EA" w:rsidRPr="00D14A96" w:rsidRDefault="001949EA" w:rsidP="001949EA">
            <w:pPr>
              <w:ind w:left="142"/>
            </w:pPr>
            <w:r w:rsidRPr="00D14A96">
              <w:t>Examples</w:t>
            </w:r>
          </w:p>
        </w:tc>
        <w:tc>
          <w:tcPr>
            <w:tcW w:w="6913" w:type="dxa"/>
          </w:tcPr>
          <w:p w:rsidR="001949EA" w:rsidRPr="00D14A96" w:rsidRDefault="001949EA" w:rsidP="001949EA">
            <w:pPr>
              <w:ind w:left="142"/>
            </w:pPr>
          </w:p>
        </w:tc>
      </w:tr>
      <w:tr w:rsidR="001949EA" w:rsidRPr="00D14A96" w:rsidTr="00213EFD">
        <w:tc>
          <w:tcPr>
            <w:tcW w:w="2126" w:type="dxa"/>
            <w:gridSpan w:val="3"/>
          </w:tcPr>
          <w:p w:rsidR="001949EA" w:rsidRPr="00D14A96" w:rsidRDefault="001949EA" w:rsidP="001949EA">
            <w:pPr>
              <w:ind w:left="142"/>
              <w:rPr>
                <w:b/>
              </w:rPr>
            </w:pPr>
            <w:r w:rsidRPr="00D14A96">
              <w:rPr>
                <w:b/>
              </w:rPr>
              <w:t>SPECIFICATIONS</w:t>
            </w:r>
          </w:p>
        </w:tc>
        <w:tc>
          <w:tcPr>
            <w:tcW w:w="6913" w:type="dxa"/>
          </w:tcPr>
          <w:p w:rsidR="001949EA" w:rsidRPr="00D14A96" w:rsidRDefault="001949EA" w:rsidP="001949EA">
            <w:pPr>
              <w:ind w:left="142"/>
            </w:pPr>
          </w:p>
        </w:tc>
      </w:tr>
      <w:tr w:rsidR="001949EA" w:rsidRPr="00D14A96" w:rsidTr="00213EFD">
        <w:tc>
          <w:tcPr>
            <w:tcW w:w="2126" w:type="dxa"/>
            <w:gridSpan w:val="3"/>
          </w:tcPr>
          <w:p w:rsidR="001949EA" w:rsidRPr="00D14A96" w:rsidRDefault="001949EA" w:rsidP="001949EA">
            <w:pPr>
              <w:ind w:left="142"/>
              <w:rPr>
                <w:b/>
              </w:rPr>
            </w:pPr>
            <w:r w:rsidRPr="00D14A96">
              <w:t>Indicator definition</w:t>
            </w:r>
          </w:p>
        </w:tc>
        <w:tc>
          <w:tcPr>
            <w:tcW w:w="6913" w:type="dxa"/>
          </w:tcPr>
          <w:p w:rsidR="007F5C35" w:rsidRPr="00D14A96" w:rsidRDefault="007F5C35" w:rsidP="009A2080">
            <w:pPr>
              <w:ind w:left="142"/>
              <w:rPr>
                <w:lang w:val="en-US"/>
              </w:rPr>
            </w:pPr>
            <w:r w:rsidRPr="00D14A96">
              <w:rPr>
                <w:lang w:val="en-US"/>
              </w:rPr>
              <w:t>Number of protected areas per country awarded with the European Charter for Sustainable Tourism.</w:t>
            </w:r>
          </w:p>
        </w:tc>
      </w:tr>
      <w:tr w:rsidR="001949EA" w:rsidRPr="00D14A96" w:rsidTr="00213EFD">
        <w:tc>
          <w:tcPr>
            <w:tcW w:w="2126" w:type="dxa"/>
            <w:gridSpan w:val="3"/>
            <w:tcBorders>
              <w:bottom w:val="single" w:sz="4" w:space="0" w:color="auto"/>
            </w:tcBorders>
          </w:tcPr>
          <w:p w:rsidR="001949EA" w:rsidRPr="00D14A96" w:rsidRDefault="001949EA" w:rsidP="001949EA">
            <w:pPr>
              <w:ind w:left="142"/>
            </w:pPr>
            <w:r w:rsidRPr="00D14A96">
              <w:t>DPSIR</w:t>
            </w:r>
          </w:p>
        </w:tc>
        <w:tc>
          <w:tcPr>
            <w:tcW w:w="6913" w:type="dxa"/>
            <w:tcBorders>
              <w:bottom w:val="single" w:sz="4" w:space="0" w:color="auto"/>
            </w:tcBorders>
          </w:tcPr>
          <w:p w:rsidR="001949EA" w:rsidRPr="00D14A96" w:rsidRDefault="00221D7B" w:rsidP="001949EA">
            <w:pPr>
              <w:ind w:left="142"/>
            </w:pPr>
            <w:r w:rsidRPr="00D14A96">
              <w:t>R</w:t>
            </w:r>
          </w:p>
        </w:tc>
      </w:tr>
      <w:tr w:rsidR="001949EA" w:rsidRPr="00D14A96" w:rsidTr="00213EFD">
        <w:tc>
          <w:tcPr>
            <w:tcW w:w="2126" w:type="dxa"/>
            <w:gridSpan w:val="3"/>
            <w:tcBorders>
              <w:bottom w:val="single" w:sz="4" w:space="0" w:color="C4BC96" w:themeColor="background2" w:themeShade="BF"/>
            </w:tcBorders>
          </w:tcPr>
          <w:p w:rsidR="001949EA" w:rsidRPr="00D14A96" w:rsidRDefault="001949EA" w:rsidP="001949EA">
            <w:pPr>
              <w:ind w:left="142"/>
            </w:pPr>
            <w:r w:rsidRPr="00D14A96">
              <w:t>Justification</w:t>
            </w:r>
          </w:p>
        </w:tc>
        <w:tc>
          <w:tcPr>
            <w:tcW w:w="6913" w:type="dxa"/>
            <w:tcBorders>
              <w:bottom w:val="single" w:sz="4" w:space="0" w:color="C4BC96" w:themeColor="background2" w:themeShade="BF"/>
            </w:tcBorders>
          </w:tcPr>
          <w:p w:rsidR="001949EA" w:rsidRPr="00D14A96" w:rsidRDefault="001949EA" w:rsidP="001949EA">
            <w:pPr>
              <w:ind w:left="142"/>
            </w:pPr>
          </w:p>
        </w:tc>
      </w:tr>
      <w:tr w:rsidR="001949EA" w:rsidRPr="00D14A96" w:rsidTr="00213EFD">
        <w:tc>
          <w:tcPr>
            <w:tcW w:w="959" w:type="dxa"/>
            <w:gridSpan w:val="2"/>
            <w:tcBorders>
              <w:top w:val="single" w:sz="4" w:space="0" w:color="C4BC96" w:themeColor="background2" w:themeShade="BF"/>
              <w:bottom w:val="nil"/>
              <w:right w:val="nil"/>
            </w:tcBorders>
          </w:tcPr>
          <w:p w:rsidR="001949EA" w:rsidRPr="00D14A96" w:rsidRDefault="001949EA" w:rsidP="001949EA">
            <w:pPr>
              <w:ind w:left="142"/>
            </w:pPr>
          </w:p>
        </w:tc>
        <w:tc>
          <w:tcPr>
            <w:tcW w:w="1167" w:type="dxa"/>
            <w:tcBorders>
              <w:top w:val="single" w:sz="4" w:space="0" w:color="C4BC96" w:themeColor="background2" w:themeShade="BF"/>
              <w:left w:val="nil"/>
            </w:tcBorders>
          </w:tcPr>
          <w:p w:rsidR="001949EA" w:rsidRPr="00D14A96" w:rsidRDefault="001949EA" w:rsidP="001949EA">
            <w:pPr>
              <w:ind w:left="142"/>
            </w:pPr>
            <w:r w:rsidRPr="00D14A96">
              <w:t>Rationale</w:t>
            </w:r>
          </w:p>
        </w:tc>
        <w:tc>
          <w:tcPr>
            <w:tcW w:w="6913" w:type="dxa"/>
            <w:tcBorders>
              <w:top w:val="single" w:sz="4" w:space="0" w:color="C4BC96" w:themeColor="background2" w:themeShade="BF"/>
            </w:tcBorders>
          </w:tcPr>
          <w:p w:rsidR="001949EA" w:rsidRPr="00D14A96" w:rsidRDefault="0048329D" w:rsidP="00CD6D78">
            <w:pPr>
              <w:ind w:left="142"/>
              <w:rPr>
                <w:lang w:val="en-US"/>
              </w:rPr>
            </w:pPr>
            <w:r w:rsidRPr="00D14A96">
              <w:rPr>
                <w:lang w:val="en-US"/>
              </w:rPr>
              <w:t>The more the territory under any nature protection scheme (Natura 2000, national and regional protected areas, etc.) is protected, the highest the probability to increase its use for nature-based tourism or ecotourism, as protected areas are the key destinations for these types of tourism.</w:t>
            </w:r>
            <w:r w:rsidR="00D27473">
              <w:rPr>
                <w:lang w:val="en-US"/>
              </w:rPr>
              <w:t xml:space="preserve"> This should even be more evident in the case of those protected areas that </w:t>
            </w:r>
            <w:proofErr w:type="gramStart"/>
            <w:r w:rsidR="00D27473">
              <w:rPr>
                <w:lang w:val="en-US"/>
              </w:rPr>
              <w:t>have been recognized</w:t>
            </w:r>
            <w:proofErr w:type="gramEnd"/>
            <w:r w:rsidR="00D27473">
              <w:rPr>
                <w:lang w:val="en-US"/>
              </w:rPr>
              <w:t xml:space="preserve"> as “sustainable nature destinations”, such as those ones certified as ECST.</w:t>
            </w:r>
          </w:p>
        </w:tc>
      </w:tr>
      <w:tr w:rsidR="001949EA" w:rsidRPr="00D14A96" w:rsidTr="00213EFD">
        <w:tc>
          <w:tcPr>
            <w:tcW w:w="959" w:type="dxa"/>
            <w:gridSpan w:val="2"/>
            <w:tcBorders>
              <w:top w:val="nil"/>
              <w:right w:val="nil"/>
            </w:tcBorders>
          </w:tcPr>
          <w:p w:rsidR="001949EA" w:rsidRPr="00D14A96" w:rsidRDefault="001949EA" w:rsidP="001949EA">
            <w:pPr>
              <w:ind w:left="142"/>
              <w:rPr>
                <w:lang w:val="en-US"/>
              </w:rPr>
            </w:pPr>
          </w:p>
        </w:tc>
        <w:tc>
          <w:tcPr>
            <w:tcW w:w="1167" w:type="dxa"/>
            <w:tcBorders>
              <w:left w:val="nil"/>
            </w:tcBorders>
          </w:tcPr>
          <w:p w:rsidR="001949EA" w:rsidRPr="00D14A96" w:rsidRDefault="001949EA" w:rsidP="001949EA">
            <w:pPr>
              <w:ind w:left="142"/>
            </w:pPr>
            <w:r w:rsidRPr="00D14A96">
              <w:t>References</w:t>
            </w:r>
          </w:p>
        </w:tc>
        <w:tc>
          <w:tcPr>
            <w:tcW w:w="6913" w:type="dxa"/>
          </w:tcPr>
          <w:p w:rsidR="001949EA" w:rsidRPr="00D14A96" w:rsidRDefault="001949EA" w:rsidP="00E80A5C">
            <w:pPr>
              <w:ind w:left="142"/>
            </w:pPr>
          </w:p>
        </w:tc>
      </w:tr>
      <w:tr w:rsidR="001949EA" w:rsidRPr="00D14A96" w:rsidTr="00213EFD">
        <w:tc>
          <w:tcPr>
            <w:tcW w:w="2126" w:type="dxa"/>
            <w:gridSpan w:val="3"/>
            <w:tcBorders>
              <w:bottom w:val="single" w:sz="4" w:space="0" w:color="C4BC96" w:themeColor="background2" w:themeShade="BF"/>
            </w:tcBorders>
          </w:tcPr>
          <w:p w:rsidR="001949EA" w:rsidRPr="00D14A96" w:rsidRDefault="001949EA" w:rsidP="001949EA">
            <w:pPr>
              <w:ind w:left="142"/>
            </w:pPr>
            <w:r w:rsidRPr="00D14A96">
              <w:t>Policy context</w:t>
            </w:r>
          </w:p>
        </w:tc>
        <w:tc>
          <w:tcPr>
            <w:tcW w:w="6913" w:type="dxa"/>
            <w:tcBorders>
              <w:bottom w:val="single" w:sz="4" w:space="0" w:color="C4BC96" w:themeColor="background2" w:themeShade="BF"/>
            </w:tcBorders>
          </w:tcPr>
          <w:p w:rsidR="001949EA" w:rsidRPr="00D14A96" w:rsidRDefault="001949EA" w:rsidP="001949EA">
            <w:pPr>
              <w:ind w:left="142"/>
            </w:pPr>
          </w:p>
        </w:tc>
      </w:tr>
      <w:tr w:rsidR="001949EA" w:rsidRPr="00D14A96" w:rsidTr="00213EFD">
        <w:tc>
          <w:tcPr>
            <w:tcW w:w="959" w:type="dxa"/>
            <w:gridSpan w:val="2"/>
            <w:tcBorders>
              <w:top w:val="single" w:sz="4" w:space="0" w:color="C4BC96" w:themeColor="background2" w:themeShade="BF"/>
              <w:bottom w:val="nil"/>
              <w:right w:val="nil"/>
            </w:tcBorders>
          </w:tcPr>
          <w:p w:rsidR="001949EA" w:rsidRPr="00D14A96" w:rsidRDefault="001949EA" w:rsidP="001949EA">
            <w:pPr>
              <w:ind w:left="142"/>
            </w:pPr>
          </w:p>
        </w:tc>
        <w:tc>
          <w:tcPr>
            <w:tcW w:w="1167" w:type="dxa"/>
            <w:tcBorders>
              <w:top w:val="single" w:sz="4" w:space="0" w:color="C4BC96" w:themeColor="background2" w:themeShade="BF"/>
              <w:left w:val="nil"/>
            </w:tcBorders>
          </w:tcPr>
          <w:p w:rsidR="001949EA" w:rsidRPr="00D14A96" w:rsidRDefault="001949EA" w:rsidP="001949EA">
            <w:pPr>
              <w:ind w:left="142"/>
            </w:pPr>
            <w:r w:rsidRPr="00D14A96">
              <w:t>Policy context</w:t>
            </w:r>
          </w:p>
        </w:tc>
        <w:tc>
          <w:tcPr>
            <w:tcW w:w="6913" w:type="dxa"/>
            <w:tcBorders>
              <w:top w:val="single" w:sz="4" w:space="0" w:color="C4BC96" w:themeColor="background2" w:themeShade="BF"/>
            </w:tcBorders>
          </w:tcPr>
          <w:p w:rsidR="00F8529E" w:rsidRPr="00D14A96" w:rsidRDefault="00177D44" w:rsidP="00F8529E">
            <w:pPr>
              <w:ind w:left="142"/>
              <w:rPr>
                <w:lang w:val="en-US"/>
              </w:rPr>
            </w:pPr>
            <w:r w:rsidRPr="00D14A96">
              <w:rPr>
                <w:lang w:val="en-US"/>
              </w:rPr>
              <w:t xml:space="preserve">- </w:t>
            </w:r>
            <w:r w:rsidR="00F8529E" w:rsidRPr="00D14A96">
              <w:rPr>
                <w:lang w:val="en-US"/>
              </w:rPr>
              <w:t xml:space="preserve">EC and national policies on tourism and sustainable tourism. </w:t>
            </w:r>
          </w:p>
          <w:p w:rsidR="00F8529E" w:rsidRPr="00D14A96" w:rsidRDefault="00177D44" w:rsidP="00F8529E">
            <w:pPr>
              <w:ind w:left="142"/>
              <w:rPr>
                <w:lang w:val="en-US"/>
              </w:rPr>
            </w:pPr>
            <w:r w:rsidRPr="00D14A96">
              <w:rPr>
                <w:lang w:val="en-US"/>
              </w:rPr>
              <w:t xml:space="preserve">- </w:t>
            </w:r>
            <w:r w:rsidR="00F8529E" w:rsidRPr="00D14A96">
              <w:rPr>
                <w:lang w:val="en-US"/>
              </w:rPr>
              <w:t xml:space="preserve">EU regulations regarding </w:t>
            </w:r>
            <w:r w:rsidR="0048329D" w:rsidRPr="00D14A96">
              <w:rPr>
                <w:lang w:val="en-US"/>
              </w:rPr>
              <w:t>terrestrial</w:t>
            </w:r>
            <w:r w:rsidR="00F8529E" w:rsidRPr="00D14A96">
              <w:rPr>
                <w:lang w:val="en-US"/>
              </w:rPr>
              <w:t xml:space="preserve"> and marine ecosystems: Marine Strategy Framework Directive, Habitat Directive</w:t>
            </w:r>
          </w:p>
          <w:p w:rsidR="001949EA" w:rsidRPr="00D14A96" w:rsidRDefault="00177D44" w:rsidP="00F8529E">
            <w:pPr>
              <w:ind w:left="142"/>
              <w:rPr>
                <w:lang w:val="en-US"/>
              </w:rPr>
            </w:pPr>
            <w:r w:rsidRPr="00D14A96">
              <w:rPr>
                <w:lang w:val="en-US"/>
              </w:rPr>
              <w:t xml:space="preserve">- </w:t>
            </w:r>
            <w:r w:rsidR="00F8529E" w:rsidRPr="00D14A96">
              <w:rPr>
                <w:lang w:val="en-US"/>
              </w:rPr>
              <w:t>National and sub-national spatial planning regulations</w:t>
            </w:r>
          </w:p>
        </w:tc>
      </w:tr>
      <w:tr w:rsidR="001949EA" w:rsidRPr="00D14A96" w:rsidTr="00213EFD">
        <w:tc>
          <w:tcPr>
            <w:tcW w:w="959" w:type="dxa"/>
            <w:gridSpan w:val="2"/>
            <w:tcBorders>
              <w:top w:val="nil"/>
              <w:bottom w:val="nil"/>
              <w:right w:val="nil"/>
            </w:tcBorders>
          </w:tcPr>
          <w:p w:rsidR="001949EA" w:rsidRPr="00D14A96" w:rsidRDefault="001949EA" w:rsidP="001949EA">
            <w:pPr>
              <w:ind w:left="142"/>
              <w:rPr>
                <w:lang w:val="en-US"/>
              </w:rPr>
            </w:pPr>
          </w:p>
        </w:tc>
        <w:tc>
          <w:tcPr>
            <w:tcW w:w="1167" w:type="dxa"/>
            <w:tcBorders>
              <w:left w:val="nil"/>
            </w:tcBorders>
          </w:tcPr>
          <w:p w:rsidR="001949EA" w:rsidRPr="00D14A96" w:rsidRDefault="001949EA" w:rsidP="001949EA">
            <w:pPr>
              <w:ind w:left="142"/>
            </w:pPr>
            <w:r w:rsidRPr="00D14A96">
              <w:t>Targets</w:t>
            </w:r>
          </w:p>
        </w:tc>
        <w:tc>
          <w:tcPr>
            <w:tcW w:w="6913" w:type="dxa"/>
          </w:tcPr>
          <w:p w:rsidR="001949EA" w:rsidRPr="00D14A96" w:rsidRDefault="001949EA" w:rsidP="00E80A5C">
            <w:pPr>
              <w:ind w:left="142"/>
              <w:rPr>
                <w:lang w:val="en-US"/>
              </w:rPr>
            </w:pPr>
          </w:p>
        </w:tc>
      </w:tr>
      <w:tr w:rsidR="001949EA" w:rsidRPr="00D14A96" w:rsidTr="00213EFD">
        <w:tc>
          <w:tcPr>
            <w:tcW w:w="959" w:type="dxa"/>
            <w:gridSpan w:val="2"/>
            <w:tcBorders>
              <w:top w:val="nil"/>
              <w:bottom w:val="single" w:sz="4" w:space="0" w:color="auto"/>
              <w:right w:val="nil"/>
            </w:tcBorders>
          </w:tcPr>
          <w:p w:rsidR="001949EA" w:rsidRPr="00D14A96" w:rsidRDefault="001949EA" w:rsidP="001949EA">
            <w:pPr>
              <w:ind w:left="142"/>
              <w:rPr>
                <w:lang w:val="en-US"/>
              </w:rPr>
            </w:pPr>
          </w:p>
        </w:tc>
        <w:tc>
          <w:tcPr>
            <w:tcW w:w="1167" w:type="dxa"/>
            <w:tcBorders>
              <w:left w:val="nil"/>
              <w:bottom w:val="single" w:sz="4" w:space="0" w:color="auto"/>
            </w:tcBorders>
          </w:tcPr>
          <w:p w:rsidR="001949EA" w:rsidRPr="00D14A96" w:rsidRDefault="001949EA" w:rsidP="001949EA">
            <w:pPr>
              <w:ind w:left="142"/>
            </w:pPr>
            <w:r w:rsidRPr="00D14A96">
              <w:t>Related policy documents</w:t>
            </w:r>
          </w:p>
        </w:tc>
        <w:tc>
          <w:tcPr>
            <w:tcW w:w="6913" w:type="dxa"/>
            <w:tcBorders>
              <w:bottom w:val="single" w:sz="4" w:space="0" w:color="auto"/>
            </w:tcBorders>
          </w:tcPr>
          <w:p w:rsidR="001949EA" w:rsidRPr="00D14A96" w:rsidRDefault="001949EA" w:rsidP="001949EA">
            <w:pPr>
              <w:ind w:left="142"/>
            </w:pPr>
          </w:p>
        </w:tc>
      </w:tr>
      <w:tr w:rsidR="001949EA" w:rsidRPr="00D14A96" w:rsidTr="00213EFD">
        <w:tc>
          <w:tcPr>
            <w:tcW w:w="2126" w:type="dxa"/>
            <w:gridSpan w:val="3"/>
            <w:tcBorders>
              <w:bottom w:val="single" w:sz="4" w:space="0" w:color="C4BC96" w:themeColor="background2" w:themeShade="BF"/>
            </w:tcBorders>
          </w:tcPr>
          <w:p w:rsidR="001949EA" w:rsidRPr="00D14A96" w:rsidRDefault="001949EA" w:rsidP="001949EA">
            <w:pPr>
              <w:ind w:left="142"/>
            </w:pPr>
            <w:r w:rsidRPr="00D14A96">
              <w:t xml:space="preserve"> Methodology</w:t>
            </w:r>
          </w:p>
        </w:tc>
        <w:tc>
          <w:tcPr>
            <w:tcW w:w="6913" w:type="dxa"/>
            <w:tcBorders>
              <w:bottom w:val="single" w:sz="4" w:space="0" w:color="C4BC96" w:themeColor="background2" w:themeShade="BF"/>
            </w:tcBorders>
          </w:tcPr>
          <w:p w:rsidR="001949EA" w:rsidRPr="00D14A96" w:rsidRDefault="001949EA" w:rsidP="001949EA">
            <w:pPr>
              <w:ind w:left="142"/>
            </w:pPr>
          </w:p>
        </w:tc>
      </w:tr>
      <w:tr w:rsidR="001949EA" w:rsidRPr="00D14A96" w:rsidTr="00213EFD">
        <w:tc>
          <w:tcPr>
            <w:tcW w:w="600" w:type="dxa"/>
            <w:tcBorders>
              <w:top w:val="single" w:sz="4" w:space="0" w:color="C4BC96" w:themeColor="background2" w:themeShade="BF"/>
              <w:bottom w:val="nil"/>
              <w:right w:val="nil"/>
            </w:tcBorders>
          </w:tcPr>
          <w:p w:rsidR="001949EA" w:rsidRPr="00D14A96" w:rsidRDefault="001949EA" w:rsidP="001949EA">
            <w:pPr>
              <w:ind w:left="142"/>
            </w:pPr>
          </w:p>
        </w:tc>
        <w:tc>
          <w:tcPr>
            <w:tcW w:w="1526" w:type="dxa"/>
            <w:gridSpan w:val="2"/>
            <w:tcBorders>
              <w:top w:val="single" w:sz="4" w:space="0" w:color="C4BC96" w:themeColor="background2" w:themeShade="BF"/>
              <w:left w:val="nil"/>
            </w:tcBorders>
          </w:tcPr>
          <w:p w:rsidR="001949EA" w:rsidRPr="00D14A96" w:rsidRDefault="001949EA" w:rsidP="001949EA">
            <w:pPr>
              <w:ind w:left="142"/>
              <w:jc w:val="left"/>
            </w:pPr>
            <w:r w:rsidRPr="00D14A96">
              <w:t>Methodology for indicator calculation</w:t>
            </w:r>
          </w:p>
        </w:tc>
        <w:tc>
          <w:tcPr>
            <w:tcW w:w="6913" w:type="dxa"/>
            <w:tcBorders>
              <w:top w:val="single" w:sz="4" w:space="0" w:color="C4BC96" w:themeColor="background2" w:themeShade="BF"/>
            </w:tcBorders>
          </w:tcPr>
          <w:p w:rsidR="007F5C35" w:rsidRPr="00D14A96" w:rsidRDefault="007F5C35" w:rsidP="005D65E7">
            <w:pPr>
              <w:ind w:left="142"/>
            </w:pPr>
            <w:r w:rsidRPr="00D14A96">
              <w:t xml:space="preserve">Number of ECST awarded protected </w:t>
            </w:r>
            <w:r w:rsidR="00D27473">
              <w:t xml:space="preserve">areas according to </w:t>
            </w:r>
            <w:proofErr w:type="spellStart"/>
            <w:r w:rsidR="00D27473">
              <w:t>Europarc</w:t>
            </w:r>
            <w:proofErr w:type="spellEnd"/>
            <w:r w:rsidR="00D27473">
              <w:t xml:space="preserve"> Fede</w:t>
            </w:r>
            <w:r w:rsidRPr="00D14A96">
              <w:t xml:space="preserve">ration database. </w:t>
            </w:r>
          </w:p>
        </w:tc>
      </w:tr>
      <w:tr w:rsidR="001949EA" w:rsidRPr="00D14A96" w:rsidTr="00213EFD">
        <w:trPr>
          <w:cantSplit/>
        </w:trPr>
        <w:tc>
          <w:tcPr>
            <w:tcW w:w="600" w:type="dxa"/>
            <w:tcBorders>
              <w:top w:val="nil"/>
              <w:bottom w:val="nil"/>
              <w:right w:val="nil"/>
            </w:tcBorders>
          </w:tcPr>
          <w:p w:rsidR="001949EA" w:rsidRPr="00D14A96" w:rsidRDefault="001949EA" w:rsidP="001949EA">
            <w:pPr>
              <w:ind w:left="142"/>
            </w:pPr>
          </w:p>
        </w:tc>
        <w:tc>
          <w:tcPr>
            <w:tcW w:w="1526" w:type="dxa"/>
            <w:gridSpan w:val="2"/>
            <w:tcBorders>
              <w:left w:val="nil"/>
            </w:tcBorders>
          </w:tcPr>
          <w:p w:rsidR="001949EA" w:rsidRPr="00D14A96" w:rsidRDefault="001949EA" w:rsidP="001949EA">
            <w:pPr>
              <w:ind w:left="142"/>
            </w:pPr>
            <w:r w:rsidRPr="00D14A96">
              <w:t>Methodology for gap filling</w:t>
            </w:r>
          </w:p>
        </w:tc>
        <w:tc>
          <w:tcPr>
            <w:tcW w:w="6913" w:type="dxa"/>
          </w:tcPr>
          <w:p w:rsidR="001949EA" w:rsidRPr="00D14A96" w:rsidRDefault="001949EA" w:rsidP="001949EA">
            <w:pPr>
              <w:ind w:left="142"/>
            </w:pPr>
          </w:p>
        </w:tc>
      </w:tr>
      <w:tr w:rsidR="001949EA" w:rsidRPr="00D14A96" w:rsidTr="00213EFD">
        <w:tc>
          <w:tcPr>
            <w:tcW w:w="600" w:type="dxa"/>
            <w:tcBorders>
              <w:top w:val="nil"/>
              <w:right w:val="nil"/>
            </w:tcBorders>
          </w:tcPr>
          <w:p w:rsidR="001949EA" w:rsidRPr="00D14A96" w:rsidRDefault="001949EA" w:rsidP="001949EA">
            <w:pPr>
              <w:ind w:left="142"/>
            </w:pPr>
          </w:p>
        </w:tc>
        <w:tc>
          <w:tcPr>
            <w:tcW w:w="1526" w:type="dxa"/>
            <w:gridSpan w:val="2"/>
            <w:tcBorders>
              <w:left w:val="nil"/>
            </w:tcBorders>
          </w:tcPr>
          <w:p w:rsidR="001949EA" w:rsidRPr="00D14A96" w:rsidRDefault="001949EA" w:rsidP="001949EA">
            <w:pPr>
              <w:ind w:left="142"/>
            </w:pPr>
            <w:r w:rsidRPr="00D14A96">
              <w:t>References</w:t>
            </w:r>
          </w:p>
        </w:tc>
        <w:tc>
          <w:tcPr>
            <w:tcW w:w="6913" w:type="dxa"/>
          </w:tcPr>
          <w:p w:rsidR="001949EA" w:rsidRPr="00D14A96" w:rsidRDefault="001949EA" w:rsidP="001949EA">
            <w:pPr>
              <w:ind w:left="142"/>
            </w:pPr>
          </w:p>
        </w:tc>
      </w:tr>
      <w:tr w:rsidR="001949EA" w:rsidRPr="00D14A96" w:rsidTr="00213EFD">
        <w:tc>
          <w:tcPr>
            <w:tcW w:w="2126" w:type="dxa"/>
            <w:gridSpan w:val="3"/>
            <w:tcBorders>
              <w:bottom w:val="single" w:sz="4" w:space="0" w:color="auto"/>
            </w:tcBorders>
          </w:tcPr>
          <w:p w:rsidR="001949EA" w:rsidRPr="00D14A96" w:rsidRDefault="001949EA" w:rsidP="001949EA">
            <w:pPr>
              <w:ind w:left="142"/>
            </w:pPr>
            <w:r w:rsidRPr="00D14A96">
              <w:t>Data specifications</w:t>
            </w:r>
          </w:p>
        </w:tc>
        <w:tc>
          <w:tcPr>
            <w:tcW w:w="6913" w:type="dxa"/>
            <w:tcBorders>
              <w:bottom w:val="single" w:sz="4" w:space="0" w:color="auto"/>
            </w:tcBorders>
          </w:tcPr>
          <w:p w:rsidR="001949EA" w:rsidRPr="00D14A96" w:rsidRDefault="001949EA" w:rsidP="001949EA">
            <w:pPr>
              <w:ind w:left="142"/>
            </w:pPr>
          </w:p>
        </w:tc>
      </w:tr>
      <w:tr w:rsidR="001949EA" w:rsidRPr="00D14A96" w:rsidTr="00213EFD">
        <w:tc>
          <w:tcPr>
            <w:tcW w:w="2126" w:type="dxa"/>
            <w:gridSpan w:val="3"/>
            <w:tcBorders>
              <w:bottom w:val="single" w:sz="4" w:space="0" w:color="C4BC96" w:themeColor="background2" w:themeShade="BF"/>
            </w:tcBorders>
          </w:tcPr>
          <w:p w:rsidR="001949EA" w:rsidRPr="00D14A96" w:rsidRDefault="001949EA" w:rsidP="001949EA">
            <w:pPr>
              <w:ind w:left="142"/>
            </w:pPr>
            <w:r w:rsidRPr="00D14A96">
              <w:t xml:space="preserve"> Uncertainties</w:t>
            </w:r>
          </w:p>
        </w:tc>
        <w:tc>
          <w:tcPr>
            <w:tcW w:w="6913" w:type="dxa"/>
            <w:tcBorders>
              <w:bottom w:val="single" w:sz="4" w:space="0" w:color="C4BC96" w:themeColor="background2" w:themeShade="BF"/>
            </w:tcBorders>
          </w:tcPr>
          <w:p w:rsidR="001949EA" w:rsidRPr="00D14A96" w:rsidRDefault="001949EA" w:rsidP="001949EA">
            <w:pPr>
              <w:ind w:left="142"/>
            </w:pPr>
          </w:p>
        </w:tc>
      </w:tr>
      <w:tr w:rsidR="001949EA" w:rsidRPr="00D14A96" w:rsidTr="00213EFD">
        <w:tc>
          <w:tcPr>
            <w:tcW w:w="600" w:type="dxa"/>
            <w:tcBorders>
              <w:top w:val="single" w:sz="4" w:space="0" w:color="C4BC96" w:themeColor="background2" w:themeShade="BF"/>
              <w:bottom w:val="nil"/>
              <w:right w:val="nil"/>
            </w:tcBorders>
          </w:tcPr>
          <w:p w:rsidR="001949EA" w:rsidRPr="00D14A96" w:rsidRDefault="001949EA" w:rsidP="001949EA">
            <w:pPr>
              <w:ind w:left="142"/>
            </w:pPr>
          </w:p>
        </w:tc>
        <w:tc>
          <w:tcPr>
            <w:tcW w:w="1526" w:type="dxa"/>
            <w:gridSpan w:val="2"/>
            <w:tcBorders>
              <w:top w:val="single" w:sz="4" w:space="0" w:color="C4BC96" w:themeColor="background2" w:themeShade="BF"/>
              <w:left w:val="nil"/>
            </w:tcBorders>
          </w:tcPr>
          <w:p w:rsidR="001949EA" w:rsidRPr="00D14A96" w:rsidRDefault="001949EA" w:rsidP="001949EA">
            <w:pPr>
              <w:ind w:left="142"/>
            </w:pPr>
            <w:r w:rsidRPr="00D14A96">
              <w:t>Methodology uncertainty</w:t>
            </w:r>
          </w:p>
        </w:tc>
        <w:tc>
          <w:tcPr>
            <w:tcW w:w="6913" w:type="dxa"/>
            <w:tcBorders>
              <w:top w:val="single" w:sz="4" w:space="0" w:color="C4BC96" w:themeColor="background2" w:themeShade="BF"/>
            </w:tcBorders>
          </w:tcPr>
          <w:p w:rsidR="001949EA" w:rsidRPr="00D14A96" w:rsidRDefault="001949EA" w:rsidP="001949EA">
            <w:pPr>
              <w:ind w:left="142"/>
            </w:pPr>
          </w:p>
        </w:tc>
      </w:tr>
      <w:tr w:rsidR="001949EA" w:rsidRPr="00D14A96" w:rsidTr="00213EFD">
        <w:tc>
          <w:tcPr>
            <w:tcW w:w="600" w:type="dxa"/>
            <w:tcBorders>
              <w:top w:val="nil"/>
              <w:bottom w:val="nil"/>
              <w:right w:val="nil"/>
            </w:tcBorders>
          </w:tcPr>
          <w:p w:rsidR="001949EA" w:rsidRPr="00D14A96" w:rsidRDefault="001949EA" w:rsidP="001949EA">
            <w:pPr>
              <w:ind w:left="142"/>
            </w:pPr>
          </w:p>
        </w:tc>
        <w:tc>
          <w:tcPr>
            <w:tcW w:w="1526" w:type="dxa"/>
            <w:gridSpan w:val="2"/>
            <w:tcBorders>
              <w:left w:val="nil"/>
            </w:tcBorders>
          </w:tcPr>
          <w:p w:rsidR="001949EA" w:rsidRPr="00D14A96" w:rsidRDefault="001949EA" w:rsidP="001949EA">
            <w:pPr>
              <w:ind w:left="142"/>
              <w:jc w:val="left"/>
            </w:pPr>
            <w:r w:rsidRPr="00D14A96">
              <w:t>Data sets uncertainties</w:t>
            </w:r>
          </w:p>
        </w:tc>
        <w:tc>
          <w:tcPr>
            <w:tcW w:w="6913" w:type="dxa"/>
          </w:tcPr>
          <w:p w:rsidR="001949EA" w:rsidRPr="00D14A96" w:rsidRDefault="001949EA" w:rsidP="001949EA">
            <w:pPr>
              <w:pStyle w:val="Textocomentario"/>
              <w:ind w:left="142"/>
              <w:rPr>
                <w:rFonts w:ascii="Times New Roman" w:hAnsi="Times New Roman"/>
                <w:sz w:val="24"/>
                <w:szCs w:val="24"/>
              </w:rPr>
            </w:pPr>
          </w:p>
        </w:tc>
      </w:tr>
      <w:tr w:rsidR="001949EA" w:rsidRPr="00D14A96" w:rsidTr="00213EFD">
        <w:tc>
          <w:tcPr>
            <w:tcW w:w="600" w:type="dxa"/>
            <w:tcBorders>
              <w:top w:val="nil"/>
              <w:right w:val="nil"/>
            </w:tcBorders>
          </w:tcPr>
          <w:p w:rsidR="001949EA" w:rsidRPr="00D14A96" w:rsidRDefault="001949EA" w:rsidP="001949EA">
            <w:pPr>
              <w:ind w:left="142"/>
              <w:rPr>
                <w:lang w:val="en-US"/>
              </w:rPr>
            </w:pPr>
          </w:p>
        </w:tc>
        <w:tc>
          <w:tcPr>
            <w:tcW w:w="1526" w:type="dxa"/>
            <w:gridSpan w:val="2"/>
            <w:tcBorders>
              <w:left w:val="nil"/>
            </w:tcBorders>
          </w:tcPr>
          <w:p w:rsidR="001949EA" w:rsidRPr="00D14A96" w:rsidRDefault="001949EA" w:rsidP="001949EA">
            <w:pPr>
              <w:ind w:left="142"/>
            </w:pPr>
            <w:r w:rsidRPr="00D14A96">
              <w:t xml:space="preserve">Rationale </w:t>
            </w:r>
            <w:r w:rsidRPr="00D14A96">
              <w:lastRenderedPageBreak/>
              <w:t>uncertainty</w:t>
            </w:r>
          </w:p>
        </w:tc>
        <w:tc>
          <w:tcPr>
            <w:tcW w:w="6913" w:type="dxa"/>
          </w:tcPr>
          <w:p w:rsidR="00D45511" w:rsidRPr="00D14A96" w:rsidRDefault="00177D44" w:rsidP="00D27473">
            <w:pPr>
              <w:ind w:left="142"/>
              <w:rPr>
                <w:lang w:val="en-US"/>
              </w:rPr>
            </w:pPr>
            <w:r w:rsidRPr="00D14A96">
              <w:rPr>
                <w:lang w:val="en-US"/>
              </w:rPr>
              <w:lastRenderedPageBreak/>
              <w:t xml:space="preserve">Not all the ecotourism and nature based tourism activity takes place </w:t>
            </w:r>
            <w:r w:rsidRPr="00D14A96">
              <w:rPr>
                <w:lang w:val="en-US"/>
              </w:rPr>
              <w:lastRenderedPageBreak/>
              <w:t xml:space="preserve">inside protected areas, nor all the protected areas receive the same level of tourism visitation. </w:t>
            </w:r>
            <w:r w:rsidR="00D27473">
              <w:rPr>
                <w:lang w:val="en-US"/>
              </w:rPr>
              <w:t>Moreover, n</w:t>
            </w:r>
            <w:r w:rsidR="00D45511" w:rsidRPr="00D14A96">
              <w:rPr>
                <w:lang w:val="en-US"/>
              </w:rPr>
              <w:t xml:space="preserve">ot all the protected areas that promote sustainable tourism </w:t>
            </w:r>
            <w:proofErr w:type="gramStart"/>
            <w:r w:rsidR="00D45511" w:rsidRPr="00D14A96">
              <w:rPr>
                <w:lang w:val="en-US"/>
              </w:rPr>
              <w:t>have been awarded</w:t>
            </w:r>
            <w:proofErr w:type="gramEnd"/>
            <w:r w:rsidR="00D45511" w:rsidRPr="00D14A96">
              <w:rPr>
                <w:lang w:val="en-US"/>
              </w:rPr>
              <w:t xml:space="preserve"> with ECST. However, it can be considered an indicator of commitment towards sustainability from management authorities and related stakeholders.</w:t>
            </w:r>
          </w:p>
        </w:tc>
      </w:tr>
      <w:tr w:rsidR="001949EA" w:rsidRPr="00D14A96" w:rsidTr="00213EFD">
        <w:tc>
          <w:tcPr>
            <w:tcW w:w="2126" w:type="dxa"/>
            <w:gridSpan w:val="3"/>
          </w:tcPr>
          <w:p w:rsidR="001949EA" w:rsidRPr="00D14A96" w:rsidRDefault="001949EA" w:rsidP="001949EA">
            <w:pPr>
              <w:ind w:left="142"/>
            </w:pPr>
            <w:r w:rsidRPr="00D14A96">
              <w:lastRenderedPageBreak/>
              <w:t>Further work</w:t>
            </w:r>
          </w:p>
        </w:tc>
        <w:tc>
          <w:tcPr>
            <w:tcW w:w="6913" w:type="dxa"/>
          </w:tcPr>
          <w:p w:rsidR="001949EA" w:rsidRPr="00D14A96" w:rsidRDefault="001949EA" w:rsidP="00E80A5C">
            <w:pPr>
              <w:ind w:left="142"/>
              <w:rPr>
                <w:lang w:val="en-US"/>
              </w:rPr>
            </w:pPr>
          </w:p>
        </w:tc>
      </w:tr>
      <w:tr w:rsidR="001949EA" w:rsidRPr="0011039F" w:rsidTr="00213EFD">
        <w:tc>
          <w:tcPr>
            <w:tcW w:w="2126" w:type="dxa"/>
            <w:gridSpan w:val="3"/>
          </w:tcPr>
          <w:p w:rsidR="001949EA" w:rsidRPr="00D14A96" w:rsidRDefault="001949EA" w:rsidP="001949EA">
            <w:pPr>
              <w:ind w:left="142"/>
              <w:jc w:val="left"/>
            </w:pPr>
            <w:r w:rsidRPr="00D14A96">
              <w:t xml:space="preserve">Ownership and contacts </w:t>
            </w:r>
          </w:p>
        </w:tc>
        <w:tc>
          <w:tcPr>
            <w:tcW w:w="6913" w:type="dxa"/>
          </w:tcPr>
          <w:p w:rsidR="001949EA" w:rsidRPr="0011039F" w:rsidRDefault="00177D44" w:rsidP="001949EA">
            <w:pPr>
              <w:ind w:left="142"/>
            </w:pPr>
            <w:r w:rsidRPr="00D14A96">
              <w:t>ETC – ULS</w:t>
            </w:r>
            <w:r>
              <w:t xml:space="preserve"> </w:t>
            </w:r>
          </w:p>
        </w:tc>
      </w:tr>
    </w:tbl>
    <w:p w:rsidR="00103909" w:rsidRDefault="00103909" w:rsidP="00C91D75">
      <w:pPr>
        <w:jc w:val="left"/>
        <w:rPr>
          <w:lang w:val="en-US"/>
        </w:rPr>
      </w:pPr>
    </w:p>
    <w:sectPr w:rsidR="00103909" w:rsidSect="001949EA">
      <w:pgSz w:w="11906" w:h="16838"/>
      <w:pgMar w:top="1417" w:right="170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Gothic"/>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EA"/>
    <w:rsid w:val="00005AE7"/>
    <w:rsid w:val="00040F85"/>
    <w:rsid w:val="000906B0"/>
    <w:rsid w:val="00093E7D"/>
    <w:rsid w:val="000C6C72"/>
    <w:rsid w:val="00103909"/>
    <w:rsid w:val="00127B8D"/>
    <w:rsid w:val="0014401F"/>
    <w:rsid w:val="0016180A"/>
    <w:rsid w:val="001632FF"/>
    <w:rsid w:val="00177D44"/>
    <w:rsid w:val="001949EA"/>
    <w:rsid w:val="001B017C"/>
    <w:rsid w:val="00221D7B"/>
    <w:rsid w:val="002426E7"/>
    <w:rsid w:val="00253668"/>
    <w:rsid w:val="002741B5"/>
    <w:rsid w:val="0029618D"/>
    <w:rsid w:val="00343690"/>
    <w:rsid w:val="00447F24"/>
    <w:rsid w:val="00456402"/>
    <w:rsid w:val="0048329D"/>
    <w:rsid w:val="004A215D"/>
    <w:rsid w:val="004E31E0"/>
    <w:rsid w:val="00596B45"/>
    <w:rsid w:val="005D65E7"/>
    <w:rsid w:val="005F5C07"/>
    <w:rsid w:val="00634341"/>
    <w:rsid w:val="006568A9"/>
    <w:rsid w:val="00734956"/>
    <w:rsid w:val="007B3185"/>
    <w:rsid w:val="007F0071"/>
    <w:rsid w:val="007F218A"/>
    <w:rsid w:val="007F5C35"/>
    <w:rsid w:val="008071F7"/>
    <w:rsid w:val="00841521"/>
    <w:rsid w:val="00865B4B"/>
    <w:rsid w:val="00866D58"/>
    <w:rsid w:val="00872021"/>
    <w:rsid w:val="008927B4"/>
    <w:rsid w:val="00892EC7"/>
    <w:rsid w:val="008A19C6"/>
    <w:rsid w:val="008A6F13"/>
    <w:rsid w:val="009A2080"/>
    <w:rsid w:val="009C6C56"/>
    <w:rsid w:val="009F267D"/>
    <w:rsid w:val="00A16918"/>
    <w:rsid w:val="00A23B1F"/>
    <w:rsid w:val="00A55453"/>
    <w:rsid w:val="00AA2357"/>
    <w:rsid w:val="00B26116"/>
    <w:rsid w:val="00B3423F"/>
    <w:rsid w:val="00B621BD"/>
    <w:rsid w:val="00B912A5"/>
    <w:rsid w:val="00BA6C71"/>
    <w:rsid w:val="00BD4DF7"/>
    <w:rsid w:val="00C1475F"/>
    <w:rsid w:val="00C7679E"/>
    <w:rsid w:val="00C91D75"/>
    <w:rsid w:val="00CC463D"/>
    <w:rsid w:val="00CD6D78"/>
    <w:rsid w:val="00CE0832"/>
    <w:rsid w:val="00D14A96"/>
    <w:rsid w:val="00D249E2"/>
    <w:rsid w:val="00D27473"/>
    <w:rsid w:val="00D32C89"/>
    <w:rsid w:val="00D45511"/>
    <w:rsid w:val="00D6314E"/>
    <w:rsid w:val="00D970BF"/>
    <w:rsid w:val="00DA02F3"/>
    <w:rsid w:val="00DA34AD"/>
    <w:rsid w:val="00DE5BE3"/>
    <w:rsid w:val="00E14DB6"/>
    <w:rsid w:val="00E55AE6"/>
    <w:rsid w:val="00E80A5C"/>
    <w:rsid w:val="00E864FA"/>
    <w:rsid w:val="00EA07CE"/>
    <w:rsid w:val="00EC0274"/>
    <w:rsid w:val="00EF7796"/>
    <w:rsid w:val="00F321E4"/>
    <w:rsid w:val="00F8529E"/>
    <w:rsid w:val="00FD711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5"/>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F85"/>
    <w:pPr>
      <w:spacing w:after="0" w:line="240" w:lineRule="auto"/>
      <w:jc w:val="both"/>
    </w:pPr>
    <w:rPr>
      <w:rFonts w:ascii="Times New Roman" w:eastAsia="ヒラギノ角ゴ Pro W3" w:hAnsi="Times New Roman" w:cs="Times New Roman"/>
      <w:color w:val="000000"/>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49EA"/>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style>
  <w:style w:type="paragraph" w:styleId="Textocomentario">
    <w:name w:val="annotation text"/>
    <w:basedOn w:val="Normal"/>
    <w:link w:val="TextocomentarioCar"/>
    <w:uiPriority w:val="99"/>
    <w:rsid w:val="001949EA"/>
    <w:pPr>
      <w:spacing w:after="200"/>
      <w:jc w:val="left"/>
    </w:pPr>
    <w:rPr>
      <w:rFonts w:ascii="Calibri" w:eastAsia="Times New Roman" w:hAnsi="Calibri"/>
      <w:color w:val="auto"/>
      <w:sz w:val="20"/>
      <w:szCs w:val="20"/>
      <w:lang w:eastAsia="en-GB"/>
    </w:rPr>
  </w:style>
  <w:style w:type="character" w:customStyle="1" w:styleId="TextocomentarioCar">
    <w:name w:val="Texto comentario Car"/>
    <w:basedOn w:val="Fuentedeprrafopredeter"/>
    <w:link w:val="Textocomentario"/>
    <w:uiPriority w:val="99"/>
    <w:rsid w:val="001949EA"/>
    <w:rPr>
      <w:rFonts w:ascii="Calibri" w:eastAsia="Times New Roman" w:hAnsi="Calibri" w:cs="Times New Roman"/>
      <w:sz w:val="20"/>
      <w:szCs w:val="20"/>
      <w:lang w:val="en-GB" w:eastAsia="en-GB"/>
    </w:rPr>
  </w:style>
  <w:style w:type="paragraph" w:styleId="Textodeglobo">
    <w:name w:val="Balloon Text"/>
    <w:basedOn w:val="Normal"/>
    <w:link w:val="TextodegloboCar"/>
    <w:uiPriority w:val="99"/>
    <w:semiHidden/>
    <w:unhideWhenUsed/>
    <w:rsid w:val="001949EA"/>
    <w:rPr>
      <w:rFonts w:ascii="Tahoma" w:hAnsi="Tahoma" w:cs="Tahoma"/>
      <w:sz w:val="16"/>
      <w:szCs w:val="16"/>
    </w:rPr>
  </w:style>
  <w:style w:type="character" w:customStyle="1" w:styleId="TextodegloboCar">
    <w:name w:val="Texto de globo Car"/>
    <w:basedOn w:val="Fuentedeprrafopredeter"/>
    <w:link w:val="Textodeglobo"/>
    <w:uiPriority w:val="99"/>
    <w:semiHidden/>
    <w:rsid w:val="001949EA"/>
    <w:rPr>
      <w:rFonts w:ascii="Tahoma" w:eastAsia="ヒラギノ角ゴ Pro W3"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568</Words>
  <Characters>3239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Francesc Romagosa Casals</cp:lastModifiedBy>
  <cp:revision>5</cp:revision>
  <dcterms:created xsi:type="dcterms:W3CDTF">2017-06-02T08:56:00Z</dcterms:created>
  <dcterms:modified xsi:type="dcterms:W3CDTF">2017-06-02T09:15:00Z</dcterms:modified>
</cp:coreProperties>
</file>