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7D" w:rsidRDefault="0076297D" w:rsidP="0076297D">
      <w:pPr>
        <w:pStyle w:val="Heading1"/>
        <w:jc w:val="center"/>
      </w:pPr>
      <w:r>
        <w:t xml:space="preserve">2013 Freshwater </w:t>
      </w:r>
      <w:proofErr w:type="spellStart"/>
      <w:r>
        <w:t>Eionet</w:t>
      </w:r>
      <w:proofErr w:type="spellEnd"/>
      <w:r>
        <w:t xml:space="preserve"> Workshop - 19/20 September 2013, Copenhagen</w:t>
      </w:r>
    </w:p>
    <w:p w:rsidR="004F1F19" w:rsidRPr="0076297D" w:rsidRDefault="0049468A" w:rsidP="0076297D">
      <w:pPr>
        <w:pStyle w:val="Heading2"/>
        <w:jc w:val="center"/>
      </w:pPr>
      <w:r w:rsidRPr="0076297D">
        <w:t>Session 2: Data quality and aggregation</w:t>
      </w:r>
    </w:p>
    <w:p w:rsidR="0049468A" w:rsidRPr="00006F42" w:rsidRDefault="0049468A">
      <w:pPr>
        <w:rPr>
          <w:b/>
          <w:lang w:val="en-US"/>
        </w:rPr>
      </w:pPr>
    </w:p>
    <w:p w:rsidR="0076297D" w:rsidRPr="00EE7E5A" w:rsidRDefault="0076297D" w:rsidP="0076297D">
      <w:pPr>
        <w:pStyle w:val="Heading2"/>
      </w:pPr>
      <w:r>
        <w:t>Document 2a</w:t>
      </w:r>
      <w:r w:rsidRPr="00EE7E5A">
        <w:t xml:space="preserve">: </w:t>
      </w:r>
      <w:r>
        <w:t xml:space="preserve">ETC </w:t>
      </w:r>
      <w:proofErr w:type="spellStart"/>
      <w:r>
        <w:t>SoE</w:t>
      </w:r>
      <w:proofErr w:type="spellEnd"/>
      <w:r>
        <w:t xml:space="preserve"> data automatic and manual quality assurance</w:t>
      </w:r>
      <w:r w:rsidRPr="00EE7E5A">
        <w:t xml:space="preserve">, </w:t>
      </w:r>
      <w:r>
        <w:t xml:space="preserve">Marko </w:t>
      </w:r>
      <w:proofErr w:type="spellStart"/>
      <w:r>
        <w:t>Kovacic</w:t>
      </w:r>
      <w:proofErr w:type="spellEnd"/>
      <w:r>
        <w:t xml:space="preserve">, </w:t>
      </w:r>
      <w:r w:rsidRPr="00EE7E5A">
        <w:t>ETC/ICM</w:t>
      </w:r>
    </w:p>
    <w:p w:rsidR="0076297D" w:rsidRPr="00A8551E" w:rsidRDefault="0076297D" w:rsidP="0076297D">
      <w:pPr>
        <w:pStyle w:val="Heading3"/>
        <w:rPr>
          <w:lang w:val="en-GB"/>
        </w:rPr>
      </w:pPr>
      <w:r w:rsidRPr="00A8551E">
        <w:rPr>
          <w:lang w:val="en-GB"/>
        </w:rPr>
        <w:t>Background</w:t>
      </w:r>
    </w:p>
    <w:p w:rsidR="00EF5116" w:rsidRPr="0076297D" w:rsidRDefault="00EF5116" w:rsidP="00164BF0">
      <w:pPr>
        <w:spacing w:before="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WISE </w:t>
      </w:r>
      <w:proofErr w:type="spellStart"/>
      <w:r w:rsidRPr="0076297D">
        <w:rPr>
          <w:rFonts w:asciiTheme="minorHAnsi" w:hAnsiTheme="minorHAnsi" w:cstheme="minorHAnsi"/>
          <w:sz w:val="22"/>
          <w:szCs w:val="22"/>
          <w:lang w:val="en-US"/>
        </w:rPr>
        <w:t>SoE</w:t>
      </w:r>
      <w:proofErr w:type="spellEnd"/>
      <w:r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 annual data request run usually from 1.8 to 31.10 each year. In case of rivers, water quality and biological quality elements are requested. The main reported tables are:</w:t>
      </w:r>
    </w:p>
    <w:p w:rsidR="00EF5116" w:rsidRPr="0076297D" w:rsidRDefault="00EF5116" w:rsidP="00EF5116">
      <w:pPr>
        <w:numPr>
          <w:ilvl w:val="0"/>
          <w:numId w:val="5"/>
        </w:numPr>
        <w:spacing w:before="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6297D">
        <w:rPr>
          <w:rFonts w:asciiTheme="minorHAnsi" w:hAnsiTheme="minorHAnsi" w:cstheme="minorHAnsi"/>
          <w:sz w:val="22"/>
          <w:szCs w:val="22"/>
          <w:lang w:val="en-US"/>
        </w:rPr>
        <w:t>stations</w:t>
      </w:r>
    </w:p>
    <w:p w:rsidR="00EF5116" w:rsidRPr="0076297D" w:rsidRDefault="00EF5116" w:rsidP="00EF5116">
      <w:pPr>
        <w:numPr>
          <w:ilvl w:val="0"/>
          <w:numId w:val="5"/>
        </w:numPr>
        <w:spacing w:before="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6297D">
        <w:rPr>
          <w:rFonts w:asciiTheme="minorHAnsi" w:hAnsiTheme="minorHAnsi" w:cstheme="minorHAnsi"/>
          <w:sz w:val="22"/>
          <w:szCs w:val="22"/>
          <w:lang w:val="en-US"/>
        </w:rPr>
        <w:t>pressures</w:t>
      </w:r>
    </w:p>
    <w:p w:rsidR="00EF5116" w:rsidRPr="0076297D" w:rsidRDefault="00EF5116" w:rsidP="00EF5116">
      <w:pPr>
        <w:numPr>
          <w:ilvl w:val="0"/>
          <w:numId w:val="5"/>
        </w:numPr>
        <w:spacing w:before="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6297D">
        <w:rPr>
          <w:rFonts w:asciiTheme="minorHAnsi" w:hAnsiTheme="minorHAnsi" w:cstheme="minorHAnsi"/>
          <w:sz w:val="22"/>
          <w:szCs w:val="22"/>
          <w:lang w:val="en-US"/>
        </w:rPr>
        <w:t>nutrients</w:t>
      </w:r>
    </w:p>
    <w:p w:rsidR="00EF5116" w:rsidRPr="0076297D" w:rsidRDefault="00EF5116" w:rsidP="00EF5116">
      <w:pPr>
        <w:numPr>
          <w:ilvl w:val="0"/>
          <w:numId w:val="5"/>
        </w:numPr>
        <w:spacing w:before="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6297D">
        <w:rPr>
          <w:rFonts w:asciiTheme="minorHAnsi" w:hAnsiTheme="minorHAnsi" w:cstheme="minorHAnsi"/>
          <w:sz w:val="22"/>
          <w:szCs w:val="22"/>
          <w:lang w:val="en-US"/>
        </w:rPr>
        <w:t>hazardous substances</w:t>
      </w:r>
    </w:p>
    <w:p w:rsidR="00EF5116" w:rsidRPr="0076297D" w:rsidRDefault="00EF5116" w:rsidP="00EF5116">
      <w:pPr>
        <w:numPr>
          <w:ilvl w:val="0"/>
          <w:numId w:val="5"/>
        </w:numPr>
        <w:spacing w:before="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supportive </w:t>
      </w:r>
      <w:proofErr w:type="spellStart"/>
      <w:r w:rsidRPr="0076297D">
        <w:rPr>
          <w:rFonts w:asciiTheme="minorHAnsi" w:hAnsiTheme="minorHAnsi" w:cstheme="minorHAnsi"/>
          <w:sz w:val="22"/>
          <w:szCs w:val="22"/>
          <w:lang w:val="en-US"/>
        </w:rPr>
        <w:t>determinands</w:t>
      </w:r>
      <w:proofErr w:type="spellEnd"/>
    </w:p>
    <w:p w:rsidR="00EF5116" w:rsidRPr="0076297D" w:rsidRDefault="00EF5116" w:rsidP="00EF5116">
      <w:pPr>
        <w:numPr>
          <w:ilvl w:val="0"/>
          <w:numId w:val="5"/>
        </w:numPr>
        <w:spacing w:before="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6297D">
        <w:rPr>
          <w:rFonts w:asciiTheme="minorHAnsi" w:hAnsiTheme="minorHAnsi" w:cstheme="minorHAnsi"/>
          <w:sz w:val="22"/>
          <w:szCs w:val="22"/>
          <w:lang w:val="en-US"/>
        </w:rPr>
        <w:t>biology</w:t>
      </w:r>
    </w:p>
    <w:p w:rsidR="00EF5116" w:rsidRPr="0076297D" w:rsidRDefault="00EF5116" w:rsidP="00EF5116">
      <w:pPr>
        <w:numPr>
          <w:ilvl w:val="0"/>
          <w:numId w:val="5"/>
        </w:numPr>
        <w:spacing w:before="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6297D">
        <w:rPr>
          <w:rFonts w:asciiTheme="minorHAnsi" w:hAnsiTheme="minorHAnsi" w:cstheme="minorHAnsi"/>
          <w:sz w:val="22"/>
          <w:szCs w:val="22"/>
          <w:lang w:val="en-US"/>
        </w:rPr>
        <w:t>classification system for ecological status</w:t>
      </w:r>
    </w:p>
    <w:p w:rsidR="00EF5116" w:rsidRPr="0076297D" w:rsidRDefault="00EF5116" w:rsidP="00EF5116">
      <w:pPr>
        <w:spacing w:before="6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EF5116" w:rsidRPr="0076297D" w:rsidRDefault="00B61267" w:rsidP="00EF5116">
      <w:pPr>
        <w:spacing w:before="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Countries</w:t>
      </w:r>
      <w:r w:rsidR="00EF5116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F5116" w:rsidRPr="0076297D">
        <w:rPr>
          <w:rFonts w:asciiTheme="minorHAnsi" w:hAnsiTheme="minorHAnsi" w:cstheme="minorHAnsi"/>
          <w:b/>
          <w:sz w:val="22"/>
          <w:szCs w:val="22"/>
          <w:lang w:val="en-US"/>
        </w:rPr>
        <w:t>report data on CDR</w:t>
      </w:r>
      <w:r w:rsidR="00EF5116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 where automatic quality checking is invoked if the data is supplied in latest format according to Data Dictionary. T</w:t>
      </w:r>
      <w:r w:rsidR="00E0693D">
        <w:rPr>
          <w:rFonts w:asciiTheme="minorHAnsi" w:hAnsiTheme="minorHAnsi" w:cstheme="minorHAnsi"/>
          <w:sz w:val="22"/>
          <w:szCs w:val="22"/>
          <w:lang w:val="en-US"/>
        </w:rPr>
        <w:t>he t</w:t>
      </w:r>
      <w:r w:rsidR="00EF5116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ask for </w:t>
      </w:r>
      <w:r w:rsidR="00E0693D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EF5116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rivers data manager is to collect this data from </w:t>
      </w:r>
      <w:r w:rsidR="00E0693D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EF5116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CDR, put it together into the working database and make a thorough quality checking on this data. The datasets from </w:t>
      </w:r>
      <w:r w:rsidR="00E0693D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EF5116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current </w:t>
      </w:r>
      <w:proofErr w:type="spellStart"/>
      <w:r w:rsidR="00EF5116" w:rsidRPr="0076297D">
        <w:rPr>
          <w:rFonts w:asciiTheme="minorHAnsi" w:hAnsiTheme="minorHAnsi" w:cstheme="minorHAnsi"/>
          <w:sz w:val="22"/>
          <w:szCs w:val="22"/>
          <w:lang w:val="en-US"/>
        </w:rPr>
        <w:t>SoE</w:t>
      </w:r>
      <w:proofErr w:type="spellEnd"/>
      <w:r w:rsidR="00EF5116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 data request are published on </w:t>
      </w:r>
      <w:r w:rsidR="00E0693D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EF5116" w:rsidRPr="0076297D">
        <w:rPr>
          <w:rFonts w:asciiTheme="minorHAnsi" w:hAnsiTheme="minorHAnsi" w:cstheme="minorHAnsi"/>
          <w:sz w:val="22"/>
          <w:szCs w:val="22"/>
          <w:lang w:val="en-US"/>
        </w:rPr>
        <w:t>EEA website and interactive maps from the list by category are also available.</w:t>
      </w:r>
    </w:p>
    <w:p w:rsidR="00EF5116" w:rsidRPr="0076297D" w:rsidRDefault="00EF5116" w:rsidP="00164BF0">
      <w:pPr>
        <w:spacing w:before="6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EF5116" w:rsidRPr="0076297D" w:rsidRDefault="00EF5116" w:rsidP="00164BF0">
      <w:pPr>
        <w:spacing w:before="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6297D">
        <w:rPr>
          <w:rFonts w:asciiTheme="minorHAnsi" w:hAnsiTheme="minorHAnsi" w:cstheme="minorHAnsi"/>
          <w:b/>
          <w:sz w:val="22"/>
          <w:szCs w:val="22"/>
          <w:lang w:val="en-US"/>
        </w:rPr>
        <w:t>Nutrients and Hazardous substances</w:t>
      </w:r>
      <w:r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 data are the far largest part of </w:t>
      </w:r>
      <w:proofErr w:type="spellStart"/>
      <w:proofErr w:type="gramStart"/>
      <w:r w:rsidRPr="0076297D">
        <w:rPr>
          <w:rFonts w:asciiTheme="minorHAnsi" w:hAnsiTheme="minorHAnsi" w:cstheme="minorHAnsi"/>
          <w:sz w:val="22"/>
          <w:szCs w:val="22"/>
          <w:lang w:val="en-US"/>
        </w:rPr>
        <w:t>SoE</w:t>
      </w:r>
      <w:proofErr w:type="spellEnd"/>
      <w:r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 Rivers</w:t>
      </w:r>
      <w:proofErr w:type="gramEnd"/>
      <w:r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 database. There </w:t>
      </w:r>
      <w:proofErr w:type="gramStart"/>
      <w:r w:rsidRPr="0076297D">
        <w:rPr>
          <w:rFonts w:asciiTheme="minorHAnsi" w:hAnsiTheme="minorHAnsi" w:cstheme="minorHAnsi"/>
          <w:sz w:val="22"/>
          <w:szCs w:val="22"/>
          <w:lang w:val="en-US"/>
        </w:rPr>
        <w:t>are</w:t>
      </w:r>
      <w:proofErr w:type="gramEnd"/>
      <w:r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 around 1M records in </w:t>
      </w:r>
      <w:r w:rsidR="00E0693D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Nutrients table and 800K records in </w:t>
      </w:r>
      <w:r w:rsidR="00E0693D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aggregated </w:t>
      </w:r>
      <w:proofErr w:type="spellStart"/>
      <w:r w:rsidRPr="0076297D">
        <w:rPr>
          <w:rFonts w:asciiTheme="minorHAnsi" w:hAnsiTheme="minorHAnsi" w:cstheme="minorHAnsi"/>
          <w:sz w:val="22"/>
          <w:szCs w:val="22"/>
          <w:lang w:val="en-US"/>
        </w:rPr>
        <w:t>HazSubs</w:t>
      </w:r>
      <w:proofErr w:type="spellEnd"/>
      <w:r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 table. In </w:t>
      </w:r>
      <w:r w:rsidR="00E0693D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working database (not published by EEA) there are more than 6M disaggregated </w:t>
      </w:r>
      <w:proofErr w:type="spellStart"/>
      <w:r w:rsidRPr="0076297D">
        <w:rPr>
          <w:rFonts w:asciiTheme="minorHAnsi" w:hAnsiTheme="minorHAnsi" w:cstheme="minorHAnsi"/>
          <w:sz w:val="22"/>
          <w:szCs w:val="22"/>
          <w:lang w:val="en-US"/>
        </w:rPr>
        <w:t>HazSubs</w:t>
      </w:r>
      <w:proofErr w:type="spellEnd"/>
      <w:r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 records. </w:t>
      </w:r>
    </w:p>
    <w:p w:rsidR="00EF5116" w:rsidRPr="0076297D" w:rsidRDefault="00EF5116" w:rsidP="00164BF0">
      <w:pPr>
        <w:spacing w:before="6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EF5116" w:rsidRPr="0076297D" w:rsidRDefault="00E0693D" w:rsidP="00164BF0">
      <w:pPr>
        <w:spacing w:before="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The m</w:t>
      </w:r>
      <w:r w:rsidR="00EF5116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ain </w:t>
      </w:r>
      <w:r w:rsidR="00EF5116" w:rsidRPr="0076297D">
        <w:rPr>
          <w:rFonts w:asciiTheme="minorHAnsi" w:hAnsiTheme="minorHAnsi" w:cstheme="minorHAnsi"/>
          <w:b/>
          <w:sz w:val="22"/>
          <w:szCs w:val="22"/>
          <w:lang w:val="en-US"/>
        </w:rPr>
        <w:t xml:space="preserve">quality checking procedures </w:t>
      </w:r>
      <w:r w:rsidR="00EF5116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for nutrients and hazardous substances data </w:t>
      </w:r>
      <w:r w:rsidR="0061771C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and some examples of </w:t>
      </w:r>
      <w:r w:rsidR="0061771C" w:rsidRPr="0076297D">
        <w:rPr>
          <w:rFonts w:asciiTheme="minorHAnsi" w:hAnsiTheme="minorHAnsi" w:cstheme="minorHAnsi"/>
          <w:b/>
          <w:sz w:val="22"/>
          <w:szCs w:val="22"/>
          <w:lang w:val="en-US"/>
        </w:rPr>
        <w:t xml:space="preserve">common mistakes from </w:t>
      </w:r>
      <w:r w:rsidR="00B61267" w:rsidRPr="00B61267">
        <w:rPr>
          <w:rFonts w:asciiTheme="minorHAnsi" w:hAnsiTheme="minorHAnsi" w:cstheme="minorHAnsi"/>
          <w:b/>
          <w:sz w:val="22"/>
          <w:szCs w:val="22"/>
          <w:lang w:val="en-US"/>
        </w:rPr>
        <w:t>countries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are as follows</w:t>
      </w:r>
      <w:r w:rsidR="00EF5116" w:rsidRPr="0076297D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:rsidR="00C664C4" w:rsidRPr="0076297D" w:rsidRDefault="00C664C4" w:rsidP="00C664C4">
      <w:pPr>
        <w:numPr>
          <w:ilvl w:val="0"/>
          <w:numId w:val="6"/>
        </w:numPr>
        <w:spacing w:before="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6297D">
        <w:rPr>
          <w:rFonts w:asciiTheme="minorHAnsi" w:hAnsiTheme="minorHAnsi" w:cstheme="minorHAnsi"/>
          <w:sz w:val="22"/>
          <w:szCs w:val="22"/>
          <w:u w:val="single"/>
          <w:lang w:val="en-US"/>
        </w:rPr>
        <w:t>Mandatory fields contain data</w:t>
      </w:r>
      <w:r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. All field that are marked as mandatory (* sign) in </w:t>
      </w:r>
      <w:r w:rsidR="00E0693D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Pr="0076297D">
        <w:rPr>
          <w:rFonts w:asciiTheme="minorHAnsi" w:hAnsiTheme="minorHAnsi" w:cstheme="minorHAnsi"/>
          <w:sz w:val="22"/>
          <w:szCs w:val="22"/>
          <w:lang w:val="en-US"/>
        </w:rPr>
        <w:t>Data Dictionary should contain data. If not, the record is not useful for further analysis.</w:t>
      </w:r>
      <w:r w:rsidR="008E65BF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 Such records are excluded from </w:t>
      </w:r>
      <w:r w:rsidR="00E0693D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8E65BF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final dataset and </w:t>
      </w:r>
      <w:r w:rsidR="00B61267">
        <w:rPr>
          <w:rFonts w:asciiTheme="minorHAnsi" w:hAnsiTheme="minorHAnsi" w:cstheme="minorHAnsi"/>
          <w:sz w:val="22"/>
          <w:szCs w:val="22"/>
          <w:lang w:val="en-US"/>
        </w:rPr>
        <w:t>countries</w:t>
      </w:r>
      <w:r w:rsidR="008E65BF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 are asked for clarification.</w:t>
      </w:r>
    </w:p>
    <w:p w:rsidR="00C664C4" w:rsidRPr="0076297D" w:rsidRDefault="00C664C4" w:rsidP="00C664C4">
      <w:pPr>
        <w:numPr>
          <w:ilvl w:val="0"/>
          <w:numId w:val="6"/>
        </w:numPr>
        <w:spacing w:before="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6297D">
        <w:rPr>
          <w:rFonts w:asciiTheme="minorHAnsi" w:hAnsiTheme="minorHAnsi" w:cstheme="minorHAnsi"/>
          <w:sz w:val="22"/>
          <w:szCs w:val="22"/>
          <w:u w:val="single"/>
          <w:lang w:val="en-US"/>
        </w:rPr>
        <w:t>Characters in integer or float fields</w:t>
      </w:r>
      <w:r w:rsidRPr="0076297D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B61267" w:rsidRPr="00B6126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61267">
        <w:rPr>
          <w:rFonts w:asciiTheme="minorHAnsi" w:hAnsiTheme="minorHAnsi" w:cstheme="minorHAnsi"/>
          <w:sz w:val="22"/>
          <w:szCs w:val="22"/>
          <w:lang w:val="en-US"/>
        </w:rPr>
        <w:t>Countries</w:t>
      </w:r>
      <w:r w:rsidR="00B61267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sometimes put sign </w:t>
      </w:r>
      <w:r w:rsidR="00E00A86">
        <w:rPr>
          <w:rFonts w:asciiTheme="minorHAnsi" w:hAnsiTheme="minorHAnsi" w:cstheme="minorHAnsi"/>
          <w:sz w:val="22"/>
          <w:szCs w:val="22"/>
          <w:lang w:val="en-US"/>
        </w:rPr>
        <w:t>“</w:t>
      </w:r>
      <w:r w:rsidRPr="0076297D">
        <w:rPr>
          <w:rFonts w:asciiTheme="minorHAnsi" w:hAnsiTheme="minorHAnsi" w:cstheme="minorHAnsi"/>
          <w:sz w:val="22"/>
          <w:szCs w:val="22"/>
          <w:lang w:val="en-US"/>
        </w:rPr>
        <w:t>&lt;</w:t>
      </w:r>
      <w:r w:rsidR="00E00A86">
        <w:rPr>
          <w:rFonts w:asciiTheme="minorHAnsi" w:hAnsiTheme="minorHAnsi" w:cstheme="minorHAnsi"/>
          <w:sz w:val="22"/>
          <w:szCs w:val="22"/>
          <w:lang w:val="en-US"/>
        </w:rPr>
        <w:t>” and unit</w:t>
      </w:r>
      <w:r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s into float fields (i.e. &lt; 10 mg/l) which is wrong. Sign &lt; should be put into </w:t>
      </w:r>
      <w:proofErr w:type="spellStart"/>
      <w:r w:rsidRPr="0076297D">
        <w:rPr>
          <w:rFonts w:asciiTheme="minorHAnsi" w:hAnsiTheme="minorHAnsi" w:cstheme="minorHAnsi"/>
          <w:sz w:val="22"/>
          <w:szCs w:val="22"/>
          <w:lang w:val="en-US"/>
        </w:rPr>
        <w:t>LOD_LOQ_flag</w:t>
      </w:r>
      <w:proofErr w:type="spellEnd"/>
      <w:r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 field and units into </w:t>
      </w:r>
      <w:proofErr w:type="spellStart"/>
      <w:r w:rsidRPr="0076297D">
        <w:rPr>
          <w:rFonts w:asciiTheme="minorHAnsi" w:hAnsiTheme="minorHAnsi" w:cstheme="minorHAnsi"/>
          <w:sz w:val="22"/>
          <w:szCs w:val="22"/>
          <w:lang w:val="en-US"/>
        </w:rPr>
        <w:t>Unit_Hazsubs</w:t>
      </w:r>
      <w:proofErr w:type="spellEnd"/>
      <w:r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 or </w:t>
      </w:r>
      <w:proofErr w:type="spellStart"/>
      <w:r w:rsidRPr="0076297D">
        <w:rPr>
          <w:rFonts w:asciiTheme="minorHAnsi" w:hAnsiTheme="minorHAnsi" w:cstheme="minorHAnsi"/>
          <w:sz w:val="22"/>
          <w:szCs w:val="22"/>
          <w:lang w:val="en-US"/>
        </w:rPr>
        <w:t>Unit_Nutrients</w:t>
      </w:r>
      <w:proofErr w:type="spellEnd"/>
      <w:r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 field.</w:t>
      </w:r>
    </w:p>
    <w:p w:rsidR="00C664C4" w:rsidRPr="0076297D" w:rsidRDefault="00C664C4" w:rsidP="00C664C4">
      <w:pPr>
        <w:numPr>
          <w:ilvl w:val="0"/>
          <w:numId w:val="6"/>
        </w:numPr>
        <w:spacing w:before="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6297D">
        <w:rPr>
          <w:rFonts w:asciiTheme="minorHAnsi" w:hAnsiTheme="minorHAnsi" w:cstheme="minorHAnsi"/>
          <w:sz w:val="22"/>
          <w:szCs w:val="22"/>
          <w:u w:val="single"/>
          <w:lang w:val="en-US"/>
        </w:rPr>
        <w:t>Standardize values according to data dictionary</w:t>
      </w:r>
      <w:r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. Fields like </w:t>
      </w:r>
      <w:proofErr w:type="spellStart"/>
      <w:r w:rsidRPr="0076297D">
        <w:rPr>
          <w:rFonts w:asciiTheme="minorHAnsi" w:hAnsiTheme="minorHAnsi" w:cstheme="minorHAnsi"/>
          <w:sz w:val="22"/>
          <w:szCs w:val="22"/>
          <w:lang w:val="en-US"/>
        </w:rPr>
        <w:t>Determinand_HazSubs</w:t>
      </w:r>
      <w:proofErr w:type="spellEnd"/>
      <w:r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76297D">
        <w:rPr>
          <w:rFonts w:asciiTheme="minorHAnsi" w:hAnsiTheme="minorHAnsi" w:cstheme="minorHAnsi"/>
          <w:sz w:val="22"/>
          <w:szCs w:val="22"/>
          <w:lang w:val="en-US"/>
        </w:rPr>
        <w:t>CASNumber</w:t>
      </w:r>
      <w:proofErr w:type="spellEnd"/>
      <w:r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, CEN_ISO, </w:t>
      </w:r>
      <w:proofErr w:type="spellStart"/>
      <w:proofErr w:type="gramStart"/>
      <w:r w:rsidRPr="0076297D">
        <w:rPr>
          <w:rFonts w:asciiTheme="minorHAnsi" w:hAnsiTheme="minorHAnsi" w:cstheme="minorHAnsi"/>
          <w:sz w:val="22"/>
          <w:szCs w:val="22"/>
          <w:lang w:val="en-US"/>
        </w:rPr>
        <w:t>Unit</w:t>
      </w:r>
      <w:proofErr w:type="gramEnd"/>
      <w:r w:rsidRPr="0076297D">
        <w:rPr>
          <w:rFonts w:asciiTheme="minorHAnsi" w:hAnsiTheme="minorHAnsi" w:cstheme="minorHAnsi"/>
          <w:sz w:val="22"/>
          <w:szCs w:val="22"/>
          <w:lang w:val="en-US"/>
        </w:rPr>
        <w:t>_HazSubs</w:t>
      </w:r>
      <w:proofErr w:type="spellEnd"/>
      <w:r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 should contain standardized values which are defined in Data Dictionary for these fields. Any other values are removed from this field or record i</w:t>
      </w:r>
      <w:r w:rsidR="006E75AB" w:rsidRPr="0076297D">
        <w:rPr>
          <w:rFonts w:asciiTheme="minorHAnsi" w:hAnsiTheme="minorHAnsi" w:cstheme="minorHAnsi"/>
          <w:sz w:val="22"/>
          <w:szCs w:val="22"/>
          <w:lang w:val="en-US"/>
        </w:rPr>
        <w:t>s marked as useless.</w:t>
      </w:r>
    </w:p>
    <w:p w:rsidR="00C664C4" w:rsidRPr="0076297D" w:rsidRDefault="00C664C4" w:rsidP="00C664C4">
      <w:pPr>
        <w:numPr>
          <w:ilvl w:val="0"/>
          <w:numId w:val="6"/>
        </w:numPr>
        <w:spacing w:before="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6297D">
        <w:rPr>
          <w:rFonts w:asciiTheme="minorHAnsi" w:hAnsiTheme="minorHAnsi" w:cstheme="minorHAnsi"/>
          <w:sz w:val="22"/>
          <w:szCs w:val="22"/>
          <w:u w:val="single"/>
          <w:lang w:val="en-US"/>
        </w:rPr>
        <w:t>Logical tests (for aggregated data)</w:t>
      </w:r>
      <w:r w:rsidR="006E75AB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. Aggregated values should all </w:t>
      </w:r>
      <w:r w:rsidR="00C242F3" w:rsidRPr="0076297D">
        <w:rPr>
          <w:rFonts w:asciiTheme="minorHAnsi" w:hAnsiTheme="minorHAnsi" w:cstheme="minorHAnsi"/>
          <w:sz w:val="22"/>
          <w:szCs w:val="22"/>
          <w:lang w:val="en-US"/>
        </w:rPr>
        <w:t>conform to logical tests like Mean &gt; Minimum, Mean &lt; Maximum, etc.</w:t>
      </w:r>
    </w:p>
    <w:p w:rsidR="00C664C4" w:rsidRPr="0076297D" w:rsidRDefault="00C664C4" w:rsidP="00C664C4">
      <w:pPr>
        <w:numPr>
          <w:ilvl w:val="0"/>
          <w:numId w:val="6"/>
        </w:numPr>
        <w:spacing w:before="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6297D">
        <w:rPr>
          <w:rFonts w:asciiTheme="minorHAnsi" w:hAnsiTheme="minorHAnsi" w:cstheme="minorHAnsi"/>
          <w:sz w:val="22"/>
          <w:szCs w:val="22"/>
          <w:u w:val="single"/>
          <w:lang w:val="en-US"/>
        </w:rPr>
        <w:lastRenderedPageBreak/>
        <w:t>Orphaned stations: stations not defined in stations table</w:t>
      </w:r>
      <w:r w:rsidR="00C242F3" w:rsidRPr="0076297D">
        <w:rPr>
          <w:rFonts w:asciiTheme="minorHAnsi" w:hAnsiTheme="minorHAnsi" w:cstheme="minorHAnsi"/>
          <w:sz w:val="22"/>
          <w:szCs w:val="22"/>
          <w:lang w:val="en-US"/>
        </w:rPr>
        <w:t>. All station codes (</w:t>
      </w:r>
      <w:proofErr w:type="spellStart"/>
      <w:r w:rsidR="00C242F3" w:rsidRPr="0076297D">
        <w:rPr>
          <w:rFonts w:asciiTheme="minorHAnsi" w:hAnsiTheme="minorHAnsi" w:cstheme="minorHAnsi"/>
          <w:sz w:val="22"/>
          <w:szCs w:val="22"/>
          <w:lang w:val="en-US"/>
        </w:rPr>
        <w:t>NationalStationID</w:t>
      </w:r>
      <w:proofErr w:type="spellEnd"/>
      <w:r w:rsidR="00C242F3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) used in data tables (Nutrients, </w:t>
      </w:r>
      <w:proofErr w:type="spellStart"/>
      <w:proofErr w:type="gramStart"/>
      <w:r w:rsidR="00C242F3" w:rsidRPr="0076297D">
        <w:rPr>
          <w:rFonts w:asciiTheme="minorHAnsi" w:hAnsiTheme="minorHAnsi" w:cstheme="minorHAnsi"/>
          <w:sz w:val="22"/>
          <w:szCs w:val="22"/>
          <w:lang w:val="en-US"/>
        </w:rPr>
        <w:t>Hazsubs</w:t>
      </w:r>
      <w:proofErr w:type="spellEnd"/>
      <w:r w:rsidR="00C242F3" w:rsidRPr="0076297D">
        <w:rPr>
          <w:rFonts w:asciiTheme="minorHAnsi" w:hAnsiTheme="minorHAnsi" w:cstheme="minorHAnsi"/>
          <w:sz w:val="22"/>
          <w:szCs w:val="22"/>
          <w:lang w:val="en-US"/>
        </w:rPr>
        <w:t>, …)</w:t>
      </w:r>
      <w:proofErr w:type="gramEnd"/>
      <w:r w:rsidR="00C242F3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 have to be defined </w:t>
      </w:r>
      <w:r w:rsidR="00E0693D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C242F3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in Stations </w:t>
      </w:r>
      <w:r w:rsidR="00E0693D" w:rsidRPr="0076297D">
        <w:rPr>
          <w:rFonts w:asciiTheme="minorHAnsi" w:hAnsiTheme="minorHAnsi" w:cstheme="minorHAnsi"/>
          <w:sz w:val="22"/>
          <w:szCs w:val="22"/>
          <w:lang w:val="en-US"/>
        </w:rPr>
        <w:t>table</w:t>
      </w:r>
      <w:r w:rsidR="00C242F3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 otherwise </w:t>
      </w:r>
      <w:r w:rsidR="00E0693D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C242F3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data </w:t>
      </w:r>
      <w:r w:rsidR="00E0693D">
        <w:rPr>
          <w:rFonts w:asciiTheme="minorHAnsi" w:hAnsiTheme="minorHAnsi" w:cstheme="minorHAnsi"/>
          <w:sz w:val="22"/>
          <w:szCs w:val="22"/>
          <w:lang w:val="en-US"/>
        </w:rPr>
        <w:t>are</w:t>
      </w:r>
      <w:r w:rsidR="00C242F3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 useless.</w:t>
      </w:r>
    </w:p>
    <w:p w:rsidR="00EF5116" w:rsidRPr="0076297D" w:rsidRDefault="00C664C4" w:rsidP="00C664C4">
      <w:pPr>
        <w:numPr>
          <w:ilvl w:val="0"/>
          <w:numId w:val="6"/>
        </w:numPr>
        <w:spacing w:before="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6297D">
        <w:rPr>
          <w:rFonts w:asciiTheme="minorHAnsi" w:hAnsiTheme="minorHAnsi" w:cstheme="minorHAnsi"/>
          <w:sz w:val="22"/>
          <w:szCs w:val="22"/>
          <w:u w:val="single"/>
          <w:lang w:val="en-US"/>
        </w:rPr>
        <w:t>Alias table</w:t>
      </w:r>
      <w:r w:rsidR="00E927D9" w:rsidRPr="0076297D">
        <w:rPr>
          <w:rFonts w:asciiTheme="minorHAnsi" w:hAnsiTheme="minorHAnsi" w:cstheme="minorHAnsi"/>
          <w:sz w:val="22"/>
          <w:szCs w:val="22"/>
          <w:u w:val="single"/>
          <w:lang w:val="en-US"/>
        </w:rPr>
        <w:t xml:space="preserve"> for </w:t>
      </w:r>
      <w:proofErr w:type="spellStart"/>
      <w:r w:rsidR="00E927D9" w:rsidRPr="0076297D">
        <w:rPr>
          <w:rFonts w:asciiTheme="minorHAnsi" w:hAnsiTheme="minorHAnsi" w:cstheme="minorHAnsi"/>
          <w:sz w:val="22"/>
          <w:szCs w:val="22"/>
          <w:u w:val="single"/>
          <w:lang w:val="en-US"/>
        </w:rPr>
        <w:t>Determinand_HazSubs</w:t>
      </w:r>
      <w:proofErr w:type="spellEnd"/>
      <w:r w:rsidR="00E927D9" w:rsidRPr="0076297D">
        <w:rPr>
          <w:rFonts w:asciiTheme="minorHAnsi" w:hAnsiTheme="minorHAnsi" w:cstheme="minorHAnsi"/>
          <w:sz w:val="22"/>
          <w:szCs w:val="22"/>
          <w:u w:val="single"/>
          <w:lang w:val="en-US"/>
        </w:rPr>
        <w:t xml:space="preserve"> / </w:t>
      </w:r>
      <w:proofErr w:type="spellStart"/>
      <w:r w:rsidR="00E927D9" w:rsidRPr="0076297D">
        <w:rPr>
          <w:rFonts w:asciiTheme="minorHAnsi" w:hAnsiTheme="minorHAnsi" w:cstheme="minorHAnsi"/>
          <w:sz w:val="22"/>
          <w:szCs w:val="22"/>
          <w:u w:val="single"/>
          <w:lang w:val="en-US"/>
        </w:rPr>
        <w:t>CASNumber</w:t>
      </w:r>
      <w:proofErr w:type="spellEnd"/>
      <w:r w:rsidRPr="0076297D">
        <w:rPr>
          <w:rFonts w:asciiTheme="minorHAnsi" w:hAnsiTheme="minorHAnsi" w:cstheme="minorHAnsi"/>
          <w:sz w:val="22"/>
          <w:szCs w:val="22"/>
          <w:u w:val="single"/>
          <w:lang w:val="en-US"/>
        </w:rPr>
        <w:t xml:space="preserve">: automatically correct national </w:t>
      </w:r>
      <w:proofErr w:type="spellStart"/>
      <w:r w:rsidRPr="0076297D">
        <w:rPr>
          <w:rFonts w:asciiTheme="minorHAnsi" w:hAnsiTheme="minorHAnsi" w:cstheme="minorHAnsi"/>
          <w:sz w:val="22"/>
          <w:szCs w:val="22"/>
          <w:u w:val="single"/>
          <w:lang w:val="en-US"/>
        </w:rPr>
        <w:t>determinand</w:t>
      </w:r>
      <w:proofErr w:type="spellEnd"/>
      <w:r w:rsidRPr="0076297D">
        <w:rPr>
          <w:rFonts w:asciiTheme="minorHAnsi" w:hAnsiTheme="minorHAnsi" w:cstheme="minorHAnsi"/>
          <w:sz w:val="22"/>
          <w:szCs w:val="22"/>
          <w:u w:val="single"/>
          <w:lang w:val="en-US"/>
        </w:rPr>
        <w:t xml:space="preserve"> names</w:t>
      </w:r>
      <w:r w:rsidR="00E927D9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. Many </w:t>
      </w:r>
      <w:r w:rsidR="00B61267">
        <w:rPr>
          <w:rFonts w:asciiTheme="minorHAnsi" w:hAnsiTheme="minorHAnsi" w:cstheme="minorHAnsi"/>
          <w:sz w:val="22"/>
          <w:szCs w:val="22"/>
          <w:lang w:val="en-US"/>
        </w:rPr>
        <w:t>countries</w:t>
      </w:r>
      <w:r w:rsidR="00E927D9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1771C" w:rsidRPr="0076297D">
        <w:rPr>
          <w:rFonts w:asciiTheme="minorHAnsi" w:hAnsiTheme="minorHAnsi" w:cstheme="minorHAnsi"/>
          <w:sz w:val="22"/>
          <w:szCs w:val="22"/>
          <w:lang w:val="en-US"/>
        </w:rPr>
        <w:t>(</w:t>
      </w:r>
      <w:proofErr w:type="spellStart"/>
      <w:r w:rsidR="0061771C" w:rsidRPr="0076297D">
        <w:rPr>
          <w:rFonts w:asciiTheme="minorHAnsi" w:hAnsiTheme="minorHAnsi" w:cstheme="minorHAnsi"/>
          <w:sz w:val="22"/>
          <w:szCs w:val="22"/>
          <w:lang w:val="en-US"/>
        </w:rPr>
        <w:t>cca</w:t>
      </w:r>
      <w:proofErr w:type="spellEnd"/>
      <w:r w:rsidR="0061771C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. 40% of all reported </w:t>
      </w:r>
      <w:proofErr w:type="spellStart"/>
      <w:r w:rsidR="0061771C" w:rsidRPr="0076297D">
        <w:rPr>
          <w:rFonts w:asciiTheme="minorHAnsi" w:hAnsiTheme="minorHAnsi" w:cstheme="minorHAnsi"/>
          <w:sz w:val="22"/>
          <w:szCs w:val="22"/>
          <w:lang w:val="en-US"/>
        </w:rPr>
        <w:t>Hazsubs</w:t>
      </w:r>
      <w:proofErr w:type="spellEnd"/>
      <w:r w:rsidR="0061771C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 data in </w:t>
      </w:r>
      <w:proofErr w:type="spellStart"/>
      <w:r w:rsidR="0061771C" w:rsidRPr="0076297D">
        <w:rPr>
          <w:rFonts w:asciiTheme="minorHAnsi" w:hAnsiTheme="minorHAnsi" w:cstheme="minorHAnsi"/>
          <w:sz w:val="22"/>
          <w:szCs w:val="22"/>
          <w:lang w:val="en-US"/>
        </w:rPr>
        <w:t>SoE</w:t>
      </w:r>
      <w:proofErr w:type="spellEnd"/>
      <w:r w:rsidR="0061771C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 2012) </w:t>
      </w:r>
      <w:r w:rsidR="00E927D9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use their national names for </w:t>
      </w:r>
      <w:proofErr w:type="spellStart"/>
      <w:r w:rsidR="0061771C" w:rsidRPr="0076297D">
        <w:rPr>
          <w:rFonts w:asciiTheme="minorHAnsi" w:hAnsiTheme="minorHAnsi" w:cstheme="minorHAnsi"/>
          <w:sz w:val="22"/>
          <w:szCs w:val="22"/>
          <w:lang w:val="en-US"/>
        </w:rPr>
        <w:t>Hazsubs</w:t>
      </w:r>
      <w:proofErr w:type="spellEnd"/>
      <w:r w:rsidR="0061771C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927D9" w:rsidRPr="0076297D">
        <w:rPr>
          <w:rFonts w:asciiTheme="minorHAnsi" w:hAnsiTheme="minorHAnsi" w:cstheme="minorHAnsi"/>
          <w:sz w:val="22"/>
          <w:szCs w:val="22"/>
          <w:lang w:val="en-US"/>
        </w:rPr>
        <w:t>determinands</w:t>
      </w:r>
      <w:proofErr w:type="spellEnd"/>
      <w:r w:rsidR="0061771C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. These values have to be standardized. One approach used to standardize these values is an “alias table”, </w:t>
      </w:r>
      <w:r w:rsidR="00C776A0">
        <w:rPr>
          <w:rFonts w:asciiTheme="minorHAnsi" w:hAnsiTheme="minorHAnsi" w:cstheme="minorHAnsi"/>
          <w:sz w:val="22"/>
          <w:szCs w:val="22"/>
          <w:lang w:val="en-US"/>
        </w:rPr>
        <w:t xml:space="preserve">see the </w:t>
      </w:r>
      <w:r w:rsidR="0061771C" w:rsidRPr="0076297D">
        <w:rPr>
          <w:rFonts w:asciiTheme="minorHAnsi" w:hAnsiTheme="minorHAnsi" w:cstheme="minorHAnsi"/>
          <w:sz w:val="22"/>
          <w:szCs w:val="22"/>
          <w:lang w:val="en-US"/>
        </w:rPr>
        <w:t>example below:</w:t>
      </w:r>
    </w:p>
    <w:p w:rsidR="0061771C" w:rsidRPr="0076297D" w:rsidRDefault="0061771C" w:rsidP="0061771C">
      <w:pPr>
        <w:spacing w:before="60"/>
        <w:ind w:left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8790" w:type="dxa"/>
        <w:tblCellSpacing w:w="0" w:type="dxa"/>
        <w:tblInd w:w="3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785"/>
        <w:gridCol w:w="2865"/>
      </w:tblGrid>
      <w:tr w:rsidR="00E927D9" w:rsidRPr="0076297D" w:rsidTr="00E927D9">
        <w:trPr>
          <w:trHeight w:val="217"/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927D9" w:rsidRPr="0076297D" w:rsidRDefault="00E927D9" w:rsidP="00E927D9">
            <w:pPr>
              <w:spacing w:before="6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297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>country reported Determinand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927D9" w:rsidRPr="0076297D" w:rsidRDefault="00E927D9" w:rsidP="00E927D9">
            <w:pPr>
              <w:spacing w:before="6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297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>CAS Number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927D9" w:rsidRPr="0076297D" w:rsidRDefault="00E927D9" w:rsidP="00E927D9">
            <w:pPr>
              <w:spacing w:before="6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297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>correct Determinand</w:t>
            </w:r>
          </w:p>
        </w:tc>
      </w:tr>
      <w:tr w:rsidR="00E927D9" w:rsidRPr="0076297D" w:rsidTr="00E927D9">
        <w:trPr>
          <w:trHeight w:val="217"/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927D9" w:rsidRPr="0076297D" w:rsidRDefault="00E927D9" w:rsidP="00E927D9">
            <w:pPr>
              <w:spacing w:before="6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297D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Perchloroethylene (tetrachloroethylene)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927D9" w:rsidRPr="0076297D" w:rsidRDefault="00E927D9" w:rsidP="00E927D9">
            <w:pPr>
              <w:spacing w:before="6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297D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127-18-4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927D9" w:rsidRPr="0076297D" w:rsidRDefault="00E927D9" w:rsidP="00E927D9">
            <w:pPr>
              <w:spacing w:before="6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297D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1,1,2,2-tetrachloroethene</w:t>
            </w:r>
          </w:p>
        </w:tc>
      </w:tr>
      <w:tr w:rsidR="00E927D9" w:rsidRPr="0076297D" w:rsidTr="00E927D9">
        <w:trPr>
          <w:trHeight w:val="217"/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927D9" w:rsidRPr="0076297D" w:rsidRDefault="00E927D9" w:rsidP="00E927D9">
            <w:pPr>
              <w:spacing w:before="6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297D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TETRACHLOROETHENE (PER/TETRACHLOROETHYLENE)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927D9" w:rsidRPr="0076297D" w:rsidRDefault="00E927D9" w:rsidP="00E927D9">
            <w:pPr>
              <w:spacing w:before="6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297D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127-18-4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927D9" w:rsidRPr="0076297D" w:rsidRDefault="00E927D9" w:rsidP="00E927D9">
            <w:pPr>
              <w:spacing w:before="6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297D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1,1,2,2-tetrachloroethene</w:t>
            </w:r>
          </w:p>
        </w:tc>
      </w:tr>
      <w:tr w:rsidR="00E927D9" w:rsidRPr="0076297D" w:rsidTr="00E927D9">
        <w:trPr>
          <w:trHeight w:val="217"/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927D9" w:rsidRPr="0076297D" w:rsidRDefault="00E927D9" w:rsidP="00E927D9">
            <w:pPr>
              <w:spacing w:before="6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297D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Tetrachlorethylen (Tetrachlorethen)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927D9" w:rsidRPr="0076297D" w:rsidRDefault="00E927D9" w:rsidP="00E927D9">
            <w:pPr>
              <w:spacing w:before="6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297D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127-18-4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927D9" w:rsidRPr="0076297D" w:rsidRDefault="00E927D9" w:rsidP="00E927D9">
            <w:pPr>
              <w:spacing w:before="6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297D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1,1,2,2-tetrachloroethene</w:t>
            </w:r>
          </w:p>
        </w:tc>
      </w:tr>
      <w:tr w:rsidR="00E927D9" w:rsidRPr="0076297D" w:rsidTr="00E927D9">
        <w:trPr>
          <w:trHeight w:val="217"/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927D9" w:rsidRPr="0076297D" w:rsidRDefault="00E927D9" w:rsidP="00E927D9">
            <w:pPr>
              <w:spacing w:before="6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297D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Tetrachloroethene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927D9" w:rsidRPr="0076297D" w:rsidRDefault="00E927D9" w:rsidP="00E927D9">
            <w:pPr>
              <w:spacing w:before="6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297D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127-18-4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927D9" w:rsidRPr="0076297D" w:rsidRDefault="00E927D9" w:rsidP="00E927D9">
            <w:pPr>
              <w:spacing w:before="6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297D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1,1,2,2-tetrachloroethene</w:t>
            </w:r>
          </w:p>
        </w:tc>
      </w:tr>
      <w:tr w:rsidR="00E927D9" w:rsidRPr="0076297D" w:rsidTr="00E927D9">
        <w:trPr>
          <w:trHeight w:val="217"/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927D9" w:rsidRPr="0076297D" w:rsidRDefault="00E927D9" w:rsidP="00E927D9">
            <w:pPr>
              <w:spacing w:before="6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297D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Tétrachloroéthylène-1,1,2,2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927D9" w:rsidRPr="0076297D" w:rsidRDefault="00E927D9" w:rsidP="00E927D9">
            <w:pPr>
              <w:spacing w:before="6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297D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127-18-4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927D9" w:rsidRPr="0076297D" w:rsidRDefault="00E927D9" w:rsidP="00E927D9">
            <w:pPr>
              <w:spacing w:before="6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297D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1,1,2,2-tetrachloroethene</w:t>
            </w:r>
          </w:p>
        </w:tc>
      </w:tr>
    </w:tbl>
    <w:p w:rsidR="00E927D9" w:rsidRPr="0076297D" w:rsidRDefault="00E927D9" w:rsidP="00E927D9">
      <w:pPr>
        <w:spacing w:before="60"/>
        <w:ind w:left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3E6964" w:rsidRPr="0076297D" w:rsidRDefault="003E6964" w:rsidP="00164BF0">
      <w:pPr>
        <w:spacing w:before="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6297D">
        <w:rPr>
          <w:rFonts w:asciiTheme="minorHAnsi" w:hAnsiTheme="minorHAnsi" w:cstheme="minorHAnsi"/>
          <w:b/>
          <w:sz w:val="22"/>
          <w:szCs w:val="22"/>
          <w:lang w:val="en-US"/>
        </w:rPr>
        <w:t>Document URL</w:t>
      </w:r>
      <w:r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hyperlink r:id="rId6" w:history="1">
        <w:r w:rsidRPr="0076297D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http://taskma</w:t>
        </w:r>
        <w:r w:rsidRPr="0076297D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n</w:t>
        </w:r>
        <w:r w:rsidRPr="0076297D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.eionet.europa.eu/ETCW/wiki/Data_Handling</w:t>
        </w:r>
      </w:hyperlink>
    </w:p>
    <w:p w:rsidR="003E6964" w:rsidRPr="0076297D" w:rsidRDefault="003E6964" w:rsidP="00164BF0">
      <w:pPr>
        <w:spacing w:before="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Note: There is no </w:t>
      </w:r>
      <w:proofErr w:type="spellStart"/>
      <w:r w:rsidRPr="0076297D">
        <w:rPr>
          <w:rFonts w:asciiTheme="minorHAnsi" w:hAnsiTheme="minorHAnsi" w:cstheme="minorHAnsi"/>
          <w:sz w:val="22"/>
          <w:szCs w:val="22"/>
          <w:lang w:val="en-US"/>
        </w:rPr>
        <w:t>pdf</w:t>
      </w:r>
      <w:proofErr w:type="spellEnd"/>
      <w:r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 or word document, </w:t>
      </w:r>
      <w:proofErr w:type="spellStart"/>
      <w:r w:rsidRPr="0076297D">
        <w:rPr>
          <w:rFonts w:asciiTheme="minorHAnsi" w:hAnsiTheme="minorHAnsi" w:cstheme="minorHAnsi"/>
          <w:sz w:val="22"/>
          <w:szCs w:val="22"/>
          <w:lang w:val="en-US"/>
        </w:rPr>
        <w:t>SoE</w:t>
      </w:r>
      <w:proofErr w:type="spellEnd"/>
      <w:r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 QA</w:t>
      </w:r>
      <w:r w:rsidR="00117D8B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 documentation</w:t>
      </w:r>
      <w:r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 is published on this </w:t>
      </w:r>
      <w:r w:rsidR="00C776A0">
        <w:rPr>
          <w:rFonts w:asciiTheme="minorHAnsi" w:hAnsiTheme="minorHAnsi" w:cstheme="minorHAnsi"/>
          <w:sz w:val="22"/>
          <w:szCs w:val="22"/>
          <w:lang w:val="en-US"/>
        </w:rPr>
        <w:t>URL</w:t>
      </w:r>
      <w:r w:rsidR="00117D8B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 and maintained by Marek Staron</w:t>
      </w:r>
      <w:r w:rsidR="00C776A0">
        <w:rPr>
          <w:rFonts w:asciiTheme="minorHAnsi" w:hAnsiTheme="minorHAnsi" w:cstheme="minorHAnsi"/>
          <w:sz w:val="22"/>
          <w:szCs w:val="22"/>
          <w:lang w:val="en-US"/>
        </w:rPr>
        <w:t>, EEA</w:t>
      </w:r>
      <w:r w:rsidR="00117D8B" w:rsidRPr="0076297D">
        <w:rPr>
          <w:rFonts w:asciiTheme="minorHAnsi" w:hAnsiTheme="minorHAnsi" w:cstheme="minorHAnsi"/>
          <w:sz w:val="22"/>
          <w:szCs w:val="22"/>
          <w:lang w:val="en-US"/>
        </w:rPr>
        <w:t>.</w:t>
      </w:r>
      <w:r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 This</w:t>
      </w:r>
      <w:r w:rsidR="00117D8B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 documentation</w:t>
      </w:r>
      <w:r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 is the basis for all </w:t>
      </w:r>
      <w:proofErr w:type="spellStart"/>
      <w:r w:rsidRPr="0076297D">
        <w:rPr>
          <w:rFonts w:asciiTheme="minorHAnsi" w:hAnsiTheme="minorHAnsi" w:cstheme="minorHAnsi"/>
          <w:sz w:val="22"/>
          <w:szCs w:val="22"/>
          <w:lang w:val="en-US"/>
        </w:rPr>
        <w:t>SoE</w:t>
      </w:r>
      <w:proofErr w:type="spellEnd"/>
      <w:r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 data managers and</w:t>
      </w:r>
      <w:r w:rsidR="00117D8B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 their</w:t>
      </w:r>
      <w:r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 QA/QC work.</w:t>
      </w:r>
    </w:p>
    <w:p w:rsidR="0002057B" w:rsidRPr="0076297D" w:rsidRDefault="0002057B" w:rsidP="00164BF0">
      <w:pPr>
        <w:spacing w:before="6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76297D" w:rsidRPr="00EE7E5A" w:rsidRDefault="0076297D" w:rsidP="0076297D">
      <w:pPr>
        <w:pStyle w:val="Heading3"/>
      </w:pPr>
      <w:r w:rsidRPr="00EE7E5A">
        <w:t>Issues to be discussed</w:t>
      </w:r>
      <w:r>
        <w:t xml:space="preserve"> and questions to NRCs</w:t>
      </w:r>
    </w:p>
    <w:p w:rsidR="0002057B" w:rsidRPr="0076297D" w:rsidRDefault="00C776A0" w:rsidP="0002057B">
      <w:pPr>
        <w:numPr>
          <w:ilvl w:val="0"/>
          <w:numId w:val="2"/>
        </w:numPr>
        <w:spacing w:before="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6297D">
        <w:rPr>
          <w:rFonts w:asciiTheme="minorHAnsi" w:hAnsiTheme="minorHAnsi" w:cstheme="minorHAnsi"/>
          <w:b/>
          <w:sz w:val="22"/>
          <w:szCs w:val="22"/>
          <w:lang w:val="en-US"/>
        </w:rPr>
        <w:t>Station</w:t>
      </w:r>
      <w:r w:rsidR="0002057B" w:rsidRPr="0076297D">
        <w:rPr>
          <w:rFonts w:asciiTheme="minorHAnsi" w:hAnsiTheme="minorHAnsi" w:cstheme="minorHAnsi"/>
          <w:b/>
          <w:sz w:val="22"/>
          <w:szCs w:val="22"/>
          <w:lang w:val="en-US"/>
        </w:rPr>
        <w:t xml:space="preserve"> recodifications</w:t>
      </w:r>
      <w:r w:rsidR="0002057B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. Many </w:t>
      </w:r>
      <w:r w:rsidR="00276AF9">
        <w:rPr>
          <w:rFonts w:asciiTheme="minorHAnsi" w:hAnsiTheme="minorHAnsi" w:cstheme="minorHAnsi"/>
          <w:sz w:val="22"/>
          <w:szCs w:val="22"/>
          <w:lang w:val="en-US"/>
        </w:rPr>
        <w:t>countries</w:t>
      </w:r>
      <w:r w:rsidR="0002057B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 do not follow</w:t>
      </w:r>
      <w:r w:rsidR="00291366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 the guidelines</w:t>
      </w:r>
      <w:r w:rsidR="0002057B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 or make mistakes when it comes to changing the station codes (for example</w:t>
      </w:r>
      <w:r w:rsidR="00291366" w:rsidRPr="0076297D">
        <w:rPr>
          <w:rFonts w:asciiTheme="minorHAnsi" w:hAnsiTheme="minorHAnsi" w:cstheme="minorHAnsi"/>
          <w:sz w:val="22"/>
          <w:szCs w:val="22"/>
          <w:lang w:val="en-US"/>
        </w:rPr>
        <w:t>: GB_RV_GBF10028 and GB_RV_F10028</w:t>
      </w:r>
      <w:r w:rsidR="0002057B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). </w:t>
      </w:r>
      <w:r w:rsidR="00276AF9">
        <w:rPr>
          <w:rFonts w:asciiTheme="minorHAnsi" w:hAnsiTheme="minorHAnsi" w:cstheme="minorHAnsi"/>
          <w:sz w:val="22"/>
          <w:szCs w:val="22"/>
          <w:lang w:val="en-US"/>
        </w:rPr>
        <w:t xml:space="preserve"> Countries</w:t>
      </w:r>
      <w:r w:rsidR="0002057B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 should have some internal checking for station codes – if a station is defined in nutrients, </w:t>
      </w:r>
      <w:proofErr w:type="spellStart"/>
      <w:r w:rsidR="0002057B" w:rsidRPr="0076297D">
        <w:rPr>
          <w:rFonts w:asciiTheme="minorHAnsi" w:hAnsiTheme="minorHAnsi" w:cstheme="minorHAnsi"/>
          <w:sz w:val="22"/>
          <w:szCs w:val="22"/>
          <w:lang w:val="en-US"/>
        </w:rPr>
        <w:t>hazsubs</w:t>
      </w:r>
      <w:proofErr w:type="spellEnd"/>
      <w:r w:rsidR="0002057B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 tables it </w:t>
      </w:r>
      <w:r w:rsidR="0002057B" w:rsidRPr="0076297D">
        <w:rPr>
          <w:rFonts w:asciiTheme="minorHAnsi" w:hAnsiTheme="minorHAnsi" w:cstheme="minorHAnsi"/>
          <w:sz w:val="22"/>
          <w:szCs w:val="22"/>
          <w:u w:val="single"/>
          <w:lang w:val="en-US"/>
        </w:rPr>
        <w:t>must</w:t>
      </w:r>
      <w:r w:rsidR="0002057B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 also be defined in station table</w:t>
      </w:r>
      <w:r w:rsidR="00612C25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 and vice versa. If the station codes have been changed, </w:t>
      </w:r>
      <w:r w:rsidR="00276AF9">
        <w:rPr>
          <w:rFonts w:asciiTheme="minorHAnsi" w:hAnsiTheme="minorHAnsi" w:cstheme="minorHAnsi"/>
          <w:sz w:val="22"/>
          <w:szCs w:val="22"/>
          <w:lang w:val="en-US"/>
        </w:rPr>
        <w:t>countries have</w:t>
      </w:r>
      <w:r w:rsidR="00612C25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 to </w:t>
      </w:r>
      <w:r w:rsidR="00612C25" w:rsidRPr="0076297D">
        <w:rPr>
          <w:rFonts w:asciiTheme="minorHAnsi" w:hAnsiTheme="minorHAnsi" w:cstheme="minorHAnsi"/>
          <w:sz w:val="22"/>
          <w:szCs w:val="22"/>
          <w:u w:val="single"/>
          <w:lang w:val="en-US"/>
        </w:rPr>
        <w:t>provide a mapping table</w:t>
      </w:r>
      <w:r w:rsidR="00612C25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, so that all old data can be </w:t>
      </w:r>
      <w:proofErr w:type="spellStart"/>
      <w:r w:rsidR="00612C25" w:rsidRPr="0076297D">
        <w:rPr>
          <w:rFonts w:asciiTheme="minorHAnsi" w:hAnsiTheme="minorHAnsi" w:cstheme="minorHAnsi"/>
          <w:sz w:val="22"/>
          <w:szCs w:val="22"/>
          <w:lang w:val="en-US"/>
        </w:rPr>
        <w:t>recodified</w:t>
      </w:r>
      <w:proofErr w:type="spellEnd"/>
      <w:r w:rsidR="00612C25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 and time</w:t>
      </w:r>
      <w:r w:rsidR="00291366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12C25" w:rsidRPr="0076297D">
        <w:rPr>
          <w:rFonts w:asciiTheme="minorHAnsi" w:hAnsiTheme="minorHAnsi" w:cstheme="minorHAnsi"/>
          <w:sz w:val="22"/>
          <w:szCs w:val="22"/>
          <w:lang w:val="en-US"/>
        </w:rPr>
        <w:t>series remain.</w:t>
      </w:r>
    </w:p>
    <w:p w:rsidR="003E6964" w:rsidRPr="0076297D" w:rsidRDefault="00C776A0" w:rsidP="00164BF0">
      <w:pPr>
        <w:numPr>
          <w:ilvl w:val="0"/>
          <w:numId w:val="2"/>
        </w:numPr>
        <w:spacing w:before="60"/>
        <w:jc w:val="both"/>
        <w:rPr>
          <w:rFonts w:asciiTheme="minorHAnsi" w:hAnsiTheme="minorHAnsi" w:cstheme="minorHAnsi"/>
          <w:i/>
          <w:color w:val="000000"/>
          <w:sz w:val="22"/>
          <w:szCs w:val="22"/>
          <w:lang w:val="en-US" w:eastAsia="cs-CZ"/>
        </w:rPr>
      </w:pPr>
      <w:r w:rsidRPr="0076297D">
        <w:rPr>
          <w:rFonts w:asciiTheme="minorHAnsi" w:hAnsiTheme="minorHAnsi" w:cstheme="minorHAnsi"/>
          <w:b/>
          <w:sz w:val="22"/>
          <w:szCs w:val="22"/>
          <w:lang w:val="en-US"/>
        </w:rPr>
        <w:t>Aliases</w:t>
      </w:r>
      <w:r w:rsidR="00612C25" w:rsidRPr="0076297D">
        <w:rPr>
          <w:rFonts w:asciiTheme="minorHAnsi" w:hAnsiTheme="minorHAnsi" w:cstheme="minorHAnsi"/>
          <w:b/>
          <w:sz w:val="22"/>
          <w:szCs w:val="22"/>
          <w:lang w:val="en-US"/>
        </w:rPr>
        <w:t xml:space="preserve"> in hazardous substances</w:t>
      </w:r>
      <w:r w:rsidR="00612C25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. Unlike in nutrients reporting, </w:t>
      </w:r>
      <w:r w:rsidR="00276AF9">
        <w:rPr>
          <w:rFonts w:asciiTheme="minorHAnsi" w:hAnsiTheme="minorHAnsi" w:cstheme="minorHAnsi"/>
          <w:sz w:val="22"/>
          <w:szCs w:val="22"/>
          <w:lang w:val="en-US"/>
        </w:rPr>
        <w:t>countries</w:t>
      </w:r>
      <w:r w:rsidR="00612C25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 usually do not follow the DD templates in reporting the </w:t>
      </w:r>
      <w:proofErr w:type="spellStart"/>
      <w:r w:rsidR="00612C25" w:rsidRPr="0076297D">
        <w:rPr>
          <w:rFonts w:asciiTheme="minorHAnsi" w:hAnsiTheme="minorHAnsi" w:cstheme="minorHAnsi"/>
          <w:sz w:val="22"/>
          <w:szCs w:val="22"/>
          <w:lang w:val="en-US"/>
        </w:rPr>
        <w:t>hazsubs</w:t>
      </w:r>
      <w:proofErr w:type="spellEnd"/>
      <w:r w:rsidR="00612C25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 data. They use national names instead of official DD names: </w:t>
      </w:r>
      <w:r w:rsidR="00E00A86">
        <w:rPr>
          <w:rFonts w:asciiTheme="minorHAnsi" w:hAnsiTheme="minorHAnsi" w:cstheme="minorHAnsi"/>
          <w:sz w:val="22"/>
          <w:szCs w:val="22"/>
          <w:lang w:val="en-US"/>
        </w:rPr>
        <w:t xml:space="preserve">e.g. </w:t>
      </w:r>
      <w:proofErr w:type="spellStart"/>
      <w:r w:rsidR="00612C25" w:rsidRPr="0076297D">
        <w:rPr>
          <w:rFonts w:asciiTheme="minorHAnsi" w:hAnsiTheme="minorHAnsi" w:cstheme="minorHAnsi"/>
          <w:sz w:val="22"/>
          <w:szCs w:val="22"/>
          <w:lang w:val="en-US"/>
        </w:rPr>
        <w:t>Aldriini</w:t>
      </w:r>
      <w:proofErr w:type="spellEnd"/>
      <w:r w:rsidR="00612C25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612C25" w:rsidRPr="0076297D">
        <w:rPr>
          <w:rFonts w:asciiTheme="minorHAnsi" w:hAnsiTheme="minorHAnsi" w:cstheme="minorHAnsi"/>
          <w:sz w:val="22"/>
          <w:szCs w:val="22"/>
          <w:lang w:val="en-US"/>
        </w:rPr>
        <w:t>Aldrine</w:t>
      </w:r>
      <w:proofErr w:type="spellEnd"/>
      <w:r w:rsidR="00612C25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 for </w:t>
      </w:r>
      <w:r w:rsidR="00E00A86" w:rsidRPr="0076297D">
        <w:rPr>
          <w:rFonts w:asciiTheme="minorHAnsi" w:hAnsiTheme="minorHAnsi" w:cstheme="minorHAnsi"/>
          <w:sz w:val="22"/>
          <w:szCs w:val="22"/>
          <w:lang w:val="en-US"/>
        </w:rPr>
        <w:t>determinant</w:t>
      </w:r>
      <w:r w:rsidR="00612C25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612C25" w:rsidRPr="0076297D">
        <w:rPr>
          <w:rFonts w:asciiTheme="minorHAnsi" w:hAnsiTheme="minorHAnsi" w:cstheme="minorHAnsi"/>
          <w:sz w:val="22"/>
          <w:szCs w:val="22"/>
          <w:lang w:val="en-US"/>
        </w:rPr>
        <w:t>Aldrin</w:t>
      </w:r>
      <w:proofErr w:type="spellEnd"/>
      <w:r w:rsidR="00612C25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en-US"/>
        </w:rPr>
        <w:t>The ETC/ICM has</w:t>
      </w:r>
      <w:r w:rsidR="00612C25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 created a mapping table with all these combinations for </w:t>
      </w:r>
      <w:r>
        <w:rPr>
          <w:rFonts w:asciiTheme="minorHAnsi" w:hAnsiTheme="minorHAnsi" w:cstheme="minorHAnsi"/>
          <w:sz w:val="22"/>
          <w:szCs w:val="22"/>
          <w:lang w:val="en-US"/>
        </w:rPr>
        <w:t>internal</w:t>
      </w:r>
      <w:r w:rsidR="00612C25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 QA work, but it would be more proper if </w:t>
      </w:r>
      <w:r w:rsidR="00B61267">
        <w:rPr>
          <w:rFonts w:asciiTheme="minorHAnsi" w:hAnsiTheme="minorHAnsi" w:cstheme="minorHAnsi"/>
          <w:sz w:val="22"/>
          <w:szCs w:val="22"/>
          <w:lang w:val="en-US"/>
        </w:rPr>
        <w:t>countries</w:t>
      </w:r>
      <w:r w:rsidR="00612C25" w:rsidRPr="0076297D">
        <w:rPr>
          <w:rFonts w:asciiTheme="minorHAnsi" w:hAnsiTheme="minorHAnsi" w:cstheme="minorHAnsi"/>
          <w:sz w:val="22"/>
          <w:szCs w:val="22"/>
          <w:u w:val="single"/>
          <w:lang w:val="en-US"/>
        </w:rPr>
        <w:t xml:space="preserve"> followed the DD templates</w:t>
      </w:r>
      <w:r w:rsidR="00612C25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:rsidR="00612C25" w:rsidRPr="0076297D" w:rsidRDefault="00C776A0" w:rsidP="00164BF0">
      <w:pPr>
        <w:numPr>
          <w:ilvl w:val="0"/>
          <w:numId w:val="2"/>
        </w:numPr>
        <w:spacing w:before="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6297D">
        <w:rPr>
          <w:rFonts w:asciiTheme="minorHAnsi" w:hAnsiTheme="minorHAnsi" w:cstheme="minorHAnsi"/>
          <w:b/>
          <w:sz w:val="22"/>
          <w:szCs w:val="22"/>
          <w:lang w:val="en-US"/>
        </w:rPr>
        <w:t>Units</w:t>
      </w:r>
      <w:r w:rsidR="00612C25" w:rsidRPr="0076297D">
        <w:rPr>
          <w:rFonts w:asciiTheme="minorHAnsi" w:hAnsiTheme="minorHAnsi" w:cstheme="minorHAnsi"/>
          <w:b/>
          <w:sz w:val="22"/>
          <w:szCs w:val="22"/>
          <w:lang w:val="en-US"/>
        </w:rPr>
        <w:t xml:space="preserve"> in hazardous substances</w:t>
      </w:r>
      <w:r w:rsidR="00612C25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. Unlike in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612C25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nutrients reporting, </w:t>
      </w:r>
      <w:r w:rsidR="00B61267">
        <w:rPr>
          <w:rFonts w:asciiTheme="minorHAnsi" w:hAnsiTheme="minorHAnsi" w:cstheme="minorHAnsi"/>
          <w:sz w:val="22"/>
          <w:szCs w:val="22"/>
          <w:lang w:val="en-US"/>
        </w:rPr>
        <w:t>countries</w:t>
      </w:r>
      <w:r w:rsidR="00612C25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 do not always use units specified in DD, furthermore for some data one unit is used (i.e. mg/l) and for other part of data different unit is used (i.e. µg/l). It is no problem to convert units by data managers, but in many cases than these values become outliers - this usually indicates an error in selected unit (i.e. µg/l instead of mg/l).</w:t>
      </w:r>
    </w:p>
    <w:p w:rsidR="008074B6" w:rsidRPr="0076297D" w:rsidRDefault="00C776A0" w:rsidP="008074B6">
      <w:pPr>
        <w:numPr>
          <w:ilvl w:val="0"/>
          <w:numId w:val="2"/>
        </w:numPr>
        <w:spacing w:before="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6297D">
        <w:rPr>
          <w:rFonts w:asciiTheme="minorHAnsi" w:hAnsiTheme="minorHAnsi" w:cstheme="minorHAnsi"/>
          <w:b/>
          <w:sz w:val="22"/>
          <w:szCs w:val="22"/>
          <w:lang w:val="en-US"/>
        </w:rPr>
        <w:t>Hazardous</w:t>
      </w:r>
      <w:r w:rsidR="008074B6" w:rsidRPr="0076297D">
        <w:rPr>
          <w:rFonts w:asciiTheme="minorHAnsi" w:hAnsiTheme="minorHAnsi" w:cstheme="minorHAnsi"/>
          <w:b/>
          <w:sz w:val="22"/>
          <w:szCs w:val="22"/>
          <w:lang w:val="en-US"/>
        </w:rPr>
        <w:t xml:space="preserve"> substances, filtered and unfiltered samples</w:t>
      </w:r>
      <w:r w:rsidR="008074B6" w:rsidRPr="0076297D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8074B6" w:rsidRPr="0076297D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8074B6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According to Directive 2008/105/EC EQS for metals refers to the dissolved fraction, i.e. the dissolved phase of water sample obtained by filtration through a 0.45 µm filter. In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proofErr w:type="spellStart"/>
      <w:r w:rsidR="008074B6" w:rsidRPr="0076297D">
        <w:rPr>
          <w:rFonts w:asciiTheme="minorHAnsi" w:hAnsiTheme="minorHAnsi" w:cstheme="minorHAnsi"/>
          <w:sz w:val="22"/>
          <w:szCs w:val="22"/>
          <w:lang w:val="en-US"/>
        </w:rPr>
        <w:t>SoE</w:t>
      </w:r>
      <w:proofErr w:type="spellEnd"/>
      <w:r w:rsidR="008074B6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 database it is not clear if the </w:t>
      </w:r>
      <w:r w:rsidR="00B61267">
        <w:rPr>
          <w:rFonts w:asciiTheme="minorHAnsi" w:hAnsiTheme="minorHAnsi" w:cstheme="minorHAnsi"/>
          <w:sz w:val="22"/>
          <w:szCs w:val="22"/>
          <w:lang w:val="en-US"/>
        </w:rPr>
        <w:t>countries</w:t>
      </w:r>
      <w:r w:rsidR="008074B6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 have submitted data on metals on filtered or unfiltered samples. </w:t>
      </w:r>
    </w:p>
    <w:p w:rsidR="007F485A" w:rsidRPr="0076297D" w:rsidRDefault="007F485A" w:rsidP="00917151">
      <w:pPr>
        <w:numPr>
          <w:ilvl w:val="0"/>
          <w:numId w:val="2"/>
        </w:numPr>
        <w:spacing w:before="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6297D">
        <w:rPr>
          <w:rFonts w:asciiTheme="minorHAnsi" w:hAnsiTheme="minorHAnsi" w:cstheme="minorHAnsi"/>
          <w:b/>
          <w:sz w:val="22"/>
          <w:szCs w:val="22"/>
          <w:lang w:val="en-US"/>
        </w:rPr>
        <w:t>Improve communication with countries</w:t>
      </w:r>
      <w:r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917151" w:rsidRPr="0076297D">
        <w:rPr>
          <w:rFonts w:asciiTheme="minorHAnsi" w:hAnsiTheme="minorHAnsi" w:cstheme="minorHAnsi"/>
          <w:sz w:val="22"/>
          <w:szCs w:val="22"/>
          <w:lang w:val="en-US"/>
        </w:rPr>
        <w:t>Ticketing system (</w:t>
      </w:r>
      <w:proofErr w:type="spellStart"/>
      <w:r w:rsidR="00917151" w:rsidRPr="0076297D">
        <w:rPr>
          <w:rFonts w:asciiTheme="minorHAnsi" w:hAnsiTheme="minorHAnsi" w:cstheme="minorHAnsi"/>
          <w:sz w:val="22"/>
          <w:szCs w:val="22"/>
          <w:lang w:val="en-US"/>
        </w:rPr>
        <w:t>Trac</w:t>
      </w:r>
      <w:proofErr w:type="spellEnd"/>
      <w:r w:rsidR="00917151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917151" w:rsidRPr="0076297D">
        <w:rPr>
          <w:rFonts w:asciiTheme="minorHAnsi" w:hAnsiTheme="minorHAnsi" w:cstheme="minorHAnsi"/>
          <w:sz w:val="22"/>
          <w:szCs w:val="22"/>
          <w:lang w:val="en-US"/>
        </w:rPr>
        <w:t>Redmine</w:t>
      </w:r>
      <w:proofErr w:type="spellEnd"/>
      <w:r w:rsidR="00917151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) to be used also for country communication – CDR feedback feature is hard to work with, no automatic email. Each country has its own ticket, simple to track </w:t>
      </w:r>
      <w:r w:rsidR="00C776A0" w:rsidRPr="0076297D">
        <w:rPr>
          <w:rFonts w:asciiTheme="minorHAnsi" w:hAnsiTheme="minorHAnsi" w:cstheme="minorHAnsi"/>
          <w:sz w:val="22"/>
          <w:szCs w:val="22"/>
          <w:lang w:val="en-US"/>
        </w:rPr>
        <w:t>progress;</w:t>
      </w:r>
      <w:r w:rsidR="00917151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776A0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917151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EEA project manager can </w:t>
      </w:r>
      <w:r w:rsidR="00917151" w:rsidRPr="0076297D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always track </w:t>
      </w:r>
      <w:r w:rsidR="00C776A0" w:rsidRPr="0076297D">
        <w:rPr>
          <w:rFonts w:asciiTheme="minorHAnsi" w:hAnsiTheme="minorHAnsi" w:cstheme="minorHAnsi"/>
          <w:sz w:val="22"/>
          <w:szCs w:val="22"/>
          <w:lang w:val="en-US"/>
        </w:rPr>
        <w:t>communication</w:t>
      </w:r>
      <w:r w:rsidR="00917151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. The other option is to improve CDR feedback feature and that </w:t>
      </w:r>
      <w:r w:rsidR="00B61267">
        <w:rPr>
          <w:rFonts w:asciiTheme="minorHAnsi" w:hAnsiTheme="minorHAnsi" w:cstheme="minorHAnsi"/>
          <w:sz w:val="22"/>
          <w:szCs w:val="22"/>
          <w:lang w:val="en-US"/>
        </w:rPr>
        <w:t>countries</w:t>
      </w:r>
      <w:r w:rsidR="00917151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 start to use it.</w:t>
      </w:r>
    </w:p>
    <w:p w:rsidR="0049468A" w:rsidRPr="0076297D" w:rsidRDefault="00917151" w:rsidP="00006F42">
      <w:pPr>
        <w:numPr>
          <w:ilvl w:val="0"/>
          <w:numId w:val="2"/>
        </w:numPr>
        <w:spacing w:before="60"/>
        <w:jc w:val="both"/>
        <w:rPr>
          <w:rFonts w:asciiTheme="minorHAnsi" w:hAnsiTheme="minorHAnsi" w:cstheme="minorHAnsi"/>
          <w:i/>
          <w:color w:val="000000"/>
          <w:sz w:val="22"/>
          <w:szCs w:val="22"/>
          <w:lang w:val="en-US" w:eastAsia="cs-CZ"/>
        </w:rPr>
      </w:pPr>
      <w:r w:rsidRPr="0076297D">
        <w:rPr>
          <w:rFonts w:asciiTheme="minorHAnsi" w:hAnsiTheme="minorHAnsi" w:cstheme="minorHAnsi"/>
          <w:b/>
          <w:sz w:val="22"/>
          <w:szCs w:val="22"/>
          <w:lang w:val="en-US"/>
        </w:rPr>
        <w:t>Validation questions</w:t>
      </w:r>
      <w:r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B61267">
        <w:rPr>
          <w:rFonts w:asciiTheme="minorHAnsi" w:hAnsiTheme="minorHAnsi" w:cstheme="minorHAnsi"/>
          <w:sz w:val="22"/>
          <w:szCs w:val="22"/>
          <w:lang w:val="en-US"/>
        </w:rPr>
        <w:t>Countries</w:t>
      </w:r>
      <w:r w:rsidR="00006F42" w:rsidRPr="0076297D">
        <w:rPr>
          <w:rFonts w:asciiTheme="minorHAnsi" w:hAnsiTheme="minorHAnsi" w:cstheme="minorHAnsi"/>
          <w:sz w:val="22"/>
          <w:szCs w:val="22"/>
          <w:lang w:val="en-US"/>
        </w:rPr>
        <w:t xml:space="preserve"> are not very eager to answer validation questions (only 5 answered this year, 4 last year).</w:t>
      </w:r>
    </w:p>
    <w:p w:rsidR="0049468A" w:rsidRDefault="0049468A">
      <w:pPr>
        <w:rPr>
          <w:lang w:val="en-US"/>
        </w:rPr>
      </w:pPr>
    </w:p>
    <w:p w:rsidR="00E00A86" w:rsidRPr="00E00A86" w:rsidRDefault="00E00A86" w:rsidP="00E00A86">
      <w:pPr>
        <w:pStyle w:val="Heading3"/>
      </w:pPr>
      <w:r w:rsidRPr="00E00A86">
        <w:t>N.B. see also document 2c dealing with hazardous substances more specificly.</w:t>
      </w:r>
      <w:bookmarkStart w:id="0" w:name="_GoBack"/>
      <w:bookmarkEnd w:id="0"/>
    </w:p>
    <w:sectPr w:rsidR="00E00A86" w:rsidRPr="00E00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dobe Kaiti Std R">
    <w:panose1 w:val="00000000000000000000"/>
    <w:charset w:val="80"/>
    <w:family w:val="roman"/>
    <w:notTrueType/>
    <w:pitch w:val="variable"/>
    <w:sig w:usb0="00000207" w:usb1="080F0000" w:usb2="00000010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22C"/>
      </v:shape>
    </w:pict>
  </w:numPicBullet>
  <w:abstractNum w:abstractNumId="0">
    <w:nsid w:val="079F098A"/>
    <w:multiLevelType w:val="hybridMultilevel"/>
    <w:tmpl w:val="BA78075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D50FCC"/>
    <w:multiLevelType w:val="hybridMultilevel"/>
    <w:tmpl w:val="7A0ED33C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827F8"/>
    <w:multiLevelType w:val="hybridMultilevel"/>
    <w:tmpl w:val="3140F05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1730CD"/>
    <w:multiLevelType w:val="hybridMultilevel"/>
    <w:tmpl w:val="C2244F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B2C67"/>
    <w:multiLevelType w:val="multilevel"/>
    <w:tmpl w:val="7A0ED33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234629"/>
    <w:multiLevelType w:val="hybridMultilevel"/>
    <w:tmpl w:val="50F424CE"/>
    <w:lvl w:ilvl="0" w:tplc="35AA2EB8">
      <w:start w:val="1"/>
      <w:numFmt w:val="decimal"/>
      <w:lvlText w:val="%1."/>
      <w:lvlJc w:val="left"/>
      <w:pPr>
        <w:ind w:left="720" w:hanging="360"/>
      </w:pPr>
      <w:rPr>
        <w:rFonts w:cs="@Adobe Kaiti Std R"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8A"/>
    <w:rsid w:val="00006F42"/>
    <w:rsid w:val="00007A7B"/>
    <w:rsid w:val="00015D53"/>
    <w:rsid w:val="00016F38"/>
    <w:rsid w:val="0002057B"/>
    <w:rsid w:val="000366C4"/>
    <w:rsid w:val="00037A8C"/>
    <w:rsid w:val="00081025"/>
    <w:rsid w:val="000C7E73"/>
    <w:rsid w:val="000E34BD"/>
    <w:rsid w:val="00117D8B"/>
    <w:rsid w:val="001239C8"/>
    <w:rsid w:val="00130394"/>
    <w:rsid w:val="00135FC2"/>
    <w:rsid w:val="00147D09"/>
    <w:rsid w:val="00164BF0"/>
    <w:rsid w:val="002117EB"/>
    <w:rsid w:val="00236861"/>
    <w:rsid w:val="0027271F"/>
    <w:rsid w:val="00273910"/>
    <w:rsid w:val="00276AF9"/>
    <w:rsid w:val="00291366"/>
    <w:rsid w:val="002971BD"/>
    <w:rsid w:val="002B0E1F"/>
    <w:rsid w:val="002B7D7C"/>
    <w:rsid w:val="002E0F05"/>
    <w:rsid w:val="0032533A"/>
    <w:rsid w:val="00327158"/>
    <w:rsid w:val="003466D3"/>
    <w:rsid w:val="00347950"/>
    <w:rsid w:val="003602BE"/>
    <w:rsid w:val="003824DF"/>
    <w:rsid w:val="003878C7"/>
    <w:rsid w:val="003E3BB6"/>
    <w:rsid w:val="003E6964"/>
    <w:rsid w:val="00461175"/>
    <w:rsid w:val="004751E9"/>
    <w:rsid w:val="00481306"/>
    <w:rsid w:val="0049468A"/>
    <w:rsid w:val="004E35BA"/>
    <w:rsid w:val="004E3800"/>
    <w:rsid w:val="004F1F19"/>
    <w:rsid w:val="00500BE4"/>
    <w:rsid w:val="00517D0F"/>
    <w:rsid w:val="00527C3D"/>
    <w:rsid w:val="0053252B"/>
    <w:rsid w:val="00537CC4"/>
    <w:rsid w:val="00545D53"/>
    <w:rsid w:val="005808A8"/>
    <w:rsid w:val="005831BA"/>
    <w:rsid w:val="005D507E"/>
    <w:rsid w:val="00612C25"/>
    <w:rsid w:val="0061771C"/>
    <w:rsid w:val="00633A24"/>
    <w:rsid w:val="006B3E99"/>
    <w:rsid w:val="006C1107"/>
    <w:rsid w:val="006C1D9D"/>
    <w:rsid w:val="006E75AB"/>
    <w:rsid w:val="00711CA6"/>
    <w:rsid w:val="0076297D"/>
    <w:rsid w:val="007829ED"/>
    <w:rsid w:val="007A1DDA"/>
    <w:rsid w:val="007A3067"/>
    <w:rsid w:val="007A4EF3"/>
    <w:rsid w:val="007B1509"/>
    <w:rsid w:val="007F485A"/>
    <w:rsid w:val="0080586C"/>
    <w:rsid w:val="008074B6"/>
    <w:rsid w:val="00830B6A"/>
    <w:rsid w:val="008418F4"/>
    <w:rsid w:val="008926E6"/>
    <w:rsid w:val="008C041C"/>
    <w:rsid w:val="008C25C2"/>
    <w:rsid w:val="008D4072"/>
    <w:rsid w:val="008E3EC2"/>
    <w:rsid w:val="008E65BF"/>
    <w:rsid w:val="008F300E"/>
    <w:rsid w:val="00916671"/>
    <w:rsid w:val="00917151"/>
    <w:rsid w:val="00987955"/>
    <w:rsid w:val="00A20219"/>
    <w:rsid w:val="00A242C1"/>
    <w:rsid w:val="00A56F5A"/>
    <w:rsid w:val="00A66731"/>
    <w:rsid w:val="00AE4A3F"/>
    <w:rsid w:val="00B3023F"/>
    <w:rsid w:val="00B41874"/>
    <w:rsid w:val="00B47DB5"/>
    <w:rsid w:val="00B535E4"/>
    <w:rsid w:val="00B61267"/>
    <w:rsid w:val="00B62070"/>
    <w:rsid w:val="00B64E8F"/>
    <w:rsid w:val="00B91606"/>
    <w:rsid w:val="00BB072B"/>
    <w:rsid w:val="00BC4512"/>
    <w:rsid w:val="00BC6B06"/>
    <w:rsid w:val="00BE1BF9"/>
    <w:rsid w:val="00C242F3"/>
    <w:rsid w:val="00C468F6"/>
    <w:rsid w:val="00C55768"/>
    <w:rsid w:val="00C664C4"/>
    <w:rsid w:val="00C739F3"/>
    <w:rsid w:val="00C776A0"/>
    <w:rsid w:val="00CA29AE"/>
    <w:rsid w:val="00CE46DF"/>
    <w:rsid w:val="00D1283E"/>
    <w:rsid w:val="00D93E05"/>
    <w:rsid w:val="00E00A86"/>
    <w:rsid w:val="00E01DD6"/>
    <w:rsid w:val="00E0693D"/>
    <w:rsid w:val="00E15DD8"/>
    <w:rsid w:val="00E3378F"/>
    <w:rsid w:val="00E4083D"/>
    <w:rsid w:val="00E927D9"/>
    <w:rsid w:val="00EF5116"/>
    <w:rsid w:val="00F20BA4"/>
    <w:rsid w:val="00F26F96"/>
    <w:rsid w:val="00F76AF8"/>
    <w:rsid w:val="00FA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l-SI"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97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97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297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b-N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696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62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62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629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b-NO" w:eastAsia="en-US"/>
    </w:rPr>
  </w:style>
  <w:style w:type="character" w:styleId="FollowedHyperlink">
    <w:name w:val="FollowedHyperlink"/>
    <w:basedOn w:val="DefaultParagraphFont"/>
    <w:rsid w:val="00E00A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l-SI"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97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97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297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b-N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696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62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62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629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b-NO" w:eastAsia="en-US"/>
    </w:rPr>
  </w:style>
  <w:style w:type="character" w:styleId="FollowedHyperlink">
    <w:name w:val="FollowedHyperlink"/>
    <w:basedOn w:val="DefaultParagraphFont"/>
    <w:rsid w:val="00E00A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skman.eionet.europa.eu/ETCW/wiki/Data_Handl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883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Freshwater Eionet Workshop</vt:lpstr>
    </vt:vector>
  </TitlesOfParts>
  <Company>Microsoft Corporation</Company>
  <LinksUpToDate>false</LinksUpToDate>
  <CharactersWithSpaces>5935</CharactersWithSpaces>
  <SharedDoc>false</SharedDoc>
  <HLinks>
    <vt:vector size="6" baseType="variant">
      <vt:variant>
        <vt:i4>7012361</vt:i4>
      </vt:variant>
      <vt:variant>
        <vt:i4>0</vt:i4>
      </vt:variant>
      <vt:variant>
        <vt:i4>0</vt:i4>
      </vt:variant>
      <vt:variant>
        <vt:i4>5</vt:i4>
      </vt:variant>
      <vt:variant>
        <vt:lpwstr>http://taskman.eionet.europa.eu/ETCW/wiki/Data_Handling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Freshwater Eionet Workshop</dc:title>
  <dc:creator>marko</dc:creator>
  <cp:lastModifiedBy>Wouter Vanneuville</cp:lastModifiedBy>
  <cp:revision>7</cp:revision>
  <dcterms:created xsi:type="dcterms:W3CDTF">2013-07-04T12:39:00Z</dcterms:created>
  <dcterms:modified xsi:type="dcterms:W3CDTF">2013-07-08T12:51:00Z</dcterms:modified>
</cp:coreProperties>
</file>