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38"/>
        <w:tblW w:w="9999" w:type="dxa"/>
        <w:tblLayout w:type="fixed"/>
        <w:tblLook w:val="0000" w:firstRow="0" w:lastRow="0" w:firstColumn="0" w:lastColumn="0" w:noHBand="0" w:noVBand="0"/>
      </w:tblPr>
      <w:tblGrid>
        <w:gridCol w:w="4999"/>
        <w:gridCol w:w="5000"/>
      </w:tblGrid>
      <w:tr w:rsidR="00A504CB" w:rsidRPr="005A7866" w:rsidTr="00144218">
        <w:trPr>
          <w:trHeight w:val="922"/>
        </w:trPr>
        <w:tc>
          <w:tcPr>
            <w:tcW w:w="4999" w:type="dxa"/>
          </w:tcPr>
          <w:p w:rsidR="00A504CB" w:rsidRPr="005A7866" w:rsidRDefault="00A504CB" w:rsidP="00144218">
            <w:pPr>
              <w:rPr>
                <w:rFonts w:eastAsia="Arial Unicode MS"/>
                <w:b/>
              </w:rPr>
            </w:pPr>
            <w:bookmarkStart w:id="0" w:name="_GoBack"/>
            <w:bookmarkEnd w:id="0"/>
            <w:r w:rsidRPr="005A7866">
              <w:tab/>
            </w:r>
          </w:p>
        </w:tc>
        <w:tc>
          <w:tcPr>
            <w:tcW w:w="5000" w:type="dxa"/>
          </w:tcPr>
          <w:p w:rsidR="00A504CB" w:rsidRPr="005A7866" w:rsidRDefault="00A504CB" w:rsidP="00144218">
            <w:pPr>
              <w:jc w:val="right"/>
              <w:rPr>
                <w:rFonts w:eastAsia="Arial Unicode MS"/>
                <w:b/>
              </w:rPr>
            </w:pPr>
          </w:p>
        </w:tc>
      </w:tr>
    </w:tbl>
    <w:p w:rsidR="00A504CB" w:rsidRPr="00A504CB" w:rsidRDefault="00A504CB" w:rsidP="00A504CB">
      <w:pPr>
        <w:jc w:val="right"/>
        <w:rPr>
          <w:lang w:eastAsia="da-DK"/>
        </w:rPr>
      </w:pPr>
      <w:r>
        <w:rPr>
          <w:rFonts w:eastAsia="Arial Unicode MS"/>
          <w:b/>
          <w:noProof/>
          <w:lang w:eastAsia="en-GB"/>
        </w:rPr>
        <w:drawing>
          <wp:inline distT="0" distB="0" distL="0" distR="0" wp14:anchorId="49736CD6" wp14:editId="6C233CA2">
            <wp:extent cx="3166390" cy="637954"/>
            <wp:effectExtent l="0" t="0" r="0" b="0"/>
            <wp:docPr id="1" name="Picture 1" descr="Y:\Gruppen\etcicm\ETC_adm_Magdeburg\ETC 2007-2013\ETC-ICM logo\eea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etcicm\ETC_adm_Magdeburg\ETC 2007-2013\ETC-ICM logo\eea_u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403" cy="637352"/>
                    </a:xfrm>
                    <a:prstGeom prst="rect">
                      <a:avLst/>
                    </a:prstGeom>
                    <a:noFill/>
                    <a:ln>
                      <a:noFill/>
                    </a:ln>
                  </pic:spPr>
                </pic:pic>
              </a:graphicData>
            </a:graphic>
          </wp:inline>
        </w:drawing>
      </w:r>
    </w:p>
    <w:p w:rsidR="00A504CB" w:rsidRDefault="00A504CB" w:rsidP="00A504CB">
      <w:pPr>
        <w:pStyle w:val="Cover-title3"/>
        <w:rPr>
          <w:rFonts w:asciiTheme="minorHAnsi" w:hAnsiTheme="minorHAnsi"/>
        </w:rPr>
      </w:pPr>
    </w:p>
    <w:p w:rsidR="00A504CB" w:rsidRDefault="00A504CB" w:rsidP="00A504CB">
      <w:pPr>
        <w:rPr>
          <w:lang w:eastAsia="da-DK"/>
        </w:rPr>
      </w:pPr>
    </w:p>
    <w:p w:rsidR="00A504CB" w:rsidRDefault="00A504CB" w:rsidP="00A504CB">
      <w:pPr>
        <w:rPr>
          <w:lang w:eastAsia="da-DK"/>
        </w:rPr>
      </w:pPr>
    </w:p>
    <w:p w:rsidR="00A504CB" w:rsidRDefault="00A504CB" w:rsidP="00A504CB">
      <w:pPr>
        <w:rPr>
          <w:lang w:eastAsia="da-DK"/>
        </w:rPr>
      </w:pPr>
    </w:p>
    <w:p w:rsidR="00A504CB" w:rsidRDefault="00A504CB" w:rsidP="00A504CB">
      <w:pPr>
        <w:pStyle w:val="Cover-title1"/>
        <w:rPr>
          <w:rFonts w:asciiTheme="minorHAnsi" w:hAnsiTheme="minorHAnsi"/>
        </w:rPr>
      </w:pPr>
      <w:r w:rsidRPr="00FD5FFC">
        <w:rPr>
          <w:rFonts w:asciiTheme="minorHAnsi" w:hAnsiTheme="minorHAnsi"/>
        </w:rPr>
        <w:t>2015 Freshwater Eionet Workshop</w:t>
      </w:r>
      <w:r w:rsidRPr="00374D12">
        <w:rPr>
          <w:rFonts w:asciiTheme="minorHAnsi" w:hAnsiTheme="minorHAnsi"/>
        </w:rPr>
        <w:t xml:space="preserve"> </w:t>
      </w:r>
    </w:p>
    <w:p w:rsidR="00A504CB" w:rsidRDefault="00A504CB" w:rsidP="00A504CB">
      <w:pPr>
        <w:pStyle w:val="Cover-title1"/>
        <w:rPr>
          <w:rFonts w:asciiTheme="minorHAnsi" w:hAnsiTheme="minorHAnsi"/>
        </w:rPr>
      </w:pPr>
      <w:r w:rsidRPr="00FD5FFC">
        <w:rPr>
          <w:rFonts w:asciiTheme="minorHAnsi" w:hAnsiTheme="minorHAnsi"/>
        </w:rPr>
        <w:t>Background document for</w:t>
      </w:r>
      <w:r>
        <w:rPr>
          <w:rFonts w:asciiTheme="minorHAnsi" w:hAnsiTheme="minorHAnsi"/>
        </w:rPr>
        <w:t xml:space="preserve"> Session 4</w:t>
      </w:r>
    </w:p>
    <w:p w:rsidR="00A504CB" w:rsidRDefault="00A504CB" w:rsidP="00A504CB">
      <w:pPr>
        <w:rPr>
          <w:lang w:eastAsia="da-DK"/>
        </w:rPr>
      </w:pPr>
    </w:p>
    <w:p w:rsidR="00A504CB" w:rsidRPr="00374D12" w:rsidRDefault="00A504CB" w:rsidP="00A504CB">
      <w:pPr>
        <w:rPr>
          <w:lang w:eastAsia="da-DK"/>
        </w:rPr>
      </w:pPr>
    </w:p>
    <w:p w:rsidR="00E12724" w:rsidRDefault="00A504CB" w:rsidP="00A504CB">
      <w:pPr>
        <w:pStyle w:val="Cover-title2"/>
        <w:rPr>
          <w:rFonts w:asciiTheme="minorHAnsi" w:hAnsiTheme="minorHAnsi"/>
          <w:sz w:val="56"/>
          <w:szCs w:val="56"/>
        </w:rPr>
      </w:pPr>
      <w:r w:rsidRPr="00A504CB">
        <w:rPr>
          <w:rFonts w:asciiTheme="minorHAnsi" w:hAnsiTheme="minorHAnsi"/>
          <w:sz w:val="56"/>
          <w:szCs w:val="56"/>
        </w:rPr>
        <w:t xml:space="preserve">Plans for assessment of </w:t>
      </w:r>
    </w:p>
    <w:p w:rsidR="00E12724" w:rsidRDefault="00A504CB" w:rsidP="00A504CB">
      <w:pPr>
        <w:pStyle w:val="Cover-title2"/>
        <w:rPr>
          <w:rFonts w:asciiTheme="minorHAnsi" w:hAnsiTheme="minorHAnsi"/>
          <w:sz w:val="56"/>
          <w:szCs w:val="56"/>
        </w:rPr>
      </w:pPr>
      <w:r w:rsidRPr="00A504CB">
        <w:rPr>
          <w:rFonts w:asciiTheme="minorHAnsi" w:hAnsiTheme="minorHAnsi"/>
          <w:sz w:val="56"/>
          <w:szCs w:val="56"/>
        </w:rPr>
        <w:t xml:space="preserve">European waters for the next </w:t>
      </w:r>
    </w:p>
    <w:p w:rsidR="00A504CB" w:rsidRDefault="00A504CB" w:rsidP="00A504CB">
      <w:pPr>
        <w:pStyle w:val="Cover-title2"/>
        <w:rPr>
          <w:rFonts w:asciiTheme="minorHAnsi" w:hAnsiTheme="minorHAnsi"/>
          <w:sz w:val="56"/>
          <w:szCs w:val="56"/>
        </w:rPr>
      </w:pPr>
      <w:r w:rsidRPr="00A504CB">
        <w:rPr>
          <w:rFonts w:asciiTheme="minorHAnsi" w:hAnsiTheme="minorHAnsi"/>
          <w:sz w:val="56"/>
          <w:szCs w:val="56"/>
        </w:rPr>
        <w:t>State of European waters report</w:t>
      </w:r>
    </w:p>
    <w:p w:rsidR="00A504CB" w:rsidRPr="00FD5FFC" w:rsidRDefault="00A504CB" w:rsidP="00A504CB">
      <w:pPr>
        <w:pStyle w:val="Cover-title2"/>
        <w:rPr>
          <w:rFonts w:asciiTheme="minorHAnsi" w:hAnsiTheme="minorHAnsi"/>
        </w:rPr>
      </w:pPr>
    </w:p>
    <w:p w:rsidR="00A504CB" w:rsidRDefault="00A504CB" w:rsidP="00A504CB">
      <w:pPr>
        <w:pStyle w:val="BodyText"/>
      </w:pPr>
    </w:p>
    <w:p w:rsidR="00A504CB" w:rsidRPr="00FD5FFC" w:rsidRDefault="00A504CB" w:rsidP="00A504CB">
      <w:pPr>
        <w:pStyle w:val="BodyText"/>
      </w:pPr>
    </w:p>
    <w:p w:rsidR="00A504CB" w:rsidRPr="00FD5FFC" w:rsidRDefault="00A504CB" w:rsidP="00A504CB">
      <w:pPr>
        <w:pStyle w:val="Cover-title3"/>
        <w:jc w:val="left"/>
        <w:rPr>
          <w:rFonts w:asciiTheme="minorHAnsi" w:hAnsiTheme="minorHAnsi"/>
        </w:rPr>
      </w:pPr>
      <w:r w:rsidRPr="00FD5FFC">
        <w:rPr>
          <w:rFonts w:asciiTheme="minorHAnsi" w:hAnsiTheme="minorHAnsi"/>
        </w:rPr>
        <w:t xml:space="preserve"> </w:t>
      </w:r>
    </w:p>
    <w:p w:rsidR="00A504CB" w:rsidRPr="00FD5FFC" w:rsidRDefault="00A504CB" w:rsidP="00A504CB">
      <w:pPr>
        <w:pStyle w:val="Cover-title3"/>
        <w:rPr>
          <w:rFonts w:asciiTheme="minorHAnsi" w:hAnsiTheme="minorHAnsi"/>
        </w:rPr>
      </w:pPr>
      <w:r w:rsidRPr="00FD5FFC">
        <w:rPr>
          <w:rFonts w:asciiTheme="minorHAnsi" w:hAnsiTheme="minorHAnsi"/>
        </w:rPr>
        <w:t xml:space="preserve">Prepared by / compiled by: </w:t>
      </w:r>
    </w:p>
    <w:p w:rsidR="00A504CB" w:rsidRPr="00E12724" w:rsidRDefault="00A504CB" w:rsidP="00A504CB">
      <w:pPr>
        <w:pStyle w:val="Cover-title3"/>
        <w:rPr>
          <w:rFonts w:asciiTheme="minorHAnsi" w:hAnsiTheme="minorHAnsi"/>
          <w:b w:val="0"/>
          <w:lang w:val="en-US"/>
        </w:rPr>
      </w:pPr>
      <w:r w:rsidRPr="00E12724">
        <w:rPr>
          <w:rFonts w:asciiTheme="minorHAnsi" w:hAnsiTheme="minorHAnsi"/>
          <w:b w:val="0"/>
          <w:lang w:val="en-US"/>
        </w:rPr>
        <w:t>Peter Kristensen (EEA)</w:t>
      </w:r>
    </w:p>
    <w:p w:rsidR="00A504CB" w:rsidRPr="00E12724" w:rsidRDefault="00A504CB">
      <w:pPr>
        <w:rPr>
          <w:rFonts w:ascii="Arial" w:hAnsi="Arial" w:cs="Arial"/>
          <w:i/>
          <w:sz w:val="20"/>
          <w:szCs w:val="20"/>
          <w:lang w:val="en-US"/>
        </w:rPr>
      </w:pPr>
      <w:r w:rsidRPr="00E12724">
        <w:rPr>
          <w:rFonts w:ascii="Arial" w:hAnsi="Arial" w:cs="Arial"/>
          <w:i/>
          <w:sz w:val="20"/>
          <w:szCs w:val="20"/>
          <w:lang w:val="en-US"/>
        </w:rPr>
        <w:br w:type="page"/>
      </w:r>
    </w:p>
    <w:p w:rsidR="00A504CB" w:rsidRPr="00E12724" w:rsidRDefault="00A504CB">
      <w:pPr>
        <w:rPr>
          <w:rFonts w:ascii="Arial" w:hAnsi="Arial" w:cs="Arial"/>
          <w:i/>
          <w:sz w:val="20"/>
          <w:szCs w:val="20"/>
          <w:lang w:val="en-US"/>
        </w:rPr>
      </w:pPr>
    </w:p>
    <w:p w:rsidR="00E12724" w:rsidRDefault="00E12724" w:rsidP="00E12724">
      <w:pPr>
        <w:pStyle w:val="Heading3"/>
      </w:pPr>
      <w:r>
        <w:t>EEA water assessments</w:t>
      </w:r>
    </w:p>
    <w:p w:rsidR="00E97698" w:rsidRDefault="00E97698" w:rsidP="00E97698">
      <w:r>
        <w:t>The European Environment Agency (EEA) has the mandate to produce objective, reliable and comparable information to allow the Commission, member countries and the general public to judge the effectiveness of policy and the needs for policy development. This comprises straight forward State of Environment assessments using indicators such like the EEA Core Set Indicators (CSI) and other more specific indicators to assess the state of, and trends in, the water environment.</w:t>
      </w:r>
    </w:p>
    <w:p w:rsidR="00E97698" w:rsidRDefault="00E97698" w:rsidP="00E97698">
      <w:r>
        <w:t>Such an assessment should:</w:t>
      </w:r>
    </w:p>
    <w:p w:rsidR="00E97698" w:rsidRDefault="00E97698" w:rsidP="00E97698">
      <w:pPr>
        <w:pStyle w:val="ListParagraph"/>
        <w:numPr>
          <w:ilvl w:val="0"/>
          <w:numId w:val="2"/>
        </w:numPr>
      </w:pPr>
      <w:r>
        <w:t>provide the basis for identification and assessment of environmental problems and the dominant threats at regional and European levels;</w:t>
      </w:r>
    </w:p>
    <w:p w:rsidR="00E97698" w:rsidRDefault="00E97698" w:rsidP="00E97698">
      <w:pPr>
        <w:pStyle w:val="ListParagraph"/>
        <w:numPr>
          <w:ilvl w:val="0"/>
          <w:numId w:val="2"/>
        </w:numPr>
      </w:pPr>
      <w:proofErr w:type="gramStart"/>
      <w:r>
        <w:t>provide</w:t>
      </w:r>
      <w:proofErr w:type="gramEnd"/>
      <w:r>
        <w:t xml:space="preserve"> information necessary to enable actions/policies to be taken to improve the environmental state of the water bodies and to ensure sustainable development.</w:t>
      </w:r>
    </w:p>
    <w:p w:rsidR="00E97698" w:rsidRDefault="00E97698" w:rsidP="00E97698">
      <w:pPr>
        <w:pStyle w:val="ListParagraph"/>
        <w:numPr>
          <w:ilvl w:val="0"/>
          <w:numId w:val="2"/>
        </w:numPr>
      </w:pPr>
      <w:r>
        <w:t>be based at the most relevant time and space scales to meet the two objectives stated above</w:t>
      </w:r>
    </w:p>
    <w:p w:rsidR="00BB4B4A" w:rsidRDefault="00BB4B4A" w:rsidP="00BB4B4A">
      <w:pPr>
        <w:pStyle w:val="Heading3"/>
      </w:pPr>
      <w:r>
        <w:t>EEA 2017/18 State of water assessments</w:t>
      </w:r>
    </w:p>
    <w:p w:rsidR="00BB4B4A" w:rsidRDefault="00BB4B4A" w:rsidP="00BB4B4A">
      <w:r>
        <w:t>In 2018 the Commission will publish its 5</w:t>
      </w:r>
      <w:r w:rsidRPr="00BB4B4A">
        <w:rPr>
          <w:vertAlign w:val="superscript"/>
        </w:rPr>
        <w:t>th</w:t>
      </w:r>
      <w:r>
        <w:t xml:space="preserve"> WFD implementation report including a review of 2</w:t>
      </w:r>
      <w:r w:rsidRPr="00BB4B4A">
        <w:rPr>
          <w:vertAlign w:val="superscript"/>
        </w:rPr>
        <w:t>nd</w:t>
      </w:r>
      <w:r>
        <w:t xml:space="preserve"> River Basin Management Plans</w:t>
      </w:r>
      <w:r w:rsidR="00E97698">
        <w:t xml:space="preserve"> (RBMPs)</w:t>
      </w:r>
      <w:r>
        <w:t xml:space="preserve"> to be available by December 2015; and the data to be reported to WISE by 22 March 2016. The information in the 2</w:t>
      </w:r>
      <w:r w:rsidRPr="00BB4B4A">
        <w:rPr>
          <w:vertAlign w:val="superscript"/>
        </w:rPr>
        <w:t>nd</w:t>
      </w:r>
      <w:r>
        <w:t xml:space="preserve"> RBMPs and the 1</w:t>
      </w:r>
      <w:r w:rsidRPr="00BB4B4A">
        <w:rPr>
          <w:vertAlign w:val="superscript"/>
        </w:rPr>
        <w:t>st</w:t>
      </w:r>
      <w:r>
        <w:t xml:space="preserve"> Flood Risk Managements plans, and other water data reporting will also be important building blocks in relation to the water aspects of the EU 7</w:t>
      </w:r>
      <w:r w:rsidRPr="00BB4B4A">
        <w:rPr>
          <w:vertAlign w:val="superscript"/>
        </w:rPr>
        <w:t>th</w:t>
      </w:r>
      <w:r>
        <w:t xml:space="preserve"> Environmental Action Program (7EAP) and the 2020 Biodiversity Strategy.</w:t>
      </w:r>
    </w:p>
    <w:p w:rsidR="00BB4B4A" w:rsidRDefault="00BB4B4A" w:rsidP="00BB4B4A">
      <w:r>
        <w:t>To accompany and inform these policy processes EEA plans for 2017/17</w:t>
      </w:r>
      <w:r w:rsidR="00E97698">
        <w:t>8</w:t>
      </w:r>
      <w:r>
        <w:t>a milestone report “Stat</w:t>
      </w:r>
      <w:r w:rsidR="00E97698">
        <w:t xml:space="preserve">e of European </w:t>
      </w:r>
      <w:r>
        <w:t>water</w:t>
      </w:r>
      <w:r w:rsidR="00E97698">
        <w:t>s</w:t>
      </w:r>
      <w:r>
        <w:t>”</w:t>
      </w:r>
      <w:r w:rsidR="00E97698">
        <w:t xml:space="preserve"> assessment</w:t>
      </w:r>
      <w:r>
        <w:t>. The report will be based</w:t>
      </w:r>
      <w:r w:rsidR="00E97698">
        <w:t xml:space="preserve"> on information reported in 2016</w:t>
      </w:r>
      <w:r>
        <w:t xml:space="preserve"> via </w:t>
      </w:r>
      <w:r w:rsidR="00E97698">
        <w:t>RBMP</w:t>
      </w:r>
      <w:r>
        <w:t>s and supplemented with assessments of information from other sources (e.g. WISE-</w:t>
      </w:r>
      <w:proofErr w:type="spellStart"/>
      <w:r>
        <w:t>SoE</w:t>
      </w:r>
      <w:proofErr w:type="spellEnd"/>
      <w:r>
        <w:t xml:space="preserve"> data collection; EU water policies; and scientific literature). It will be developed in close cooperation and coordination with the DG Environment’s assessment of the RBMPs and</w:t>
      </w:r>
      <w:r w:rsidR="00E97698">
        <w:t xml:space="preserve"> with regular consultations with the WFD Common Implementation Strategy (CIS)) process and the Eionet freshwater NRC network</w:t>
      </w:r>
      <w:r>
        <w:t xml:space="preserve">. </w:t>
      </w:r>
    </w:p>
    <w:p w:rsidR="00B75378" w:rsidRDefault="00E97698" w:rsidP="00BB4B4A">
      <w:r>
        <w:t>The format of the EEA 2017</w:t>
      </w:r>
      <w:r w:rsidR="00BB4B4A">
        <w:t xml:space="preserve"> State of Europe’s water assessment is </w:t>
      </w:r>
      <w:r>
        <w:t>still being discussed but it may</w:t>
      </w:r>
      <w:r w:rsidR="00BB4B4A">
        <w:t xml:space="preserve"> consist of </w:t>
      </w:r>
    </w:p>
    <w:p w:rsidR="00B75378" w:rsidRDefault="00BB4B4A" w:rsidP="00B75378">
      <w:pPr>
        <w:pStyle w:val="ListParagraph"/>
        <w:numPr>
          <w:ilvl w:val="0"/>
          <w:numId w:val="7"/>
        </w:numPr>
      </w:pPr>
      <w:r>
        <w:t xml:space="preserve">an overarching </w:t>
      </w:r>
      <w:r w:rsidR="00E97698">
        <w:t>synthesis/integrated report (50-75</w:t>
      </w:r>
      <w:r>
        <w:t xml:space="preserve"> pages)</w:t>
      </w:r>
      <w:r w:rsidR="00E97698">
        <w:t xml:space="preserve"> plus </w:t>
      </w:r>
    </w:p>
    <w:p w:rsidR="00B75378" w:rsidRDefault="00E97698" w:rsidP="00B75378">
      <w:pPr>
        <w:pStyle w:val="ListParagraph"/>
        <w:numPr>
          <w:ilvl w:val="0"/>
          <w:numId w:val="7"/>
        </w:numPr>
      </w:pPr>
      <w:r>
        <w:t xml:space="preserve">a </w:t>
      </w:r>
      <w:r w:rsidR="00B75378">
        <w:t xml:space="preserve">number of thematic briefings (e.g. on ecological status or chemical status) and </w:t>
      </w:r>
    </w:p>
    <w:p w:rsidR="00BB4B4A" w:rsidRDefault="00B75378" w:rsidP="00B75378">
      <w:pPr>
        <w:pStyle w:val="ListParagraph"/>
        <w:numPr>
          <w:ilvl w:val="0"/>
          <w:numId w:val="7"/>
        </w:numPr>
      </w:pPr>
      <w:proofErr w:type="gramStart"/>
      <w:r>
        <w:t>a</w:t>
      </w:r>
      <w:proofErr w:type="gramEnd"/>
      <w:r>
        <w:t xml:space="preserve"> </w:t>
      </w:r>
      <w:r w:rsidR="00E97698">
        <w:t xml:space="preserve">web-portal with all data visualisation products (maps, diagrams, tables etc.) including </w:t>
      </w:r>
      <w:r>
        <w:t xml:space="preserve">“mini” </w:t>
      </w:r>
      <w:r w:rsidR="00E97698">
        <w:t>assessments available.</w:t>
      </w:r>
      <w:r w:rsidR="00BB4B4A">
        <w:t xml:space="preserve"> </w:t>
      </w:r>
    </w:p>
    <w:p w:rsidR="00C76226" w:rsidRPr="00AE10C1" w:rsidRDefault="00C76226" w:rsidP="00C76226">
      <w:pPr>
        <w:pStyle w:val="Heading3"/>
      </w:pPr>
      <w:r w:rsidRPr="00AE10C1">
        <w:t>The 2017 State of Water Assessment (report/portal) should cover</w:t>
      </w:r>
    </w:p>
    <w:p w:rsidR="00C76226" w:rsidRPr="00B80AA2" w:rsidRDefault="00C76226" w:rsidP="00C76226">
      <w:pPr>
        <w:pStyle w:val="ListParagraph"/>
        <w:numPr>
          <w:ilvl w:val="0"/>
          <w:numId w:val="8"/>
        </w:numPr>
        <w:tabs>
          <w:tab w:val="left" w:pos="0"/>
        </w:tabs>
        <w:spacing w:after="200" w:line="276" w:lineRule="auto"/>
        <w:jc w:val="both"/>
        <w:rPr>
          <w:rFonts w:ascii="Times New Roman" w:hAnsi="Times New Roman"/>
        </w:rPr>
      </w:pPr>
      <w:r w:rsidRPr="00B80AA2">
        <w:rPr>
          <w:rFonts w:ascii="Times New Roman" w:hAnsi="Times New Roman"/>
        </w:rPr>
        <w:t xml:space="preserve">Overview of status, pressures and impacts (update of baseline – state 2012-2015) </w:t>
      </w:r>
    </w:p>
    <w:p w:rsidR="00C76226" w:rsidRPr="00B80AA2" w:rsidRDefault="00C76226" w:rsidP="00C76226">
      <w:pPr>
        <w:pStyle w:val="ListParagraph"/>
        <w:numPr>
          <w:ilvl w:val="0"/>
          <w:numId w:val="8"/>
        </w:numPr>
        <w:tabs>
          <w:tab w:val="left" w:pos="0"/>
        </w:tabs>
        <w:spacing w:after="200" w:line="276" w:lineRule="auto"/>
        <w:jc w:val="both"/>
        <w:rPr>
          <w:rFonts w:ascii="Times New Roman" w:hAnsi="Times New Roman"/>
        </w:rPr>
      </w:pPr>
      <w:r w:rsidRPr="00B80AA2">
        <w:rPr>
          <w:rFonts w:ascii="Times New Roman" w:hAnsi="Times New Roman"/>
        </w:rPr>
        <w:t>Change in status and pressures from 1st to 2nd RBMPs</w:t>
      </w:r>
      <w:r w:rsidR="007D3921">
        <w:rPr>
          <w:rFonts w:ascii="Times New Roman" w:hAnsi="Times New Roman"/>
        </w:rPr>
        <w:t xml:space="preserve"> periods</w:t>
      </w:r>
    </w:p>
    <w:p w:rsidR="00C76226" w:rsidRPr="00B80AA2" w:rsidRDefault="00C76226" w:rsidP="00C76226">
      <w:pPr>
        <w:pStyle w:val="ListParagraph"/>
        <w:numPr>
          <w:ilvl w:val="0"/>
          <w:numId w:val="8"/>
        </w:numPr>
        <w:tabs>
          <w:tab w:val="left" w:pos="0"/>
        </w:tabs>
        <w:spacing w:after="200" w:line="276" w:lineRule="auto"/>
        <w:jc w:val="both"/>
        <w:rPr>
          <w:rFonts w:ascii="Times New Roman" w:hAnsi="Times New Roman"/>
        </w:rPr>
      </w:pPr>
      <w:r w:rsidRPr="00B80AA2">
        <w:rPr>
          <w:rFonts w:ascii="Times New Roman" w:hAnsi="Times New Roman"/>
        </w:rPr>
        <w:t>Relationship between pressure and status (what is causing less than good status) –pressures-driving force relationship.</w:t>
      </w:r>
    </w:p>
    <w:p w:rsidR="00C76226" w:rsidRDefault="00C76226" w:rsidP="00C76226">
      <w:pPr>
        <w:pStyle w:val="ListParagraph"/>
        <w:numPr>
          <w:ilvl w:val="0"/>
          <w:numId w:val="8"/>
        </w:numPr>
        <w:tabs>
          <w:tab w:val="left" w:pos="0"/>
        </w:tabs>
        <w:spacing w:after="200" w:line="276" w:lineRule="auto"/>
        <w:jc w:val="both"/>
        <w:rPr>
          <w:rFonts w:ascii="Times New Roman" w:hAnsi="Times New Roman"/>
        </w:rPr>
      </w:pPr>
      <w:r w:rsidRPr="00B80AA2">
        <w:rPr>
          <w:rFonts w:ascii="Times New Roman" w:hAnsi="Times New Roman"/>
        </w:rPr>
        <w:t>Effect of measures (focused on measures implemented during the first RBMP planning period).</w:t>
      </w:r>
    </w:p>
    <w:p w:rsidR="0010627A" w:rsidRDefault="0010627A" w:rsidP="0010627A">
      <w:pPr>
        <w:pStyle w:val="Heading2"/>
      </w:pPr>
      <w:r>
        <w:lastRenderedPageBreak/>
        <w:t xml:space="preserve">Methodology and planning </w:t>
      </w:r>
    </w:p>
    <w:p w:rsidR="0010627A" w:rsidRPr="007D3921" w:rsidRDefault="0010627A" w:rsidP="0010627A">
      <w:pPr>
        <w:pStyle w:val="NoSpacing"/>
      </w:pPr>
      <w:r w:rsidRPr="007D3921">
        <w:t xml:space="preserve">During 2015 EEA) is producing </w:t>
      </w:r>
      <w:r w:rsidR="007D3921">
        <w:t xml:space="preserve">a </w:t>
      </w:r>
      <w:r w:rsidRPr="007D3921">
        <w:rPr>
          <w:rStyle w:val="Heading4Char"/>
          <w:rFonts w:asciiTheme="minorHAnsi" w:hAnsiTheme="minorHAnsi"/>
        </w:rPr>
        <w:t xml:space="preserve">WFD assessment framework. </w:t>
      </w:r>
      <w:r w:rsidRPr="007D3921">
        <w:t xml:space="preserve">The WFD Assessment Framework will provide a common understanding and planning of the State of Water assessment. </w:t>
      </w:r>
    </w:p>
    <w:p w:rsidR="0010627A" w:rsidRPr="007D3921" w:rsidRDefault="0010627A" w:rsidP="0010627A">
      <w:pPr>
        <w:pStyle w:val="NoSpacing"/>
      </w:pPr>
    </w:p>
    <w:p w:rsidR="0010627A" w:rsidRPr="007D3921" w:rsidRDefault="0010627A" w:rsidP="0010627A">
      <w:pPr>
        <w:pStyle w:val="NoSpacing"/>
      </w:pPr>
      <w:r w:rsidRPr="007D3921">
        <w:t xml:space="preserve">During 2016 and 2017 the main activity on the 2017 State of Water assessment is </w:t>
      </w:r>
      <w:r w:rsidR="007D3921">
        <w:t>happening</w:t>
      </w:r>
      <w:r w:rsidRPr="007D3921">
        <w:t xml:space="preserve">: </w:t>
      </w:r>
    </w:p>
    <w:p w:rsidR="0010627A" w:rsidRPr="007D3921" w:rsidRDefault="0010627A" w:rsidP="0010627A">
      <w:pPr>
        <w:pStyle w:val="ListParagraph"/>
        <w:numPr>
          <w:ilvl w:val="0"/>
          <w:numId w:val="10"/>
        </w:numPr>
      </w:pPr>
      <w:r w:rsidRPr="007D3921">
        <w:t xml:space="preserve">A draft outline of the 2017 State of Water assessment will be available as outcome of the above WFD assessment framework. </w:t>
      </w:r>
    </w:p>
    <w:p w:rsidR="0010627A" w:rsidRPr="007D3921" w:rsidRDefault="0010627A" w:rsidP="0010627A">
      <w:pPr>
        <w:pStyle w:val="ListParagraph"/>
        <w:numPr>
          <w:ilvl w:val="0"/>
          <w:numId w:val="10"/>
        </w:numPr>
      </w:pPr>
      <w:r w:rsidRPr="007D3921">
        <w:t>This activity will also result in some preparatory activities, for example, testing different methods for presenting change between 1</w:t>
      </w:r>
      <w:r w:rsidRPr="007D3921">
        <w:rPr>
          <w:vertAlign w:val="superscript"/>
        </w:rPr>
        <w:t>st</w:t>
      </w:r>
      <w:r w:rsidRPr="007D3921">
        <w:t xml:space="preserve"> and 2</w:t>
      </w:r>
      <w:r w:rsidRPr="007D3921">
        <w:rPr>
          <w:vertAlign w:val="superscript"/>
        </w:rPr>
        <w:t>nd</w:t>
      </w:r>
      <w:r w:rsidRPr="007D3921">
        <w:t xml:space="preserve"> RBMP period, inventories of additional information, and analytic methods. </w:t>
      </w:r>
    </w:p>
    <w:p w:rsidR="0010627A" w:rsidRPr="007D3921" w:rsidRDefault="0010627A" w:rsidP="0010627A">
      <w:pPr>
        <w:pStyle w:val="ListParagraph"/>
        <w:numPr>
          <w:ilvl w:val="0"/>
          <w:numId w:val="10"/>
        </w:numPr>
      </w:pPr>
      <w:r w:rsidRPr="007D3921">
        <w:t xml:space="preserve">The main activity on analysing, producing results and assessments are concentrated in a three month period in the autumn 2016. </w:t>
      </w:r>
    </w:p>
    <w:p w:rsidR="0010627A" w:rsidRPr="007D3921" w:rsidRDefault="0010627A" w:rsidP="0010627A">
      <w:pPr>
        <w:pStyle w:val="ListParagraph"/>
        <w:numPr>
          <w:ilvl w:val="0"/>
          <w:numId w:val="10"/>
        </w:numPr>
      </w:pPr>
      <w:r w:rsidRPr="007D3921">
        <w:t>Thereafter there are a CIS and Eionet consultation period</w:t>
      </w:r>
      <w:r w:rsidR="007D3921" w:rsidRPr="007D3921">
        <w:t xml:space="preserve"> (first half of 2017)</w:t>
      </w:r>
      <w:r w:rsidRPr="007D3921">
        <w:t xml:space="preserve">. </w:t>
      </w:r>
    </w:p>
    <w:p w:rsidR="0010627A" w:rsidRPr="007D3921" w:rsidRDefault="0010627A" w:rsidP="0010627A">
      <w:pPr>
        <w:pStyle w:val="ListParagraph"/>
        <w:numPr>
          <w:ilvl w:val="0"/>
          <w:numId w:val="10"/>
        </w:numPr>
      </w:pPr>
      <w:r w:rsidRPr="007D3921">
        <w:t>During the summer 2017 the draft results and assessment are updated including late data deliveries and taking into account comments received on the draft.</w:t>
      </w:r>
    </w:p>
    <w:p w:rsidR="0010627A" w:rsidRPr="007D3921" w:rsidRDefault="0010627A" w:rsidP="0010627A">
      <w:pPr>
        <w:pStyle w:val="ListParagraph"/>
        <w:numPr>
          <w:ilvl w:val="0"/>
          <w:numId w:val="10"/>
        </w:numPr>
      </w:pPr>
      <w:r w:rsidRPr="007D3921">
        <w:t>The final 2017 State of Water assessment report and portal will be ready ultimo 2017.</w:t>
      </w:r>
    </w:p>
    <w:p w:rsidR="0010627A" w:rsidRPr="007D3921" w:rsidRDefault="0010627A" w:rsidP="0010627A">
      <w:pPr>
        <w:pStyle w:val="NoSpacing"/>
      </w:pPr>
      <w:r w:rsidRPr="007D3921">
        <w:t>The Eionet Freshwater NRCs and the relevant Common Implementation Strategy (CIS) Working Groups will during the process be consulted on structure of the assessment, on draft resu</w:t>
      </w:r>
      <w:r w:rsidR="007D3921" w:rsidRPr="007D3921">
        <w:t>lts and on the draft assessment</w:t>
      </w:r>
      <w:r w:rsidRPr="007D3921">
        <w:t>. It is important that the next State of Water report also include results from the EEA member countries and collaborating countries not implementing the WFD. EEA will together with the relevant NRCs explore the different options.</w:t>
      </w:r>
    </w:p>
    <w:p w:rsidR="007D3921" w:rsidRDefault="007D3921" w:rsidP="0010627A"/>
    <w:p w:rsidR="0010627A" w:rsidRDefault="009D2AE5" w:rsidP="0010627A">
      <w:r>
        <w:t>Table 1: T</w:t>
      </w:r>
      <w:r w:rsidR="0010627A">
        <w:t>entative planning and time table</w:t>
      </w:r>
    </w:p>
    <w:tbl>
      <w:tblPr>
        <w:tblStyle w:val="TableGrid"/>
        <w:tblW w:w="0" w:type="auto"/>
        <w:tblLayout w:type="fixed"/>
        <w:tblLook w:val="04A0" w:firstRow="1" w:lastRow="0" w:firstColumn="1" w:lastColumn="0" w:noHBand="0" w:noVBand="1"/>
      </w:tblPr>
      <w:tblGrid>
        <w:gridCol w:w="1871"/>
        <w:gridCol w:w="348"/>
        <w:gridCol w:w="348"/>
        <w:gridCol w:w="405"/>
        <w:gridCol w:w="304"/>
        <w:gridCol w:w="348"/>
        <w:gridCol w:w="348"/>
        <w:gridCol w:w="348"/>
        <w:gridCol w:w="348"/>
        <w:gridCol w:w="348"/>
        <w:gridCol w:w="348"/>
        <w:gridCol w:w="348"/>
        <w:gridCol w:w="348"/>
        <w:gridCol w:w="348"/>
        <w:gridCol w:w="348"/>
        <w:gridCol w:w="348"/>
        <w:gridCol w:w="348"/>
        <w:gridCol w:w="348"/>
        <w:gridCol w:w="348"/>
        <w:gridCol w:w="348"/>
        <w:gridCol w:w="348"/>
      </w:tblGrid>
      <w:tr w:rsidR="0010627A" w:rsidTr="00AE59C1">
        <w:tc>
          <w:tcPr>
            <w:tcW w:w="1871" w:type="dxa"/>
            <w:vMerge w:val="restart"/>
          </w:tcPr>
          <w:p w:rsidR="0010627A" w:rsidRDefault="0010627A" w:rsidP="00AE59C1">
            <w:pPr>
              <w:jc w:val="center"/>
            </w:pPr>
            <w:r>
              <w:br w:type="page"/>
              <w:t>Activities</w:t>
            </w:r>
          </w:p>
        </w:tc>
        <w:tc>
          <w:tcPr>
            <w:tcW w:w="1405" w:type="dxa"/>
            <w:gridSpan w:val="4"/>
            <w:tcBorders>
              <w:right w:val="single" w:sz="18" w:space="0" w:color="auto"/>
            </w:tcBorders>
            <w:shd w:val="clear" w:color="auto" w:fill="D9D9D9" w:themeFill="background1" w:themeFillShade="D9"/>
          </w:tcPr>
          <w:p w:rsidR="0010627A" w:rsidRDefault="0010627A" w:rsidP="00AE59C1">
            <w:pPr>
              <w:jc w:val="center"/>
            </w:pPr>
            <w:r>
              <w:t>2015</w:t>
            </w:r>
          </w:p>
        </w:tc>
        <w:tc>
          <w:tcPr>
            <w:tcW w:w="1392" w:type="dxa"/>
            <w:gridSpan w:val="4"/>
            <w:tcBorders>
              <w:left w:val="single" w:sz="18" w:space="0" w:color="auto"/>
              <w:right w:val="single" w:sz="18" w:space="0" w:color="auto"/>
            </w:tcBorders>
          </w:tcPr>
          <w:p w:rsidR="0010627A" w:rsidRDefault="0010627A" w:rsidP="00AE59C1">
            <w:pPr>
              <w:jc w:val="center"/>
            </w:pPr>
            <w:r>
              <w:t>2016</w:t>
            </w:r>
          </w:p>
        </w:tc>
        <w:tc>
          <w:tcPr>
            <w:tcW w:w="1392" w:type="dxa"/>
            <w:gridSpan w:val="4"/>
            <w:tcBorders>
              <w:left w:val="single" w:sz="18" w:space="0" w:color="auto"/>
              <w:right w:val="single" w:sz="18" w:space="0" w:color="auto"/>
            </w:tcBorders>
            <w:shd w:val="clear" w:color="auto" w:fill="D9D9D9" w:themeFill="background1" w:themeFillShade="D9"/>
          </w:tcPr>
          <w:p w:rsidR="0010627A" w:rsidRDefault="0010627A" w:rsidP="00AE59C1">
            <w:pPr>
              <w:jc w:val="center"/>
            </w:pPr>
            <w:r>
              <w:t>2017</w:t>
            </w:r>
          </w:p>
        </w:tc>
        <w:tc>
          <w:tcPr>
            <w:tcW w:w="1392" w:type="dxa"/>
            <w:gridSpan w:val="4"/>
            <w:tcBorders>
              <w:left w:val="single" w:sz="18" w:space="0" w:color="auto"/>
              <w:right w:val="single" w:sz="18" w:space="0" w:color="auto"/>
            </w:tcBorders>
          </w:tcPr>
          <w:p w:rsidR="0010627A" w:rsidRDefault="0010627A" w:rsidP="00AE59C1">
            <w:pPr>
              <w:jc w:val="center"/>
            </w:pPr>
            <w:r>
              <w:t>2018</w:t>
            </w:r>
          </w:p>
        </w:tc>
        <w:tc>
          <w:tcPr>
            <w:tcW w:w="1392" w:type="dxa"/>
            <w:gridSpan w:val="4"/>
            <w:tcBorders>
              <w:left w:val="single" w:sz="18" w:space="0" w:color="auto"/>
            </w:tcBorders>
            <w:shd w:val="clear" w:color="auto" w:fill="D9D9D9" w:themeFill="background1" w:themeFillShade="D9"/>
          </w:tcPr>
          <w:p w:rsidR="0010627A" w:rsidRDefault="0010627A" w:rsidP="00AE59C1">
            <w:pPr>
              <w:jc w:val="center"/>
            </w:pPr>
            <w:r>
              <w:t>2019</w:t>
            </w:r>
          </w:p>
        </w:tc>
      </w:tr>
      <w:tr w:rsidR="0010627A" w:rsidTr="00AE59C1">
        <w:tc>
          <w:tcPr>
            <w:tcW w:w="1871" w:type="dxa"/>
            <w:vMerge/>
            <w:tcBorders>
              <w:bottom w:val="single" w:sz="4"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p>
        </w:tc>
        <w:tc>
          <w:tcPr>
            <w:tcW w:w="348" w:type="dxa"/>
            <w:tcBorders>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Q1</w:t>
            </w:r>
          </w:p>
        </w:tc>
        <w:tc>
          <w:tcPr>
            <w:tcW w:w="348" w:type="dxa"/>
            <w:tcBorders>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Q2</w:t>
            </w:r>
          </w:p>
        </w:tc>
        <w:tc>
          <w:tcPr>
            <w:tcW w:w="405" w:type="dxa"/>
            <w:tcBorders>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Q3</w:t>
            </w:r>
          </w:p>
        </w:tc>
        <w:tc>
          <w:tcPr>
            <w:tcW w:w="304" w:type="dxa"/>
            <w:tcBorders>
              <w:bottom w:val="single" w:sz="4" w:space="0" w:color="auto"/>
              <w:right w:val="single" w:sz="18"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Q4</w:t>
            </w:r>
          </w:p>
        </w:tc>
        <w:tc>
          <w:tcPr>
            <w:tcW w:w="348" w:type="dxa"/>
            <w:tcBorders>
              <w:left w:val="single" w:sz="18" w:space="0" w:color="auto"/>
              <w:bottom w:val="single" w:sz="4"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Q1</w:t>
            </w:r>
          </w:p>
        </w:tc>
        <w:tc>
          <w:tcPr>
            <w:tcW w:w="348" w:type="dxa"/>
            <w:tcBorders>
              <w:bottom w:val="single" w:sz="4"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Q2</w:t>
            </w:r>
          </w:p>
        </w:tc>
        <w:tc>
          <w:tcPr>
            <w:tcW w:w="348" w:type="dxa"/>
            <w:tcBorders>
              <w:bottom w:val="single" w:sz="4"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Q3</w:t>
            </w:r>
          </w:p>
        </w:tc>
        <w:tc>
          <w:tcPr>
            <w:tcW w:w="348" w:type="dxa"/>
            <w:tcBorders>
              <w:bottom w:val="single" w:sz="4" w:space="0" w:color="auto"/>
              <w:right w:val="single" w:sz="18"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Q4</w:t>
            </w:r>
          </w:p>
        </w:tc>
        <w:tc>
          <w:tcPr>
            <w:tcW w:w="348" w:type="dxa"/>
            <w:tcBorders>
              <w:left w:val="single" w:sz="18" w:space="0" w:color="auto"/>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Q1</w:t>
            </w:r>
          </w:p>
        </w:tc>
        <w:tc>
          <w:tcPr>
            <w:tcW w:w="348" w:type="dxa"/>
            <w:tcBorders>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Q2</w:t>
            </w:r>
          </w:p>
        </w:tc>
        <w:tc>
          <w:tcPr>
            <w:tcW w:w="348" w:type="dxa"/>
            <w:tcBorders>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Q3</w:t>
            </w:r>
          </w:p>
        </w:tc>
        <w:tc>
          <w:tcPr>
            <w:tcW w:w="348" w:type="dxa"/>
            <w:tcBorders>
              <w:bottom w:val="single" w:sz="4" w:space="0" w:color="auto"/>
              <w:right w:val="single" w:sz="18"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Q4</w:t>
            </w:r>
          </w:p>
        </w:tc>
        <w:tc>
          <w:tcPr>
            <w:tcW w:w="348" w:type="dxa"/>
            <w:tcBorders>
              <w:left w:val="single" w:sz="18" w:space="0" w:color="auto"/>
              <w:bottom w:val="single" w:sz="4"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Q1</w:t>
            </w:r>
          </w:p>
        </w:tc>
        <w:tc>
          <w:tcPr>
            <w:tcW w:w="348" w:type="dxa"/>
            <w:tcBorders>
              <w:bottom w:val="single" w:sz="4"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Q2</w:t>
            </w:r>
          </w:p>
        </w:tc>
        <w:tc>
          <w:tcPr>
            <w:tcW w:w="348" w:type="dxa"/>
            <w:tcBorders>
              <w:bottom w:val="single" w:sz="4"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Q3</w:t>
            </w:r>
          </w:p>
        </w:tc>
        <w:tc>
          <w:tcPr>
            <w:tcW w:w="348" w:type="dxa"/>
            <w:tcBorders>
              <w:bottom w:val="single" w:sz="4" w:space="0" w:color="auto"/>
              <w:right w:val="single" w:sz="18" w:space="0" w:color="auto"/>
            </w:tcBorders>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Q4</w:t>
            </w:r>
          </w:p>
        </w:tc>
        <w:tc>
          <w:tcPr>
            <w:tcW w:w="348" w:type="dxa"/>
            <w:tcBorders>
              <w:left w:val="single" w:sz="18" w:space="0" w:color="auto"/>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Q1</w:t>
            </w:r>
          </w:p>
        </w:tc>
        <w:tc>
          <w:tcPr>
            <w:tcW w:w="348" w:type="dxa"/>
            <w:tcBorders>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Q2</w:t>
            </w:r>
          </w:p>
        </w:tc>
        <w:tc>
          <w:tcPr>
            <w:tcW w:w="348" w:type="dxa"/>
            <w:tcBorders>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Q3</w:t>
            </w:r>
          </w:p>
        </w:tc>
        <w:tc>
          <w:tcPr>
            <w:tcW w:w="348" w:type="dxa"/>
            <w:tcBorders>
              <w:bottom w:val="single" w:sz="4" w:space="0" w:color="auto"/>
            </w:tcBorders>
            <w:shd w:val="clear" w:color="auto" w:fill="D9D9D9" w:themeFill="background1" w:themeFillShade="D9"/>
            <w:tcMar>
              <w:left w:w="28" w:type="dxa"/>
              <w:right w:w="28" w:type="dxa"/>
            </w:tcMar>
          </w:tcPr>
          <w:p w:rsidR="0010627A" w:rsidRPr="002E342A" w:rsidRDefault="0010627A" w:rsidP="00AE59C1">
            <w:pPr>
              <w:jc w:val="center"/>
              <w:rPr>
                <w:rFonts w:ascii="Times New Roman" w:hAnsi="Times New Roman" w:cs="Times New Roman"/>
                <w:sz w:val="12"/>
                <w:szCs w:val="12"/>
              </w:rPr>
            </w:pPr>
            <w:r w:rsidRPr="002E342A">
              <w:rPr>
                <w:rFonts w:ascii="Times New Roman" w:hAnsi="Times New Roman" w:cs="Times New Roman"/>
                <w:sz w:val="12"/>
                <w:szCs w:val="12"/>
              </w:rPr>
              <w:t>Q4</w:t>
            </w:r>
          </w:p>
        </w:tc>
      </w:tr>
      <w:tr w:rsidR="009D2AE5" w:rsidRPr="00DF49D1" w:rsidTr="00AE59C1">
        <w:trPr>
          <w:trHeight w:val="215"/>
        </w:trPr>
        <w:tc>
          <w:tcPr>
            <w:tcW w:w="1871" w:type="dxa"/>
            <w:tcBorders>
              <w:top w:val="single" w:sz="4" w:space="0" w:color="auto"/>
              <w:bottom w:val="single" w:sz="4" w:space="0" w:color="auto"/>
            </w:tcBorders>
            <w:shd w:val="clear" w:color="auto" w:fill="D9D9D9" w:themeFill="background1" w:themeFillShade="D9"/>
          </w:tcPr>
          <w:p w:rsidR="0010627A" w:rsidRPr="00A45F02" w:rsidRDefault="0010627A" w:rsidP="00AE59C1">
            <w:pPr>
              <w:pStyle w:val="NoSpacing"/>
              <w:rPr>
                <w:rFonts w:cs="Times New Roman"/>
                <w:b/>
                <w:sz w:val="18"/>
                <w:szCs w:val="18"/>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405"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04" w:type="dxa"/>
            <w:tcBorders>
              <w:top w:val="single" w:sz="4" w:space="0" w:color="auto"/>
              <w:bottom w:val="single" w:sz="4" w:space="0" w:color="auto"/>
              <w:right w:val="single" w:sz="18"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D9D9D9" w:themeFill="background1" w:themeFillShade="D9"/>
          </w:tcPr>
          <w:p w:rsidR="0010627A" w:rsidRPr="005751DE" w:rsidRDefault="0010627A" w:rsidP="00AE59C1">
            <w:pPr>
              <w:pStyle w:val="NoSpacing"/>
              <w:jc w:val="right"/>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Mar>
              <w:left w:w="28" w:type="dxa"/>
            </w:tcMar>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r>
      <w:tr w:rsidR="0010627A" w:rsidRPr="00DF49D1" w:rsidTr="009D2AE5">
        <w:trPr>
          <w:trHeight w:val="340"/>
        </w:trPr>
        <w:tc>
          <w:tcPr>
            <w:tcW w:w="1871" w:type="dxa"/>
            <w:tcBorders>
              <w:top w:val="single" w:sz="4" w:space="0" w:color="auto"/>
              <w:bottom w:val="single" w:sz="4" w:space="0" w:color="auto"/>
            </w:tcBorders>
            <w:shd w:val="clear" w:color="auto" w:fill="auto"/>
          </w:tcPr>
          <w:p w:rsidR="0010627A" w:rsidRDefault="009D2AE5" w:rsidP="009D2AE5">
            <w:pPr>
              <w:pStyle w:val="NoSpacing"/>
              <w:rPr>
                <w:rFonts w:cs="Times New Roman"/>
                <w:sz w:val="18"/>
                <w:szCs w:val="18"/>
              </w:rPr>
            </w:pPr>
            <w:r>
              <w:rPr>
                <w:rFonts w:cs="Times New Roman"/>
                <w:b/>
                <w:sz w:val="18"/>
                <w:szCs w:val="18"/>
              </w:rPr>
              <w:t>WFD</w:t>
            </w:r>
            <w:r w:rsidRPr="00A45F02">
              <w:rPr>
                <w:rFonts w:cs="Times New Roman"/>
                <w:b/>
                <w:sz w:val="18"/>
                <w:szCs w:val="18"/>
              </w:rPr>
              <w:t xml:space="preserve"> assessment framework</w:t>
            </w:r>
            <w:r>
              <w:rPr>
                <w:rFonts w:cs="Times New Roman"/>
                <w:b/>
                <w:sz w:val="18"/>
                <w:szCs w:val="18"/>
              </w:rPr>
              <w:t xml:space="preserve"> </w:t>
            </w:r>
          </w:p>
        </w:tc>
        <w:tc>
          <w:tcPr>
            <w:tcW w:w="348" w:type="dxa"/>
            <w:tcBorders>
              <w:top w:val="single" w:sz="4" w:space="0" w:color="auto"/>
              <w:bottom w:val="single" w:sz="4" w:space="0" w:color="auto"/>
            </w:tcBorders>
            <w:shd w:val="clear" w:color="auto" w:fill="92D050"/>
            <w:tcMar>
              <w:right w:w="28" w:type="dxa"/>
            </w:tcMar>
          </w:tcPr>
          <w:p w:rsidR="0010627A" w:rsidRPr="005751DE" w:rsidRDefault="0010627A" w:rsidP="00AE59C1">
            <w:pPr>
              <w:pStyle w:val="NoSpacing"/>
              <w:jc w:val="right"/>
              <w:rPr>
                <w:rFonts w:ascii="Times New Roman" w:hAnsi="Times New Roman" w:cs="Times New Roman"/>
                <w:sz w:val="12"/>
                <w:szCs w:val="12"/>
                <w:highlight w:val="green"/>
              </w:rPr>
            </w:pPr>
          </w:p>
        </w:tc>
        <w:tc>
          <w:tcPr>
            <w:tcW w:w="348" w:type="dxa"/>
            <w:tcBorders>
              <w:top w:val="single" w:sz="4" w:space="0" w:color="auto"/>
              <w:bottom w:val="single" w:sz="4" w:space="0" w:color="auto"/>
            </w:tcBorders>
            <w:shd w:val="clear" w:color="auto" w:fill="92D050"/>
          </w:tcPr>
          <w:p w:rsidR="0010627A" w:rsidRPr="005751DE" w:rsidRDefault="0010627A" w:rsidP="00AE59C1">
            <w:pPr>
              <w:pStyle w:val="NoSpacing"/>
              <w:rPr>
                <w:rFonts w:ascii="Times New Roman" w:hAnsi="Times New Roman" w:cs="Times New Roman"/>
                <w:sz w:val="12"/>
                <w:szCs w:val="12"/>
                <w:highlight w:val="green"/>
              </w:rPr>
            </w:pPr>
          </w:p>
        </w:tc>
        <w:tc>
          <w:tcPr>
            <w:tcW w:w="405" w:type="dxa"/>
            <w:tcBorders>
              <w:top w:val="single" w:sz="4" w:space="0" w:color="auto"/>
              <w:bottom w:val="single" w:sz="4" w:space="0" w:color="auto"/>
            </w:tcBorders>
            <w:shd w:val="clear" w:color="auto" w:fill="92D050"/>
          </w:tcPr>
          <w:p w:rsidR="0010627A" w:rsidRPr="005751DE" w:rsidRDefault="0010627A" w:rsidP="00AE59C1">
            <w:pPr>
              <w:pStyle w:val="NoSpacing"/>
              <w:rPr>
                <w:rFonts w:ascii="Times New Roman" w:hAnsi="Times New Roman" w:cs="Times New Roman"/>
                <w:sz w:val="12"/>
                <w:szCs w:val="12"/>
              </w:rPr>
            </w:pPr>
          </w:p>
        </w:tc>
        <w:tc>
          <w:tcPr>
            <w:tcW w:w="304" w:type="dxa"/>
            <w:tcBorders>
              <w:top w:val="single" w:sz="4" w:space="0" w:color="auto"/>
              <w:bottom w:val="single" w:sz="4" w:space="0" w:color="auto"/>
              <w:right w:val="single" w:sz="18" w:space="0" w:color="auto"/>
            </w:tcBorders>
            <w:shd w:val="clear" w:color="auto" w:fill="92D050"/>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jc w:val="right"/>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Mar>
              <w:left w:w="28" w:type="dxa"/>
            </w:tcMar>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r>
      <w:tr w:rsidR="0010627A" w:rsidRPr="00DF49D1" w:rsidTr="00AE59C1">
        <w:trPr>
          <w:trHeight w:val="340"/>
        </w:trPr>
        <w:tc>
          <w:tcPr>
            <w:tcW w:w="1871" w:type="dxa"/>
            <w:tcBorders>
              <w:top w:val="single" w:sz="4" w:space="0" w:color="auto"/>
              <w:bottom w:val="single" w:sz="4" w:space="0" w:color="auto"/>
            </w:tcBorders>
            <w:shd w:val="clear" w:color="auto" w:fill="auto"/>
          </w:tcPr>
          <w:p w:rsidR="0010627A" w:rsidRDefault="0010627A" w:rsidP="00AE59C1">
            <w:pPr>
              <w:pStyle w:val="NoSpacing"/>
              <w:rPr>
                <w:rFonts w:cs="Times New Roman"/>
                <w:sz w:val="18"/>
                <w:szCs w:val="18"/>
              </w:rPr>
            </w:pPr>
            <w:r>
              <w:rPr>
                <w:rFonts w:cs="Times New Roman"/>
                <w:sz w:val="18"/>
                <w:szCs w:val="18"/>
              </w:rPr>
              <w:t>Internal &amp; external consultation</w:t>
            </w:r>
          </w:p>
        </w:tc>
        <w:tc>
          <w:tcPr>
            <w:tcW w:w="348" w:type="dxa"/>
            <w:tcBorders>
              <w:top w:val="single" w:sz="4" w:space="0" w:color="auto"/>
              <w:bottom w:val="single" w:sz="4" w:space="0" w:color="auto"/>
            </w:tcBorders>
            <w:shd w:val="clear" w:color="auto" w:fill="auto"/>
            <w:tcMar>
              <w:right w:w="28" w:type="dxa"/>
            </w:tcMar>
          </w:tcPr>
          <w:p w:rsidR="0010627A" w:rsidRPr="005751DE" w:rsidRDefault="0010627A" w:rsidP="00AE59C1">
            <w:pPr>
              <w:pStyle w:val="NoSpacing"/>
              <w:jc w:val="center"/>
              <w:rPr>
                <w:rFonts w:ascii="Times New Roman" w:hAnsi="Times New Roman" w:cs="Times New Roman"/>
                <w:sz w:val="12"/>
                <w:szCs w:val="12"/>
              </w:rPr>
            </w:pPr>
            <w:r w:rsidRPr="005751DE">
              <w:rPr>
                <w:rFonts w:ascii="Times New Roman" w:hAnsi="Times New Roman" w:cs="Times New Roman"/>
                <w:sz w:val="12"/>
                <w:szCs w:val="12"/>
              </w:rPr>
              <w:t>X</w:t>
            </w: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r w:rsidRPr="005751DE">
              <w:rPr>
                <w:rFonts w:ascii="Times New Roman" w:hAnsi="Times New Roman" w:cs="Times New Roman"/>
                <w:sz w:val="12"/>
                <w:szCs w:val="12"/>
              </w:rPr>
              <w:t>X</w:t>
            </w:r>
          </w:p>
        </w:tc>
        <w:tc>
          <w:tcPr>
            <w:tcW w:w="405"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r>
              <w:rPr>
                <w:rFonts w:ascii="Times New Roman" w:hAnsi="Times New Roman" w:cs="Times New Roman"/>
                <w:sz w:val="12"/>
                <w:szCs w:val="12"/>
              </w:rPr>
              <w:t>X</w:t>
            </w:r>
          </w:p>
        </w:tc>
        <w:tc>
          <w:tcPr>
            <w:tcW w:w="304"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r>
              <w:rPr>
                <w:rFonts w:ascii="Times New Roman" w:hAnsi="Times New Roman" w:cs="Times New Roman"/>
                <w:sz w:val="12"/>
                <w:szCs w:val="12"/>
              </w:rPr>
              <w:t>X</w:t>
            </w: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jc w:val="right"/>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Mar>
              <w:left w:w="28" w:type="dxa"/>
            </w:tcMar>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r>
      <w:tr w:rsidR="009D2AE5" w:rsidRPr="00DF49D1" w:rsidTr="00AE59C1">
        <w:trPr>
          <w:trHeight w:val="340"/>
        </w:trPr>
        <w:tc>
          <w:tcPr>
            <w:tcW w:w="1871" w:type="dxa"/>
            <w:tcBorders>
              <w:top w:val="single" w:sz="4" w:space="0" w:color="auto"/>
              <w:bottom w:val="single" w:sz="4" w:space="0" w:color="auto"/>
            </w:tcBorders>
            <w:shd w:val="clear" w:color="auto" w:fill="D9D9D9" w:themeFill="background1" w:themeFillShade="D9"/>
          </w:tcPr>
          <w:p w:rsidR="0010627A" w:rsidRPr="00AD6D08" w:rsidRDefault="009D2AE5" w:rsidP="00AE59C1">
            <w:pPr>
              <w:pStyle w:val="NoSpacing"/>
              <w:rPr>
                <w:rFonts w:cs="Times New Roman"/>
                <w:b/>
                <w:sz w:val="18"/>
                <w:szCs w:val="18"/>
              </w:rPr>
            </w:pPr>
            <w:r>
              <w:rPr>
                <w:rFonts w:cs="Times New Roman"/>
                <w:b/>
                <w:sz w:val="18"/>
                <w:szCs w:val="18"/>
              </w:rPr>
              <w:t xml:space="preserve">State of water </w:t>
            </w:r>
            <w:r w:rsidR="0010627A">
              <w:rPr>
                <w:rFonts w:cs="Times New Roman"/>
                <w:b/>
                <w:sz w:val="18"/>
                <w:szCs w:val="18"/>
              </w:rPr>
              <w:t>assessment activities</w:t>
            </w:r>
          </w:p>
        </w:tc>
        <w:tc>
          <w:tcPr>
            <w:tcW w:w="348" w:type="dxa"/>
            <w:tcBorders>
              <w:top w:val="single" w:sz="4" w:space="0" w:color="auto"/>
              <w:bottom w:val="single" w:sz="4" w:space="0" w:color="auto"/>
            </w:tcBorders>
            <w:shd w:val="clear" w:color="auto" w:fill="D9D9D9" w:themeFill="background1" w:themeFillShade="D9"/>
            <w:tcMar>
              <w:left w:w="28" w:type="dxa"/>
              <w:right w:w="28" w:type="dxa"/>
            </w:tcMar>
          </w:tcPr>
          <w:p w:rsidR="0010627A"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Default="0010627A" w:rsidP="00AE59C1">
            <w:pPr>
              <w:pStyle w:val="NoSpacing"/>
              <w:rPr>
                <w:rFonts w:ascii="Times New Roman" w:hAnsi="Times New Roman" w:cs="Times New Roman"/>
                <w:sz w:val="12"/>
                <w:szCs w:val="12"/>
              </w:rPr>
            </w:pPr>
          </w:p>
        </w:tc>
        <w:tc>
          <w:tcPr>
            <w:tcW w:w="405" w:type="dxa"/>
            <w:tcBorders>
              <w:top w:val="single" w:sz="4" w:space="0" w:color="auto"/>
              <w:bottom w:val="single" w:sz="4" w:space="0" w:color="auto"/>
            </w:tcBorders>
            <w:shd w:val="clear" w:color="auto" w:fill="D9D9D9" w:themeFill="background1" w:themeFillShade="D9"/>
          </w:tcPr>
          <w:p w:rsidR="0010627A" w:rsidRDefault="0010627A" w:rsidP="00AE59C1">
            <w:pPr>
              <w:pStyle w:val="NoSpacing"/>
              <w:rPr>
                <w:rFonts w:ascii="Times New Roman" w:hAnsi="Times New Roman" w:cs="Times New Roman"/>
                <w:sz w:val="12"/>
                <w:szCs w:val="12"/>
              </w:rPr>
            </w:pPr>
          </w:p>
        </w:tc>
        <w:tc>
          <w:tcPr>
            <w:tcW w:w="304" w:type="dxa"/>
            <w:tcBorders>
              <w:top w:val="single" w:sz="4" w:space="0" w:color="auto"/>
              <w:bottom w:val="single" w:sz="4" w:space="0" w:color="auto"/>
              <w:right w:val="single" w:sz="18" w:space="0" w:color="auto"/>
            </w:tcBorders>
            <w:shd w:val="clear" w:color="auto" w:fill="D9D9D9" w:themeFill="background1" w:themeFillShade="D9"/>
          </w:tcPr>
          <w:p w:rsidR="0010627A"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D9D9D9" w:themeFill="background1" w:themeFillShade="D9"/>
          </w:tcPr>
          <w:p w:rsidR="0010627A" w:rsidRPr="005751DE" w:rsidRDefault="0010627A" w:rsidP="00AE59C1">
            <w:pPr>
              <w:pStyle w:val="NoSpacing"/>
              <w:jc w:val="right"/>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Mar>
              <w:left w:w="28" w:type="dxa"/>
            </w:tcMar>
          </w:tcPr>
          <w:p w:rsidR="0010627A" w:rsidRDefault="0010627A" w:rsidP="00AE59C1">
            <w:pPr>
              <w:pStyle w:val="NoSpacing"/>
              <w:rPr>
                <w:rFonts w:ascii="Times New Roman" w:hAnsi="Times New Roman" w:cs="Times New Roman"/>
                <w:sz w:val="12"/>
                <w:szCs w:val="12"/>
              </w:rPr>
            </w:pPr>
          </w:p>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D9D9D9" w:themeFill="background1" w:themeFillShade="D9"/>
          </w:tcPr>
          <w:p w:rsidR="0010627A" w:rsidRPr="005751DE" w:rsidRDefault="0010627A" w:rsidP="00AE59C1">
            <w:pPr>
              <w:pStyle w:val="NoSpacing"/>
              <w:rPr>
                <w:rFonts w:ascii="Times New Roman" w:hAnsi="Times New Roman" w:cs="Times New Roman"/>
                <w:sz w:val="12"/>
                <w:szCs w:val="12"/>
              </w:rPr>
            </w:pPr>
          </w:p>
        </w:tc>
      </w:tr>
      <w:tr w:rsidR="0010627A" w:rsidRPr="00DF49D1" w:rsidTr="00AE59C1">
        <w:trPr>
          <w:trHeight w:val="340"/>
        </w:trPr>
        <w:tc>
          <w:tcPr>
            <w:tcW w:w="1871" w:type="dxa"/>
            <w:tcBorders>
              <w:top w:val="single" w:sz="4" w:space="0" w:color="auto"/>
              <w:bottom w:val="single" w:sz="4" w:space="0" w:color="auto"/>
            </w:tcBorders>
            <w:shd w:val="clear" w:color="auto" w:fill="auto"/>
          </w:tcPr>
          <w:p w:rsidR="0010627A" w:rsidRPr="00AD6D08" w:rsidRDefault="0010627A" w:rsidP="009D2AE5">
            <w:pPr>
              <w:pStyle w:val="NoSpacing"/>
              <w:rPr>
                <w:rFonts w:cs="Times New Roman"/>
                <w:sz w:val="18"/>
                <w:szCs w:val="18"/>
              </w:rPr>
            </w:pPr>
            <w:r w:rsidRPr="00AD6D08">
              <w:rPr>
                <w:rFonts w:cs="Times New Roman"/>
                <w:sz w:val="18"/>
                <w:szCs w:val="18"/>
              </w:rPr>
              <w:t xml:space="preserve">Preparatory assessments </w:t>
            </w:r>
          </w:p>
        </w:tc>
        <w:tc>
          <w:tcPr>
            <w:tcW w:w="348" w:type="dxa"/>
            <w:tcBorders>
              <w:top w:val="single" w:sz="4" w:space="0" w:color="auto"/>
              <w:bottom w:val="single" w:sz="4" w:space="0" w:color="auto"/>
            </w:tcBorders>
            <w:shd w:val="clear" w:color="auto" w:fill="auto"/>
            <w:tcMar>
              <w:left w:w="28" w:type="dxa"/>
              <w:right w:w="28" w:type="dxa"/>
            </w:tcMar>
          </w:tcPr>
          <w:p w:rsidR="0010627A"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rPr>
                <w:rFonts w:ascii="Times New Roman" w:hAnsi="Times New Roman" w:cs="Times New Roman"/>
                <w:sz w:val="12"/>
                <w:szCs w:val="12"/>
              </w:rPr>
            </w:pPr>
          </w:p>
        </w:tc>
        <w:tc>
          <w:tcPr>
            <w:tcW w:w="405"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r>
              <w:rPr>
                <w:rFonts w:ascii="Times New Roman" w:hAnsi="Times New Roman" w:cs="Times New Roman"/>
                <w:sz w:val="12"/>
                <w:szCs w:val="12"/>
              </w:rPr>
              <w:t>X</w:t>
            </w:r>
          </w:p>
        </w:tc>
        <w:tc>
          <w:tcPr>
            <w:tcW w:w="304" w:type="dxa"/>
            <w:tcBorders>
              <w:top w:val="single" w:sz="4" w:space="0" w:color="auto"/>
              <w:bottom w:val="single" w:sz="4" w:space="0" w:color="auto"/>
              <w:right w:val="single" w:sz="18"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r>
              <w:rPr>
                <w:rFonts w:ascii="Times New Roman" w:hAnsi="Times New Roman" w:cs="Times New Roman"/>
                <w:sz w:val="12"/>
                <w:szCs w:val="12"/>
              </w:rPr>
              <w:t>X</w:t>
            </w:r>
          </w:p>
        </w:tc>
        <w:tc>
          <w:tcPr>
            <w:tcW w:w="348" w:type="dxa"/>
            <w:tcBorders>
              <w:top w:val="single" w:sz="4" w:space="0" w:color="auto"/>
              <w:left w:val="single" w:sz="18" w:space="0" w:color="auto"/>
              <w:bottom w:val="single" w:sz="4" w:space="0" w:color="auto"/>
            </w:tcBorders>
            <w:shd w:val="clear" w:color="auto" w:fill="92D050"/>
          </w:tcPr>
          <w:p w:rsidR="0010627A" w:rsidRPr="005751DE" w:rsidRDefault="0010627A" w:rsidP="00AE59C1">
            <w:pPr>
              <w:pStyle w:val="NoSpacing"/>
              <w:jc w:val="center"/>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92D050"/>
          </w:tcPr>
          <w:p w:rsidR="0010627A" w:rsidRPr="005751DE" w:rsidRDefault="0010627A" w:rsidP="00AE59C1">
            <w:pPr>
              <w:pStyle w:val="NoSpacing"/>
              <w:jc w:val="center"/>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Mar>
              <w:left w:w="28" w:type="dxa"/>
            </w:tcMar>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r>
      <w:tr w:rsidR="0010627A" w:rsidRPr="00DF49D1" w:rsidTr="00AE59C1">
        <w:trPr>
          <w:trHeight w:val="340"/>
        </w:trPr>
        <w:tc>
          <w:tcPr>
            <w:tcW w:w="1871" w:type="dxa"/>
            <w:tcBorders>
              <w:top w:val="single" w:sz="4" w:space="0" w:color="auto"/>
              <w:bottom w:val="single" w:sz="4" w:space="0" w:color="auto"/>
            </w:tcBorders>
            <w:shd w:val="clear" w:color="auto" w:fill="auto"/>
          </w:tcPr>
          <w:p w:rsidR="0010627A" w:rsidRPr="00AD6D08" w:rsidRDefault="0010627A" w:rsidP="00AE59C1">
            <w:pPr>
              <w:pStyle w:val="NoSpacing"/>
              <w:rPr>
                <w:rFonts w:cs="Times New Roman"/>
                <w:sz w:val="18"/>
                <w:szCs w:val="18"/>
              </w:rPr>
            </w:pPr>
            <w:r>
              <w:rPr>
                <w:rFonts w:cs="Times New Roman"/>
                <w:sz w:val="18"/>
                <w:szCs w:val="18"/>
              </w:rPr>
              <w:t>Main assessment activities</w:t>
            </w:r>
          </w:p>
        </w:tc>
        <w:tc>
          <w:tcPr>
            <w:tcW w:w="348" w:type="dxa"/>
            <w:tcBorders>
              <w:top w:val="single" w:sz="4" w:space="0" w:color="auto"/>
              <w:bottom w:val="single" w:sz="4" w:space="0" w:color="auto"/>
            </w:tcBorders>
            <w:shd w:val="clear" w:color="auto" w:fill="auto"/>
            <w:tcMar>
              <w:left w:w="28" w:type="dxa"/>
              <w:right w:w="28" w:type="dxa"/>
            </w:tcMar>
          </w:tcPr>
          <w:p w:rsidR="0010627A"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rPr>
                <w:rFonts w:ascii="Times New Roman" w:hAnsi="Times New Roman" w:cs="Times New Roman"/>
                <w:sz w:val="12"/>
                <w:szCs w:val="12"/>
              </w:rPr>
            </w:pPr>
          </w:p>
        </w:tc>
        <w:tc>
          <w:tcPr>
            <w:tcW w:w="405"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04" w:type="dxa"/>
            <w:tcBorders>
              <w:top w:val="single" w:sz="4" w:space="0" w:color="auto"/>
              <w:bottom w:val="single" w:sz="4" w:space="0" w:color="auto"/>
              <w:right w:val="single" w:sz="18"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92D050"/>
            <w:tcMar>
              <w:left w:w="28" w:type="dxa"/>
            </w:tcMar>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92D050"/>
          </w:tcPr>
          <w:p w:rsidR="0010627A" w:rsidRPr="00AD6D08" w:rsidRDefault="0010627A" w:rsidP="00AE59C1">
            <w:pPr>
              <w:pStyle w:val="NoSpacing"/>
              <w:jc w:val="center"/>
              <w:rPr>
                <w:rFonts w:ascii="Times New Roman" w:hAnsi="Times New Roman" w:cs="Times New Roman"/>
                <w:sz w:val="16"/>
                <w:szCs w:val="16"/>
              </w:rPr>
            </w:pPr>
            <w:r w:rsidRPr="00AD6D08">
              <w:rPr>
                <w:rFonts w:ascii="Times New Roman" w:hAnsi="Times New Roman" w:cs="Times New Roman"/>
                <w:sz w:val="16"/>
                <w:szCs w:val="16"/>
              </w:rPr>
              <w:t>▲</w:t>
            </w: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r>
      <w:tr w:rsidR="0010627A" w:rsidRPr="00DF49D1" w:rsidTr="00AE59C1">
        <w:trPr>
          <w:trHeight w:val="340"/>
        </w:trPr>
        <w:tc>
          <w:tcPr>
            <w:tcW w:w="1871" w:type="dxa"/>
            <w:tcBorders>
              <w:top w:val="single" w:sz="4" w:space="0" w:color="auto"/>
              <w:bottom w:val="single" w:sz="4" w:space="0" w:color="auto"/>
            </w:tcBorders>
            <w:shd w:val="clear" w:color="auto" w:fill="auto"/>
          </w:tcPr>
          <w:p w:rsidR="0010627A" w:rsidRDefault="0010627A" w:rsidP="009D2AE5">
            <w:pPr>
              <w:pStyle w:val="NoSpacing"/>
              <w:rPr>
                <w:rFonts w:cs="Times New Roman"/>
                <w:sz w:val="18"/>
                <w:szCs w:val="18"/>
              </w:rPr>
            </w:pPr>
            <w:r>
              <w:rPr>
                <w:rFonts w:cs="Times New Roman"/>
                <w:sz w:val="18"/>
                <w:szCs w:val="18"/>
              </w:rPr>
              <w:t xml:space="preserve">CIS and Eionet consultation of draft report </w:t>
            </w:r>
          </w:p>
        </w:tc>
        <w:tc>
          <w:tcPr>
            <w:tcW w:w="348" w:type="dxa"/>
            <w:tcBorders>
              <w:top w:val="single" w:sz="4" w:space="0" w:color="auto"/>
              <w:bottom w:val="single" w:sz="4" w:space="0" w:color="auto"/>
            </w:tcBorders>
            <w:shd w:val="clear" w:color="auto" w:fill="auto"/>
            <w:tcMar>
              <w:left w:w="28" w:type="dxa"/>
              <w:right w:w="28" w:type="dxa"/>
            </w:tcMar>
          </w:tcPr>
          <w:p w:rsidR="0010627A"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rPr>
                <w:rFonts w:ascii="Times New Roman" w:hAnsi="Times New Roman" w:cs="Times New Roman"/>
                <w:sz w:val="12"/>
                <w:szCs w:val="12"/>
              </w:rPr>
            </w:pPr>
          </w:p>
        </w:tc>
        <w:tc>
          <w:tcPr>
            <w:tcW w:w="405"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04" w:type="dxa"/>
            <w:tcBorders>
              <w:top w:val="single" w:sz="4" w:space="0" w:color="auto"/>
              <w:bottom w:val="single" w:sz="4" w:space="0" w:color="auto"/>
              <w:right w:val="single" w:sz="18"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r>
              <w:rPr>
                <w:rFonts w:ascii="Times New Roman" w:hAnsi="Times New Roman" w:cs="Times New Roman"/>
                <w:sz w:val="12"/>
                <w:szCs w:val="12"/>
              </w:rPr>
              <w:t>X</w:t>
            </w:r>
          </w:p>
        </w:tc>
        <w:tc>
          <w:tcPr>
            <w:tcW w:w="348"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r>
              <w:rPr>
                <w:rFonts w:ascii="Times New Roman" w:hAnsi="Times New Roman" w:cs="Times New Roman"/>
                <w:sz w:val="12"/>
                <w:szCs w:val="12"/>
              </w:rPr>
              <w:t>X</w:t>
            </w:r>
          </w:p>
        </w:tc>
        <w:tc>
          <w:tcPr>
            <w:tcW w:w="348" w:type="dxa"/>
            <w:tcBorders>
              <w:top w:val="single" w:sz="4" w:space="0" w:color="auto"/>
              <w:bottom w:val="single" w:sz="4" w:space="0" w:color="auto"/>
            </w:tcBorders>
            <w:shd w:val="clear" w:color="auto" w:fill="auto"/>
            <w:tcMar>
              <w:left w:w="28" w:type="dxa"/>
            </w:tcMar>
          </w:tcPr>
          <w:p w:rsidR="0010627A" w:rsidRDefault="0010627A" w:rsidP="00AE59C1">
            <w:pPr>
              <w:pStyle w:val="NoSpacing"/>
              <w:jc w:val="center"/>
              <w:rPr>
                <w:rFonts w:ascii="Times New Roman" w:hAnsi="Times New Roman" w:cs="Times New Roman"/>
                <w:sz w:val="12"/>
                <w:szCs w:val="12"/>
              </w:rPr>
            </w:pPr>
            <w:r>
              <w:rPr>
                <w:rFonts w:ascii="Times New Roman" w:hAnsi="Times New Roman" w:cs="Times New Roman"/>
                <w:sz w:val="12"/>
                <w:szCs w:val="12"/>
              </w:rPr>
              <w:t>X</w:t>
            </w:r>
          </w:p>
        </w:tc>
        <w:tc>
          <w:tcPr>
            <w:tcW w:w="348" w:type="dxa"/>
            <w:tcBorders>
              <w:top w:val="single" w:sz="4" w:space="0" w:color="auto"/>
              <w:bottom w:val="single" w:sz="4" w:space="0" w:color="auto"/>
              <w:right w:val="single" w:sz="18"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r>
              <w:rPr>
                <w:rFonts w:ascii="Times New Roman" w:hAnsi="Times New Roman" w:cs="Times New Roman"/>
                <w:sz w:val="12"/>
                <w:szCs w:val="12"/>
              </w:rPr>
              <w:t>X</w:t>
            </w:r>
          </w:p>
        </w:tc>
        <w:tc>
          <w:tcPr>
            <w:tcW w:w="348" w:type="dxa"/>
            <w:tcBorders>
              <w:top w:val="single" w:sz="4" w:space="0" w:color="auto"/>
              <w:left w:val="single" w:sz="18" w:space="0" w:color="auto"/>
              <w:bottom w:val="single" w:sz="4" w:space="0" w:color="auto"/>
            </w:tcBorders>
            <w:shd w:val="clear" w:color="auto" w:fill="FFFF00"/>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FFFF00"/>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r>
      <w:tr w:rsidR="0010627A" w:rsidRPr="00DF49D1" w:rsidTr="00AE59C1">
        <w:trPr>
          <w:trHeight w:val="340"/>
        </w:trPr>
        <w:tc>
          <w:tcPr>
            <w:tcW w:w="1871" w:type="dxa"/>
            <w:tcBorders>
              <w:top w:val="single" w:sz="4" w:space="0" w:color="auto"/>
              <w:bottom w:val="single" w:sz="4" w:space="0" w:color="auto"/>
            </w:tcBorders>
            <w:shd w:val="clear" w:color="auto" w:fill="auto"/>
          </w:tcPr>
          <w:p w:rsidR="0010627A" w:rsidRDefault="0010627A" w:rsidP="00AE59C1">
            <w:pPr>
              <w:pStyle w:val="NoSpacing"/>
              <w:rPr>
                <w:rFonts w:cs="Times New Roman"/>
                <w:sz w:val="18"/>
                <w:szCs w:val="18"/>
              </w:rPr>
            </w:pPr>
            <w:r>
              <w:rPr>
                <w:rFonts w:cs="Times New Roman"/>
                <w:sz w:val="18"/>
                <w:szCs w:val="18"/>
              </w:rPr>
              <w:t>Final update of report and related products</w:t>
            </w:r>
          </w:p>
        </w:tc>
        <w:tc>
          <w:tcPr>
            <w:tcW w:w="348" w:type="dxa"/>
            <w:tcBorders>
              <w:top w:val="single" w:sz="4" w:space="0" w:color="auto"/>
              <w:bottom w:val="single" w:sz="4" w:space="0" w:color="auto"/>
            </w:tcBorders>
            <w:shd w:val="clear" w:color="auto" w:fill="auto"/>
            <w:tcMar>
              <w:left w:w="28" w:type="dxa"/>
              <w:right w:w="28" w:type="dxa"/>
            </w:tcMar>
          </w:tcPr>
          <w:p w:rsidR="0010627A"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rPr>
                <w:rFonts w:ascii="Times New Roman" w:hAnsi="Times New Roman" w:cs="Times New Roman"/>
                <w:sz w:val="12"/>
                <w:szCs w:val="12"/>
              </w:rPr>
            </w:pPr>
          </w:p>
        </w:tc>
        <w:tc>
          <w:tcPr>
            <w:tcW w:w="405"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04" w:type="dxa"/>
            <w:tcBorders>
              <w:top w:val="single" w:sz="4" w:space="0" w:color="auto"/>
              <w:bottom w:val="single" w:sz="4" w:space="0" w:color="auto"/>
              <w:right w:val="single" w:sz="18"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Mar>
              <w:left w:w="28" w:type="dxa"/>
            </w:tcMar>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AD6D08" w:rsidRDefault="0010627A" w:rsidP="00AE59C1">
            <w:pPr>
              <w:pStyle w:val="NoSpacing"/>
              <w:jc w:val="center"/>
              <w:rPr>
                <w:rFonts w:ascii="Times New Roman" w:hAnsi="Times New Roman" w:cs="Times New Roman"/>
                <w:sz w:val="16"/>
                <w:szCs w:val="16"/>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r>
              <w:rPr>
                <w:rFonts w:ascii="Times New Roman" w:hAnsi="Times New Roman" w:cs="Times New Roman"/>
                <w:sz w:val="12"/>
                <w:szCs w:val="12"/>
              </w:rPr>
              <w:t>▼</w:t>
            </w: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r>
      <w:tr w:rsidR="0010627A" w:rsidRPr="00DF49D1" w:rsidTr="00AE59C1">
        <w:trPr>
          <w:trHeight w:val="340"/>
        </w:trPr>
        <w:tc>
          <w:tcPr>
            <w:tcW w:w="1871" w:type="dxa"/>
            <w:tcBorders>
              <w:top w:val="single" w:sz="4" w:space="0" w:color="auto"/>
              <w:bottom w:val="single" w:sz="4" w:space="0" w:color="auto"/>
            </w:tcBorders>
            <w:shd w:val="clear" w:color="auto" w:fill="auto"/>
          </w:tcPr>
          <w:p w:rsidR="0010627A" w:rsidRDefault="0010627A" w:rsidP="00AE59C1">
            <w:pPr>
              <w:pStyle w:val="NoSpacing"/>
              <w:rPr>
                <w:rFonts w:cs="Times New Roman"/>
                <w:sz w:val="18"/>
                <w:szCs w:val="18"/>
              </w:rPr>
            </w:pPr>
            <w:r>
              <w:rPr>
                <w:rFonts w:cs="Times New Roman"/>
                <w:sz w:val="18"/>
                <w:szCs w:val="18"/>
              </w:rPr>
              <w:t>Final EEA 2017 state of water assessment</w:t>
            </w:r>
          </w:p>
        </w:tc>
        <w:tc>
          <w:tcPr>
            <w:tcW w:w="348" w:type="dxa"/>
            <w:tcBorders>
              <w:top w:val="single" w:sz="4" w:space="0" w:color="auto"/>
              <w:bottom w:val="single" w:sz="4" w:space="0" w:color="auto"/>
            </w:tcBorders>
            <w:shd w:val="clear" w:color="auto" w:fill="auto"/>
            <w:tcMar>
              <w:left w:w="28" w:type="dxa"/>
              <w:right w:w="28" w:type="dxa"/>
            </w:tcMar>
          </w:tcPr>
          <w:p w:rsidR="0010627A"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rPr>
                <w:rFonts w:ascii="Times New Roman" w:hAnsi="Times New Roman" w:cs="Times New Roman"/>
                <w:sz w:val="12"/>
                <w:szCs w:val="12"/>
              </w:rPr>
            </w:pPr>
          </w:p>
        </w:tc>
        <w:tc>
          <w:tcPr>
            <w:tcW w:w="405"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04" w:type="dxa"/>
            <w:tcBorders>
              <w:top w:val="single" w:sz="4" w:space="0" w:color="auto"/>
              <w:bottom w:val="single" w:sz="4" w:space="0" w:color="auto"/>
              <w:right w:val="single" w:sz="18"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jc w:val="center"/>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Mar>
              <w:left w:w="28" w:type="dxa"/>
            </w:tcMar>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AD6D08" w:rsidRDefault="0010627A" w:rsidP="00AE59C1">
            <w:pPr>
              <w:pStyle w:val="NoSpacing"/>
              <w:jc w:val="center"/>
              <w:rPr>
                <w:rFonts w:ascii="Times New Roman" w:hAnsi="Times New Roman" w:cs="Times New Roman"/>
                <w:sz w:val="16"/>
                <w:szCs w:val="16"/>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00B0F0"/>
          </w:tcPr>
          <w:p w:rsidR="0010627A" w:rsidRPr="005751DE" w:rsidRDefault="0010627A" w:rsidP="00AE59C1">
            <w:pPr>
              <w:pStyle w:val="NoSpacing"/>
              <w:jc w:val="right"/>
              <w:rPr>
                <w:rFonts w:ascii="Times New Roman" w:hAnsi="Times New Roman" w:cs="Times New Roman"/>
                <w:sz w:val="12"/>
                <w:szCs w:val="12"/>
              </w:rPr>
            </w:pPr>
            <w:r>
              <w:rPr>
                <w:rFonts w:ascii="Times New Roman" w:hAnsi="Times New Roman" w:cs="Times New Roman"/>
                <w:sz w:val="12"/>
                <w:szCs w:val="12"/>
              </w:rPr>
              <w:t>►</w:t>
            </w:r>
          </w:p>
        </w:tc>
        <w:tc>
          <w:tcPr>
            <w:tcW w:w="348" w:type="dxa"/>
            <w:tcBorders>
              <w:top w:val="single" w:sz="4" w:space="0" w:color="auto"/>
              <w:left w:val="single" w:sz="18" w:space="0" w:color="auto"/>
              <w:bottom w:val="single" w:sz="4" w:space="0" w:color="auto"/>
            </w:tcBorders>
            <w:shd w:val="clear" w:color="auto" w:fill="00B0F0"/>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00B0F0"/>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right w:val="single" w:sz="18"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left w:val="single" w:sz="18"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c>
          <w:tcPr>
            <w:tcW w:w="348" w:type="dxa"/>
            <w:tcBorders>
              <w:top w:val="single" w:sz="4" w:space="0" w:color="auto"/>
              <w:bottom w:val="single" w:sz="4" w:space="0" w:color="auto"/>
            </w:tcBorders>
            <w:shd w:val="clear" w:color="auto" w:fill="auto"/>
          </w:tcPr>
          <w:p w:rsidR="0010627A" w:rsidRPr="005751DE" w:rsidRDefault="0010627A" w:rsidP="00AE59C1">
            <w:pPr>
              <w:pStyle w:val="NoSpacing"/>
              <w:rPr>
                <w:rFonts w:ascii="Times New Roman" w:hAnsi="Times New Roman" w:cs="Times New Roman"/>
                <w:sz w:val="12"/>
                <w:szCs w:val="12"/>
              </w:rPr>
            </w:pPr>
          </w:p>
        </w:tc>
      </w:tr>
    </w:tbl>
    <w:p w:rsidR="0010627A" w:rsidRPr="0093366A" w:rsidRDefault="0010627A" w:rsidP="0010627A">
      <w:pPr>
        <w:pStyle w:val="NoSpacing"/>
        <w:rPr>
          <w:sz w:val="20"/>
          <w:szCs w:val="20"/>
        </w:rPr>
      </w:pPr>
      <w:r w:rsidRPr="0093366A">
        <w:rPr>
          <w:rFonts w:ascii="Times New Roman" w:hAnsi="Times New Roman" w:cs="Times New Roman"/>
          <w:sz w:val="20"/>
          <w:szCs w:val="20"/>
        </w:rPr>
        <w:t>▲</w:t>
      </w:r>
      <w:r w:rsidRPr="0093366A">
        <w:rPr>
          <w:sz w:val="20"/>
          <w:szCs w:val="20"/>
        </w:rPr>
        <w:t xml:space="preserve"> Draft EEA assessment report; </w:t>
      </w:r>
    </w:p>
    <w:p w:rsidR="0010627A" w:rsidRPr="0093366A" w:rsidRDefault="0010627A" w:rsidP="0010627A">
      <w:pPr>
        <w:pStyle w:val="NoSpacing"/>
        <w:rPr>
          <w:sz w:val="20"/>
          <w:szCs w:val="20"/>
        </w:rPr>
      </w:pPr>
      <w:r w:rsidRPr="0093366A">
        <w:rPr>
          <w:rFonts w:ascii="Times New Roman" w:hAnsi="Times New Roman" w:cs="Times New Roman"/>
          <w:sz w:val="20"/>
          <w:szCs w:val="20"/>
        </w:rPr>
        <w:t xml:space="preserve">▼ </w:t>
      </w:r>
      <w:r>
        <w:rPr>
          <w:rFonts w:ascii="Times New Roman" w:hAnsi="Times New Roman" w:cs="Times New Roman"/>
          <w:sz w:val="20"/>
          <w:szCs w:val="20"/>
        </w:rPr>
        <w:t>Update of task 1 assessment results based on data update and comments received.</w:t>
      </w:r>
    </w:p>
    <w:p w:rsidR="0010627A" w:rsidRPr="00182565" w:rsidRDefault="0010627A" w:rsidP="0010627A">
      <w:pPr>
        <w:pStyle w:val="NoSpacing"/>
        <w:rPr>
          <w:sz w:val="16"/>
          <w:szCs w:val="16"/>
        </w:rPr>
      </w:pPr>
      <w:r w:rsidRPr="0093366A">
        <w:rPr>
          <w:rFonts w:ascii="Times New Roman" w:hAnsi="Times New Roman" w:cs="Times New Roman"/>
          <w:sz w:val="20"/>
          <w:szCs w:val="20"/>
        </w:rPr>
        <w:t>►</w:t>
      </w:r>
      <w:r w:rsidRPr="0093366A">
        <w:rPr>
          <w:sz w:val="20"/>
          <w:szCs w:val="20"/>
        </w:rPr>
        <w:t xml:space="preserve">EEA report/portal ready for publication </w:t>
      </w:r>
      <w:r w:rsidR="009D2AE5">
        <w:rPr>
          <w:sz w:val="20"/>
          <w:szCs w:val="20"/>
        </w:rPr>
        <w:t xml:space="preserve">and </w:t>
      </w:r>
      <w:r w:rsidRPr="0093366A">
        <w:rPr>
          <w:sz w:val="20"/>
          <w:szCs w:val="20"/>
        </w:rPr>
        <w:t>dissemination</w:t>
      </w:r>
      <w:r>
        <w:rPr>
          <w:sz w:val="20"/>
          <w:szCs w:val="20"/>
        </w:rPr>
        <w:t>.</w:t>
      </w:r>
    </w:p>
    <w:p w:rsidR="00E24A28" w:rsidRDefault="00E24A28" w:rsidP="00E24A28"/>
    <w:sectPr w:rsidR="00E24A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24" w:rsidRDefault="00E12724" w:rsidP="00E12724">
      <w:pPr>
        <w:spacing w:after="0" w:line="240" w:lineRule="auto"/>
      </w:pPr>
      <w:r>
        <w:separator/>
      </w:r>
    </w:p>
  </w:endnote>
  <w:endnote w:type="continuationSeparator" w:id="0">
    <w:p w:rsidR="00E12724" w:rsidRDefault="00E12724" w:rsidP="00E1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24" w:rsidRDefault="00E1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24" w:rsidRDefault="00E12724" w:rsidP="00E12724">
      <w:pPr>
        <w:spacing w:after="0" w:line="240" w:lineRule="auto"/>
      </w:pPr>
      <w:r>
        <w:separator/>
      </w:r>
    </w:p>
  </w:footnote>
  <w:footnote w:type="continuationSeparator" w:id="0">
    <w:p w:rsidR="00E12724" w:rsidRDefault="00E12724" w:rsidP="00E12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4C43"/>
    <w:multiLevelType w:val="hybridMultilevel"/>
    <w:tmpl w:val="CA547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5E522C"/>
    <w:multiLevelType w:val="hybridMultilevel"/>
    <w:tmpl w:val="43B2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A7B2F"/>
    <w:multiLevelType w:val="hybridMultilevel"/>
    <w:tmpl w:val="1FA6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752F4"/>
    <w:multiLevelType w:val="hybridMultilevel"/>
    <w:tmpl w:val="4C2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868EE"/>
    <w:multiLevelType w:val="hybridMultilevel"/>
    <w:tmpl w:val="7526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83244B"/>
    <w:multiLevelType w:val="hybridMultilevel"/>
    <w:tmpl w:val="2FE0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A26B9"/>
    <w:multiLevelType w:val="hybridMultilevel"/>
    <w:tmpl w:val="A5C2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247B4B"/>
    <w:multiLevelType w:val="hybridMultilevel"/>
    <w:tmpl w:val="936AC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522519"/>
    <w:multiLevelType w:val="hybridMultilevel"/>
    <w:tmpl w:val="F8B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D07FDF"/>
    <w:multiLevelType w:val="hybridMultilevel"/>
    <w:tmpl w:val="A12A4B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28"/>
    <w:rsid w:val="0010627A"/>
    <w:rsid w:val="001612A5"/>
    <w:rsid w:val="001F7662"/>
    <w:rsid w:val="003304E0"/>
    <w:rsid w:val="0054036C"/>
    <w:rsid w:val="007D3921"/>
    <w:rsid w:val="00897416"/>
    <w:rsid w:val="009D2AE5"/>
    <w:rsid w:val="00A504CB"/>
    <w:rsid w:val="00B75378"/>
    <w:rsid w:val="00BB4B4A"/>
    <w:rsid w:val="00C76226"/>
    <w:rsid w:val="00E12724"/>
    <w:rsid w:val="00E24A28"/>
    <w:rsid w:val="00E9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C5F4FC-60EC-4455-92E7-81D9DF48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4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4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62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A2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4A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4A28"/>
    <w:pPr>
      <w:ind w:left="720"/>
      <w:contextualSpacing/>
    </w:pPr>
  </w:style>
  <w:style w:type="paragraph" w:styleId="NoSpacing">
    <w:name w:val="No Spacing"/>
    <w:uiPriority w:val="1"/>
    <w:qFormat/>
    <w:rsid w:val="00E24A28"/>
    <w:pPr>
      <w:spacing w:after="0" w:line="240" w:lineRule="auto"/>
    </w:pPr>
  </w:style>
  <w:style w:type="character" w:customStyle="1" w:styleId="Heading3Char">
    <w:name w:val="Heading 3 Char"/>
    <w:basedOn w:val="DefaultParagraphFont"/>
    <w:link w:val="Heading3"/>
    <w:uiPriority w:val="9"/>
    <w:rsid w:val="00E24A2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E2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0627A"/>
    <w:rPr>
      <w:rFonts w:asciiTheme="majorHAnsi" w:eastAsiaTheme="majorEastAsia" w:hAnsiTheme="majorHAnsi" w:cstheme="majorBidi"/>
      <w:i/>
      <w:iCs/>
      <w:color w:val="2E74B5" w:themeColor="accent1" w:themeShade="BF"/>
    </w:rPr>
  </w:style>
  <w:style w:type="paragraph" w:customStyle="1" w:styleId="Cover-title1">
    <w:name w:val="Cover - title 1"/>
    <w:basedOn w:val="Normal"/>
    <w:next w:val="Normal"/>
    <w:rsid w:val="00A504CB"/>
    <w:pPr>
      <w:overflowPunct w:val="0"/>
      <w:autoSpaceDE w:val="0"/>
      <w:autoSpaceDN w:val="0"/>
      <w:adjustRightInd w:val="0"/>
      <w:spacing w:after="120" w:line="240" w:lineRule="atLeast"/>
      <w:jc w:val="right"/>
      <w:textAlignment w:val="baseline"/>
    </w:pPr>
    <w:rPr>
      <w:rFonts w:ascii="Arial" w:eastAsia="Times New Roman" w:hAnsi="Arial" w:cs="Times New Roman"/>
      <w:b/>
      <w:sz w:val="44"/>
      <w:szCs w:val="44"/>
      <w:lang w:eastAsia="da-DK"/>
    </w:rPr>
  </w:style>
  <w:style w:type="paragraph" w:customStyle="1" w:styleId="Cover-title3">
    <w:name w:val="Cover - title 3"/>
    <w:basedOn w:val="Normal"/>
    <w:next w:val="Normal"/>
    <w:rsid w:val="00A504CB"/>
    <w:pPr>
      <w:overflowPunct w:val="0"/>
      <w:autoSpaceDE w:val="0"/>
      <w:autoSpaceDN w:val="0"/>
      <w:adjustRightInd w:val="0"/>
      <w:spacing w:after="120" w:line="240" w:lineRule="atLeast"/>
      <w:jc w:val="right"/>
      <w:textAlignment w:val="baseline"/>
    </w:pPr>
    <w:rPr>
      <w:rFonts w:ascii="Arial" w:eastAsia="Times New Roman" w:hAnsi="Arial" w:cs="Times New Roman"/>
      <w:b/>
      <w:szCs w:val="20"/>
      <w:lang w:eastAsia="da-DK"/>
    </w:rPr>
  </w:style>
  <w:style w:type="paragraph" w:customStyle="1" w:styleId="Cover-title2">
    <w:name w:val="Cover - title 2"/>
    <w:basedOn w:val="Normal"/>
    <w:next w:val="Normal"/>
    <w:rsid w:val="00A504CB"/>
    <w:pPr>
      <w:overflowPunct w:val="0"/>
      <w:autoSpaceDE w:val="0"/>
      <w:autoSpaceDN w:val="0"/>
      <w:adjustRightInd w:val="0"/>
      <w:spacing w:after="120" w:line="240" w:lineRule="atLeast"/>
      <w:jc w:val="right"/>
      <w:textAlignment w:val="baseline"/>
    </w:pPr>
    <w:rPr>
      <w:rFonts w:ascii="Arial" w:eastAsia="Times New Roman" w:hAnsi="Arial" w:cs="Times New Roman"/>
      <w:b/>
      <w:sz w:val="32"/>
      <w:szCs w:val="20"/>
      <w:lang w:eastAsia="da-DK"/>
    </w:rPr>
  </w:style>
  <w:style w:type="paragraph" w:styleId="BodyText">
    <w:name w:val="Body Text"/>
    <w:basedOn w:val="Normal"/>
    <w:link w:val="BodyTextChar"/>
    <w:rsid w:val="00A504CB"/>
    <w:pPr>
      <w:overflowPunct w:val="0"/>
      <w:autoSpaceDE w:val="0"/>
      <w:autoSpaceDN w:val="0"/>
      <w:adjustRightInd w:val="0"/>
      <w:spacing w:after="240" w:line="240" w:lineRule="atLeast"/>
      <w:textAlignment w:val="baseline"/>
    </w:pPr>
    <w:rPr>
      <w:rFonts w:eastAsia="Times New Roman" w:cs="Times New Roman"/>
      <w:lang w:eastAsia="da-DK"/>
    </w:rPr>
  </w:style>
  <w:style w:type="character" w:customStyle="1" w:styleId="BodyTextChar">
    <w:name w:val="Body Text Char"/>
    <w:basedOn w:val="DefaultParagraphFont"/>
    <w:link w:val="BodyText"/>
    <w:rsid w:val="00A504CB"/>
    <w:rPr>
      <w:rFonts w:eastAsia="Times New Roman" w:cs="Times New Roman"/>
      <w:lang w:eastAsia="da-DK"/>
    </w:rPr>
  </w:style>
  <w:style w:type="paragraph" w:styleId="BalloonText">
    <w:name w:val="Balloon Text"/>
    <w:basedOn w:val="Normal"/>
    <w:link w:val="BalloonTextChar"/>
    <w:uiPriority w:val="99"/>
    <w:semiHidden/>
    <w:unhideWhenUsed/>
    <w:rsid w:val="00A5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CB"/>
    <w:rPr>
      <w:rFonts w:ascii="Tahoma" w:hAnsi="Tahoma" w:cs="Tahoma"/>
      <w:sz w:val="16"/>
      <w:szCs w:val="16"/>
    </w:rPr>
  </w:style>
  <w:style w:type="paragraph" w:styleId="Header">
    <w:name w:val="header"/>
    <w:basedOn w:val="Normal"/>
    <w:link w:val="HeaderChar"/>
    <w:uiPriority w:val="99"/>
    <w:unhideWhenUsed/>
    <w:rsid w:val="00E1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24"/>
  </w:style>
  <w:style w:type="paragraph" w:styleId="Footer">
    <w:name w:val="footer"/>
    <w:basedOn w:val="Normal"/>
    <w:link w:val="FooterChar"/>
    <w:uiPriority w:val="99"/>
    <w:unhideWhenUsed/>
    <w:rsid w:val="00E1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Kristensen</dc:creator>
  <cp:lastModifiedBy>Charlotta Colliander</cp:lastModifiedBy>
  <cp:revision>2</cp:revision>
  <cp:lastPrinted>2015-05-29T11:55:00Z</cp:lastPrinted>
  <dcterms:created xsi:type="dcterms:W3CDTF">2015-06-04T13:46:00Z</dcterms:created>
  <dcterms:modified xsi:type="dcterms:W3CDTF">2015-06-04T13:46:00Z</dcterms:modified>
</cp:coreProperties>
</file>