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commentRangeStart w:id="0"/>
      <w:commentRangeStart w:id="1"/>
    </w:p>
    <w:p w14:paraId="677DFB6F" w14:textId="2753FB27" w:rsidR="00C21A8B" w:rsidRDefault="007730EE">
      <w:pPr>
        <w:jc w:val="center"/>
        <w:rPr>
          <w:b/>
          <w:bCs/>
          <w:i/>
          <w:iCs/>
          <w:lang w:val="en-US"/>
        </w:rPr>
      </w:pPr>
      <w:r w:rsidRPr="002A51FD">
        <w:rPr>
          <w:b/>
          <w:bCs/>
          <w:i/>
          <w:iCs/>
          <w:lang w:val="en-US"/>
        </w:rPr>
        <w:t xml:space="preserve">Draft version </w:t>
      </w:r>
      <w:r w:rsidR="00B57B49" w:rsidRPr="002A51FD">
        <w:rPr>
          <w:b/>
          <w:bCs/>
          <w:i/>
          <w:iCs/>
          <w:lang w:val="en-US"/>
        </w:rPr>
        <w:t>5</w:t>
      </w:r>
      <w:r w:rsidR="000D7286" w:rsidRPr="002A51FD">
        <w:rPr>
          <w:b/>
          <w:bCs/>
          <w:i/>
          <w:iCs/>
          <w:vertAlign w:val="superscript"/>
          <w:lang w:val="en-US"/>
        </w:rPr>
        <w:t>t</w:t>
      </w:r>
      <w:r w:rsidR="006E367A" w:rsidRPr="002A51FD">
        <w:rPr>
          <w:b/>
          <w:bCs/>
          <w:i/>
          <w:iCs/>
          <w:vertAlign w:val="superscript"/>
          <w:lang w:val="en-US"/>
        </w:rPr>
        <w:t>h</w:t>
      </w:r>
      <w:r w:rsidR="00B57B49" w:rsidRPr="002A51FD">
        <w:rPr>
          <w:b/>
          <w:bCs/>
          <w:i/>
          <w:iCs/>
          <w:lang w:val="en-US"/>
        </w:rPr>
        <w:t>March</w:t>
      </w:r>
      <w:r w:rsidR="00E76F3C" w:rsidRPr="002A51FD">
        <w:rPr>
          <w:b/>
          <w:bCs/>
          <w:i/>
          <w:iCs/>
          <w:lang w:val="en-US"/>
        </w:rPr>
        <w:t xml:space="preserve"> </w:t>
      </w:r>
      <w:r w:rsidRPr="002A51FD">
        <w:rPr>
          <w:b/>
          <w:bCs/>
          <w:i/>
          <w:iCs/>
          <w:lang w:val="en-US"/>
        </w:rPr>
        <w:t>20</w:t>
      </w:r>
      <w:r w:rsidR="00E76F3C" w:rsidRPr="002A51FD">
        <w:rPr>
          <w:b/>
          <w:bCs/>
          <w:i/>
          <w:iCs/>
          <w:lang w:val="en-US"/>
        </w:rPr>
        <w:t>20</w:t>
      </w:r>
      <w:commentRangeEnd w:id="0"/>
      <w:r w:rsidR="001774F0">
        <w:rPr>
          <w:rStyle w:val="CommentReference"/>
        </w:rPr>
        <w:commentReference w:id="0"/>
      </w:r>
      <w:commentRangeEnd w:id="1"/>
      <w:r w:rsidR="0056296D">
        <w:rPr>
          <w:rStyle w:val="CommentReference"/>
        </w:rPr>
        <w:commentReference w:id="1"/>
      </w:r>
    </w:p>
    <w:p w14:paraId="5BD6BF23" w14:textId="77777777" w:rsidR="002A51FD" w:rsidRPr="002A51FD" w:rsidRDefault="002A51FD">
      <w:pPr>
        <w:jc w:val="center"/>
        <w:rPr>
          <w:b/>
          <w:bCs/>
          <w:i/>
          <w:iCs/>
          <w:lang w:val="en-US"/>
        </w:rPr>
      </w:pPr>
    </w:p>
    <w:p w14:paraId="0DD12C21" w14:textId="7B9F3F80" w:rsidR="00C21A8B" w:rsidRPr="002A51FD" w:rsidRDefault="006E6473">
      <w:pPr>
        <w:rPr>
          <w:bCs/>
          <w:iCs/>
        </w:rPr>
      </w:pPr>
      <w:proofErr w:type="spellStart"/>
      <w:r w:rsidRPr="002A51FD">
        <w:rPr>
          <w:bCs/>
          <w:i/>
          <w:iCs/>
        </w:rPr>
        <w:t>Authors</w:t>
      </w:r>
      <w:proofErr w:type="spellEnd"/>
      <w:r w:rsidR="002A51FD" w:rsidRPr="002A51FD">
        <w:rPr>
          <w:bCs/>
          <w:i/>
          <w:iCs/>
        </w:rPr>
        <w:t>: Joost van den R</w:t>
      </w:r>
      <w:r w:rsidR="002A51FD">
        <w:rPr>
          <w:bCs/>
          <w:i/>
          <w:iCs/>
        </w:rPr>
        <w:t>oovaart (</w:t>
      </w:r>
      <w:proofErr w:type="spellStart"/>
      <w:r w:rsidR="002A51FD">
        <w:rPr>
          <w:bCs/>
          <w:i/>
          <w:iCs/>
        </w:rPr>
        <w:t>Deltares</w:t>
      </w:r>
      <w:proofErr w:type="spellEnd"/>
      <w:r w:rsidR="002A51FD">
        <w:rPr>
          <w:bCs/>
          <w:i/>
          <w:iCs/>
        </w:rPr>
        <w:t>), Nanette van Duijnhoven (</w:t>
      </w:r>
      <w:proofErr w:type="spellStart"/>
      <w:r w:rsidR="002A51FD">
        <w:rPr>
          <w:bCs/>
          <w:i/>
          <w:iCs/>
        </w:rPr>
        <w:t>Deltares</w:t>
      </w:r>
      <w:proofErr w:type="spellEnd"/>
      <w:r w:rsidR="002A51FD">
        <w:rPr>
          <w:bCs/>
          <w:i/>
          <w:iCs/>
        </w:rPr>
        <w:t>), Antje Ullrich (UBA)</w:t>
      </w:r>
      <w:r w:rsidR="00C21A8B" w:rsidRPr="002A51FD">
        <w:rPr>
          <w:bCs/>
          <w:i/>
          <w:iCs/>
        </w:rPr>
        <w:br w:type="page"/>
      </w:r>
    </w:p>
    <w:p w14:paraId="5C81AEA0" w14:textId="36F3C3C8" w:rsidR="006E6473" w:rsidRPr="002A51FD" w:rsidRDefault="006E6473">
      <w:pPr>
        <w:rPr>
          <w:bCs/>
          <w:iCs/>
        </w:rPr>
      </w:pPr>
    </w:p>
    <w:p w14:paraId="40AAB243" w14:textId="77777777" w:rsidR="006E6473" w:rsidRPr="002A51FD" w:rsidRDefault="006E6473">
      <w:pPr>
        <w:rPr>
          <w:bCs/>
          <w:iCs/>
        </w:rPr>
      </w:pPr>
    </w:p>
    <w:p w14:paraId="159BD2A5" w14:textId="260A5A35" w:rsidR="0070745F" w:rsidRPr="003B5CEB" w:rsidRDefault="00C21A8B" w:rsidP="0069570F">
      <w:pPr>
        <w:pStyle w:val="Heading3"/>
        <w:rPr>
          <w:lang w:val="en-US"/>
        </w:rPr>
      </w:pPr>
      <w:r w:rsidRPr="0069570F">
        <w:rPr>
          <w:lang w:val="en-US"/>
        </w:rPr>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2" w:name="_Hlk34216312"/>
      <w:r>
        <w:rPr>
          <w:rFonts w:ascii="Calibri" w:eastAsia="MS Mincho" w:hAnsi="Calibri" w:cs="Times New Roman"/>
          <w:lang w:val="en-US"/>
        </w:rPr>
        <w:t>Priority Hazardous Substances</w:t>
      </w:r>
      <w:bookmarkEnd w:id="2"/>
    </w:p>
    <w:p w14:paraId="0B1288E4" w14:textId="0CFFA547" w:rsidR="00AE70A5" w:rsidRDefault="00AE70A5" w:rsidP="0070745F">
      <w:pPr>
        <w:rPr>
          <w:lang w:val="en-US"/>
        </w:rPr>
      </w:pPr>
      <w:r>
        <w:rPr>
          <w:rFonts w:ascii="Calibri" w:eastAsia="MS Mincho" w:hAnsi="Calibri" w:cs="Times New Roman"/>
          <w:lang w:val="en-US"/>
        </w:rPr>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C2BF759" w:rsidR="0070745F" w:rsidRDefault="0070745F" w:rsidP="0070745F">
      <w:pPr>
        <w:rPr>
          <w:bCs/>
          <w:iCs/>
          <w:lang w:val="en-US"/>
        </w:rPr>
      </w:pP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Pr>
          <w:rFonts w:ascii="Calibri" w:eastAsia="MS Mincho" w:hAnsi="Calibri" w:cs="Times New Roman"/>
          <w:lang w:val="en-GB"/>
        </w:rPr>
        <w:tab/>
        <w:t>Water Information System Europe – State of the Environment</w:t>
      </w: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3FDF1DC7"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plans was patchy and 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April 2020. </w:t>
      </w:r>
    </w:p>
    <w:p w14:paraId="6E205017" w14:textId="68BF6DBC"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9178BB">
      <w:pPr>
        <w:numPr>
          <w:ilvl w:val="0"/>
          <w:numId w:val="1"/>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lastRenderedPageBreak/>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B525B7">
      <w:pPr>
        <w:spacing w:after="12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9178BB">
      <w:pPr>
        <w:numPr>
          <w:ilvl w:val="0"/>
          <w:numId w:val="3"/>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9178BB">
      <w:pPr>
        <w:numPr>
          <w:ilvl w:val="0"/>
          <w:numId w:val="3"/>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9178BB">
      <w:pPr>
        <w:numPr>
          <w:ilvl w:val="0"/>
          <w:numId w:val="2"/>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770F1FE7" w14:textId="152E4141" w:rsidR="00CC2BBF" w:rsidRPr="00854F0C"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to be published by the MS on 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Although a Technical Guidance Document was developed for the WFD inventory</w:t>
      </w:r>
      <w:r w:rsidR="00FD7C37">
        <w:rPr>
          <w:lang w:val="en-US"/>
        </w:rPr>
        <w:t>,</w:t>
      </w:r>
      <w:r w:rsidR="006A461D">
        <w:rPr>
          <w:lang w:val="en-US"/>
        </w:rPr>
        <w:t xml:space="preserve"> </w:t>
      </w:r>
      <w:r w:rsidR="00CC2BBF" w:rsidRPr="006A461D">
        <w:rPr>
          <w:lang w:val="en-US"/>
        </w:rPr>
        <w:t xml:space="preserve">reporting in 2016 showed only a few MS succeeded in reporting on diffuse sources and for more than a few pollutants – as summarized in the EEA chemicals report 18/2018. </w:t>
      </w:r>
      <w:r w:rsidR="00DB03C6" w:rsidRPr="00854F0C">
        <w:rPr>
          <w:lang w:val="en-US"/>
        </w:rPr>
        <w:t xml:space="preserve">A conclusion might be that more support is needed to improve the emission reporting by the MS. </w:t>
      </w:r>
      <w:r w:rsidR="00CC2BBF" w:rsidRPr="006A461D">
        <w:rPr>
          <w:lang w:val="en-US"/>
        </w:rPr>
        <w:t>This proposal is intended as supplementary advice, not to replace the existing TGD.</w:t>
      </w:r>
      <w:r w:rsidR="00CC2BBF" w:rsidRPr="00854F0C">
        <w:rPr>
          <w:lang w:val="en-US"/>
        </w:rPr>
        <w:t xml:space="preserve"> </w:t>
      </w:r>
    </w:p>
    <w:p w14:paraId="36EDF453" w14:textId="77777777" w:rsidR="00DB03C6" w:rsidRDefault="00DB03C6" w:rsidP="00CC2BBF">
      <w:pPr>
        <w:spacing w:after="0" w:line="240" w:lineRule="auto"/>
        <w:rPr>
          <w:lang w:val="en-US"/>
        </w:rPr>
      </w:pPr>
    </w:p>
    <w:p w14:paraId="42A41FED" w14:textId="27F665B6" w:rsidR="0099640B" w:rsidRDefault="0099640B" w:rsidP="00751331">
      <w:pPr>
        <w:rPr>
          <w:lang w:val="en-GB"/>
        </w:rPr>
      </w:pPr>
      <w:r>
        <w:rPr>
          <w:lang w:val="en-GB"/>
        </w:rPr>
        <w:t xml:space="preserve">The idea behind the proposal is that available information, data and methods used </w:t>
      </w:r>
      <w:r w:rsidR="003109EB">
        <w:rPr>
          <w:lang w:val="en-GB"/>
        </w:rPr>
        <w:t xml:space="preserve">for emission inventories </w:t>
      </w:r>
      <w:r w:rsidR="00F21EA7">
        <w:rPr>
          <w:lang w:val="en-GB"/>
        </w:rPr>
        <w:t xml:space="preserve">by </w:t>
      </w:r>
      <w:r w:rsidR="00597A0F">
        <w:rPr>
          <w:lang w:val="en-GB"/>
        </w:rPr>
        <w:t>some</w:t>
      </w:r>
      <w:r>
        <w:rPr>
          <w:lang w:val="en-GB"/>
        </w:rPr>
        <w:t xml:space="preserve"> MS </w:t>
      </w:r>
      <w:r w:rsidR="0081642C">
        <w:rPr>
          <w:lang w:val="en-GB"/>
        </w:rPr>
        <w:t xml:space="preserve">or stakeholders </w:t>
      </w:r>
      <w:r>
        <w:rPr>
          <w:lang w:val="en-GB"/>
        </w:rPr>
        <w:t xml:space="preserve">can be used </w:t>
      </w:r>
      <w:r w:rsidR="00AA7FCB">
        <w:rPr>
          <w:lang w:val="en-GB"/>
        </w:rPr>
        <w:t>by</w:t>
      </w:r>
      <w:r>
        <w:rPr>
          <w:lang w:val="en-GB"/>
        </w:rPr>
        <w:t xml:space="preserve"> MS with limited data or </w:t>
      </w:r>
      <w:r w:rsidR="003B5CEB">
        <w:rPr>
          <w:lang w:val="en-GB"/>
        </w:rPr>
        <w:t xml:space="preserve">limited </w:t>
      </w:r>
      <w:r>
        <w:rPr>
          <w:lang w:val="en-GB"/>
        </w:rPr>
        <w:t xml:space="preserve">capacity to develop quantification methods. </w:t>
      </w:r>
      <w:r w:rsidR="008E28A0">
        <w:rPr>
          <w:lang w:val="en-GB"/>
        </w:rPr>
        <w:t xml:space="preserve">For MS already reporting diffuse emissions, it </w:t>
      </w:r>
      <w:r w:rsidR="00597A0F">
        <w:rPr>
          <w:lang w:val="en-GB"/>
        </w:rPr>
        <w:t xml:space="preserve">is intended that the project provides an opportunity </w:t>
      </w:r>
      <w:r w:rsidR="008E28A0">
        <w:rPr>
          <w:lang w:val="en-GB"/>
        </w:rPr>
        <w:t xml:space="preserve">to </w:t>
      </w:r>
      <w:r w:rsidR="00CA468B">
        <w:rPr>
          <w:lang w:val="en-GB"/>
        </w:rPr>
        <w:t>benchmark emission factors and quantification methods used with othe</w:t>
      </w:r>
      <w:r w:rsidR="00597A0F">
        <w:rPr>
          <w:lang w:val="en-GB"/>
        </w:rPr>
        <w:t>rs</w:t>
      </w:r>
      <w:r w:rsidR="00CA468B">
        <w:rPr>
          <w:lang w:val="en-GB"/>
        </w:rPr>
        <w:t xml:space="preserve">. </w:t>
      </w:r>
      <w:r w:rsidR="00597A0F">
        <w:rPr>
          <w:lang w:val="en-GB"/>
        </w:rPr>
        <w:t xml:space="preserve">Use of </w:t>
      </w:r>
      <w:r w:rsidR="00C35AF8">
        <w:rPr>
          <w:lang w:val="en-GB"/>
        </w:rPr>
        <w:t>(parts of) the proposed method or the data</w:t>
      </w:r>
      <w:r w:rsidR="00597A0F">
        <w:rPr>
          <w:lang w:val="en-GB"/>
        </w:rPr>
        <w:t xml:space="preserve"> is intended to be optional.</w:t>
      </w:r>
    </w:p>
    <w:p w14:paraId="7C197AFE" w14:textId="52833CAD" w:rsidR="005C2D3E" w:rsidRDefault="006143B7" w:rsidP="00751331">
      <w:pPr>
        <w:rPr>
          <w:lang w:val="en-GB"/>
        </w:rPr>
      </w:pPr>
      <w:r>
        <w:rPr>
          <w:lang w:val="en-GB"/>
        </w:rPr>
        <w:t xml:space="preserve">This proposal must </w:t>
      </w:r>
      <w:proofErr w:type="gramStart"/>
      <w:r>
        <w:rPr>
          <w:lang w:val="en-GB"/>
        </w:rPr>
        <w:t>be seen as</w:t>
      </w:r>
      <w:proofErr w:type="gramEnd"/>
      <w:r>
        <w:rPr>
          <w:lang w:val="en-GB"/>
        </w:rPr>
        <w:t xml:space="preserve"> an attempt to make a step forward in the quality </w:t>
      </w:r>
      <w:r w:rsidR="00597A0F">
        <w:rPr>
          <w:lang w:val="en-GB"/>
        </w:rPr>
        <w:t xml:space="preserve">i.e. </w:t>
      </w:r>
      <w:r>
        <w:rPr>
          <w:lang w:val="en-GB"/>
        </w:rPr>
        <w:t>completeness, consistency</w:t>
      </w:r>
      <w:r w:rsidR="00597A0F">
        <w:rPr>
          <w:lang w:val="en-GB"/>
        </w:rPr>
        <w:t xml:space="preserve"> and</w:t>
      </w:r>
      <w:r>
        <w:rPr>
          <w:lang w:val="en-GB"/>
        </w:rPr>
        <w:t xml:space="preserve"> transparency</w:t>
      </w:r>
      <w:r w:rsidR="00597A0F">
        <w:rPr>
          <w:lang w:val="en-GB"/>
        </w:rPr>
        <w:t>,</w:t>
      </w:r>
      <w:r>
        <w:rPr>
          <w:lang w:val="en-GB"/>
        </w:rPr>
        <w:t xml:space="preserve"> of the WFD 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p>
    <w:p w14:paraId="5BB4BFE9" w14:textId="4BD4BADD" w:rsidR="001A5AD7" w:rsidRDefault="002C038C" w:rsidP="00FE6944">
      <w:pPr>
        <w:spacing w:after="0" w:line="240" w:lineRule="auto"/>
        <w:rPr>
          <w:rFonts w:ascii="Calibri" w:eastAsia="MS Mincho" w:hAnsi="Calibri" w:cs="Times New Roman"/>
          <w:lang w:val="en-US"/>
        </w:rPr>
      </w:pPr>
      <w:r>
        <w:rPr>
          <w:lang w:val="en-GB"/>
        </w:rPr>
        <w:t>T</w:t>
      </w:r>
      <w:r w:rsidR="00656417">
        <w:rPr>
          <w:lang w:val="en-GB"/>
        </w:rPr>
        <w:t xml:space="preserve">he proposed method </w:t>
      </w:r>
      <w:r>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proofErr w:type="gramStart"/>
      <w:r w:rsidR="00656417">
        <w:rPr>
          <w:lang w:val="en-GB"/>
        </w:rPr>
        <w:t>A number of</w:t>
      </w:r>
      <w:proofErr w:type="gramEnd"/>
      <w:r w:rsidR="00656417">
        <w:rPr>
          <w:lang w:val="en-GB"/>
        </w:rPr>
        <w:t xml:space="preserve"> </w:t>
      </w:r>
      <w:r w:rsidR="0052459E">
        <w:rPr>
          <w:lang w:val="en-GB"/>
        </w:rPr>
        <w:t xml:space="preserve">discussion </w:t>
      </w:r>
      <w:r w:rsidR="003109EB">
        <w:rPr>
          <w:lang w:val="en-GB"/>
        </w:rPr>
        <w:t>points</w:t>
      </w:r>
      <w:r w:rsidR="00656417">
        <w:rPr>
          <w:lang w:val="en-GB"/>
        </w:rPr>
        <w:t xml:space="preserve"> </w:t>
      </w:r>
      <w:r w:rsidR="0052459E">
        <w:rPr>
          <w:lang w:val="en-GB"/>
        </w:rPr>
        <w:t>(</w:t>
      </w:r>
      <w:r w:rsidR="00656417">
        <w:rPr>
          <w:lang w:val="en-GB"/>
        </w:rPr>
        <w:t xml:space="preserve">to add more details </w:t>
      </w:r>
      <w:r w:rsidR="00211724">
        <w:rPr>
          <w:lang w:val="en-GB"/>
        </w:rPr>
        <w:t>to</w:t>
      </w:r>
      <w:r w:rsidR="00656417">
        <w:rPr>
          <w:lang w:val="en-GB"/>
        </w:rPr>
        <w:t xml:space="preserve"> the method</w:t>
      </w:r>
      <w:r w:rsidR="0052459E">
        <w:rPr>
          <w:lang w:val="en-GB"/>
        </w:rPr>
        <w:t>, to set other priorities</w:t>
      </w:r>
      <w:r w:rsidR="0081642C">
        <w:rPr>
          <w:lang w:val="en-GB"/>
        </w:rPr>
        <w:t>, etc.</w:t>
      </w:r>
      <w:r w:rsidR="0052459E">
        <w:rPr>
          <w:lang w:val="en-GB"/>
        </w:rPr>
        <w:t>)</w:t>
      </w:r>
      <w:r w:rsidR="00656417">
        <w:rPr>
          <w:lang w:val="en-GB"/>
        </w:rPr>
        <w:t xml:space="preserve"> </w:t>
      </w:r>
      <w:r w:rsidR="00CA468B">
        <w:rPr>
          <w:lang w:val="en-GB"/>
        </w:rPr>
        <w:t>is</w:t>
      </w:r>
      <w:r w:rsidR="00656417">
        <w:rPr>
          <w:lang w:val="en-GB"/>
        </w:rPr>
        <w:t xml:space="preserve"> </w:t>
      </w:r>
      <w:r w:rsidR="00697E96">
        <w:rPr>
          <w:lang w:val="en-GB"/>
        </w:rPr>
        <w:t xml:space="preserve">included. </w:t>
      </w:r>
      <w:commentRangeStart w:id="6"/>
      <w:commentRangeStart w:id="7"/>
      <w:r>
        <w:rPr>
          <w:bCs/>
          <w:iCs/>
          <w:lang w:val="en-US"/>
        </w:rPr>
        <w:t xml:space="preserve">It is not intended that simple methods override more detailed approaches already being used by MS: rather, the proposal is targeted towards </w:t>
      </w:r>
      <w:proofErr w:type="gramStart"/>
      <w:r>
        <w:rPr>
          <w:bCs/>
          <w:iCs/>
          <w:lang w:val="en-US"/>
        </w:rPr>
        <w:t>those MS</w:t>
      </w:r>
      <w:proofErr w:type="gramEnd"/>
      <w:r>
        <w:rPr>
          <w:bCs/>
          <w:iCs/>
          <w:lang w:val="en-US"/>
        </w:rPr>
        <w:t xml:space="preserve"> which currently lack data and or methods.</w:t>
      </w:r>
      <w:commentRangeEnd w:id="6"/>
      <w:r w:rsidR="008C5B92">
        <w:rPr>
          <w:rStyle w:val="CommentReference"/>
        </w:rPr>
        <w:commentReference w:id="6"/>
      </w:r>
      <w:commentRangeEnd w:id="7"/>
      <w:r w:rsidR="0056296D">
        <w:rPr>
          <w:rStyle w:val="CommentReference"/>
        </w:rPr>
        <w:commentReference w:id="7"/>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lastRenderedPageBreak/>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3"/>
      </w:r>
      <w:r w:rsidR="00FE6944">
        <w:rPr>
          <w:lang w:val="en-US"/>
        </w:rPr>
        <w:t xml:space="preserve"> (</w:t>
      </w:r>
      <w:commentRangeStart w:id="8"/>
      <w:commentRangeStart w:id="9"/>
      <w:r w:rsidR="00513045">
        <w:rPr>
          <w:lang w:val="en-US"/>
        </w:rPr>
        <w:t xml:space="preserve">see </w:t>
      </w:r>
      <w:r w:rsidR="00FE6944">
        <w:rPr>
          <w:lang w:val="en-US"/>
        </w:rPr>
        <w:t>Figure</w:t>
      </w:r>
      <w:r w:rsidR="00513045">
        <w:rPr>
          <w:lang w:val="en-US"/>
        </w:rPr>
        <w:t xml:space="preserve"> 1 below</w:t>
      </w:r>
      <w:commentRangeEnd w:id="8"/>
      <w:r w:rsidR="008739FA">
        <w:rPr>
          <w:rStyle w:val="CommentReference"/>
        </w:rPr>
        <w:commentReference w:id="8"/>
      </w:r>
      <w:commentRangeEnd w:id="9"/>
      <w:r w:rsidR="0056296D">
        <w:rPr>
          <w:rStyle w:val="CommentReference"/>
        </w:rPr>
        <w:commentReference w:id="9"/>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p w14:paraId="4807C358" w14:textId="77777777" w:rsidR="002D1780" w:rsidRPr="00203397" w:rsidRDefault="002D1780" w:rsidP="00980490">
      <w:pPr>
        <w:tabs>
          <w:tab w:val="left" w:pos="9072"/>
        </w:tabs>
        <w:contextualSpacing/>
        <w:rPr>
          <w:rFonts w:eastAsiaTheme="minorEastAsia"/>
          <w:i/>
          <w:lang w:eastAsia="zh-CN"/>
        </w:rPr>
      </w:pP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56296D"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11"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8  </w:t>
            </w:r>
            <w:r w:rsidRPr="000A0FC4">
              <w:rPr>
                <w:rFonts w:eastAsiaTheme="minorEastAsia"/>
                <w:sz w:val="16"/>
                <w:szCs w:val="16"/>
                <w:lang w:val="en-US" w:eastAsia="zh-CN"/>
              </w:rPr>
              <w:t>Urban</w:t>
            </w:r>
            <w:proofErr w:type="gramEnd"/>
            <w:r w:rsidRPr="000A0FC4">
              <w:rPr>
                <w:rFonts w:eastAsiaTheme="minorEastAsia"/>
                <w:sz w:val="16"/>
                <w:szCs w:val="16"/>
                <w:lang w:val="en-US" w:eastAsia="zh-CN"/>
              </w:rPr>
              <w:t xml:space="preserve"> Waste Water treated</w:t>
            </w:r>
          </w:p>
        </w:tc>
      </w:tr>
      <w:tr w:rsidR="000A0FC4" w:rsidRPr="0056296D"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9  </w:t>
            </w:r>
            <w:r w:rsidRPr="000A0FC4">
              <w:rPr>
                <w:rFonts w:eastAsiaTheme="minorEastAsia"/>
                <w:sz w:val="16"/>
                <w:szCs w:val="16"/>
                <w:lang w:val="en-US" w:eastAsia="zh-CN"/>
              </w:rPr>
              <w:t>Individual</w:t>
            </w:r>
            <w:proofErr w:type="gramEnd"/>
            <w:r w:rsidRPr="000A0FC4">
              <w:rPr>
                <w:rFonts w:eastAsiaTheme="minorEastAsia"/>
                <w:sz w:val="16"/>
                <w:szCs w:val="16"/>
                <w:lang w:val="en-US" w:eastAsia="zh-CN"/>
              </w:rPr>
              <w:t xml:space="preserve"> - treated and untreated- household discharges</w:t>
            </w:r>
          </w:p>
        </w:tc>
      </w:tr>
      <w:tr w:rsidR="000A0FC4" w:rsidRPr="0056296D"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10  Industrial</w:t>
            </w:r>
            <w:proofErr w:type="gramEnd"/>
            <w:r w:rsidRPr="000A0FC4">
              <w:rPr>
                <w:rFonts w:eastAsiaTheme="minorEastAsia"/>
                <w:sz w:val="16"/>
                <w:szCs w:val="16"/>
                <w:lang w:val="en-US" w:eastAsia="zh-CN"/>
              </w:rPr>
              <w:t xml:space="preserve"> Waste Water treated</w:t>
            </w:r>
          </w:p>
        </w:tc>
      </w:tr>
      <w:tr w:rsidR="000A0FC4" w:rsidRPr="0056296D"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11  Direct</w:t>
            </w:r>
            <w:proofErr w:type="gramEnd"/>
            <w:r w:rsidRPr="000A0FC4">
              <w:rPr>
                <w:rFonts w:eastAsiaTheme="minorEastAsia"/>
                <w:sz w:val="16"/>
                <w:szCs w:val="16"/>
                <w:lang w:val="en-US" w:eastAsia="zh-CN"/>
              </w:rPr>
              <w:t xml:space="preserve"> Discharges from Mining</w:t>
            </w:r>
          </w:p>
        </w:tc>
      </w:tr>
      <w:tr w:rsidR="000A0FC4" w:rsidRPr="0056296D"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12  Direct</w:t>
            </w:r>
            <w:proofErr w:type="gramEnd"/>
            <w:r w:rsidRPr="000A0FC4">
              <w:rPr>
                <w:rFonts w:eastAsiaTheme="minorEastAsia"/>
                <w:sz w:val="16"/>
                <w:szCs w:val="16"/>
                <w:lang w:val="en-US" w:eastAsia="zh-CN"/>
              </w:rPr>
              <w:t xml:space="preserve">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56296D"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7</w:t>
            </w:r>
            <w:r>
              <w:rPr>
                <w:rFonts w:eastAsiaTheme="minorEastAsia"/>
                <w:sz w:val="16"/>
                <w:szCs w:val="16"/>
                <w:lang w:val="en-US" w:eastAsia="zh-CN"/>
              </w:rPr>
              <w:t xml:space="preserve">  </w:t>
            </w:r>
            <w:r w:rsidRPr="000A0FC4">
              <w:rPr>
                <w:rFonts w:eastAsiaTheme="minorEastAsia"/>
                <w:sz w:val="16"/>
                <w:szCs w:val="16"/>
                <w:lang w:val="en-US" w:eastAsia="zh-CN"/>
              </w:rPr>
              <w:t>Storm</w:t>
            </w:r>
            <w:proofErr w:type="gramEnd"/>
            <w:r w:rsidRPr="000A0FC4">
              <w:rPr>
                <w:rFonts w:eastAsiaTheme="minorEastAsia"/>
                <w:sz w:val="16"/>
                <w:szCs w:val="16"/>
                <w:lang w:val="en-US" w:eastAsia="zh-CN"/>
              </w:rPr>
              <w:t xml:space="preserve">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12" w:name="_Ref467067537"/>
      <w:bookmarkEnd w:id="11"/>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12"/>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2279866"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commentRangeStart w:id="13"/>
      <w:commentRangeStart w:id="14"/>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source. </w:t>
      </w:r>
      <w:commentRangeEnd w:id="13"/>
      <w:r w:rsidR="008739FA">
        <w:rPr>
          <w:rStyle w:val="CommentReference"/>
        </w:rPr>
        <w:commentReference w:id="13"/>
      </w:r>
      <w:commentRangeEnd w:id="14"/>
      <w:r w:rsidR="0056296D">
        <w:rPr>
          <w:rStyle w:val="CommentReference"/>
        </w:rPr>
        <w:commentReference w:id="14"/>
      </w:r>
      <w:r w:rsidRPr="006554E6">
        <w:rPr>
          <w:lang w:val="en-US"/>
        </w:rPr>
        <w:t xml:space="preserve">Emissions, discharges or loads can follow different pathways, either directly to surface water, or to other compartments of the environment (air, soil, groundwater). A specific </w:t>
      </w:r>
      <w:r w:rsidRPr="006554E6">
        <w:rPr>
          <w:lang w:val="en-US"/>
        </w:rPr>
        <w:lastRenderedPageBreak/>
        <w:t>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15" w:name="_Hlk34215818"/>
      <w:r w:rsidR="00513045">
        <w:rPr>
          <w:lang w:val="en-US"/>
        </w:rPr>
        <w:t>industrial (IWWTPs</w:t>
      </w:r>
      <w:bookmarkEnd w:id="15"/>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5A740D37" w:rsidR="001A5AD7" w:rsidRDefault="006554E6" w:rsidP="001E350C">
      <w:pPr>
        <w:tabs>
          <w:tab w:val="left" w:pos="9072"/>
        </w:tabs>
        <w:spacing w:after="0"/>
        <w:contextualSpacing/>
        <w:rPr>
          <w:lang w:val="en-US"/>
        </w:rPr>
      </w:pPr>
      <w:r w:rsidRPr="0061161F">
        <w:rPr>
          <w:lang w:val="en-US"/>
        </w:rPr>
        <w:t xml:space="preserve">Although different approaches are shown in the scheme (riverine load approach, </w:t>
      </w:r>
      <w:proofErr w:type="gramStart"/>
      <w:r w:rsidRPr="0061161F">
        <w:rPr>
          <w:lang w:val="en-US"/>
        </w:rPr>
        <w:t>source oriented</w:t>
      </w:r>
      <w:proofErr w:type="gramEnd"/>
      <w:r w:rsidRPr="0061161F">
        <w:rPr>
          <w:lang w:val="en-US"/>
        </w:rPr>
        <w:t xml:space="preserve">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Therefor</w:t>
      </w:r>
      <w:r w:rsidR="00824C8D">
        <w:rPr>
          <w:lang w:val="en-US"/>
        </w:rPr>
        <w:t>e</w:t>
      </w:r>
      <w:r w:rsidR="008A5DAC">
        <w:rPr>
          <w:lang w:val="en-US"/>
        </w:rPr>
        <w:t>, this proposal will focus on the quantification of the pathways P1-P13.</w:t>
      </w:r>
    </w:p>
    <w:p w14:paraId="1804F735" w14:textId="118C73BD" w:rsidR="00F1709F" w:rsidRDefault="00F1709F" w:rsidP="001E350C">
      <w:pPr>
        <w:tabs>
          <w:tab w:val="left" w:pos="9072"/>
        </w:tabs>
        <w:spacing w:after="0"/>
        <w:contextualSpacing/>
        <w:rPr>
          <w:lang w:val="en-US"/>
        </w:rPr>
      </w:pPr>
    </w:p>
    <w:p w14:paraId="6258CCF4" w14:textId="73C1D1F0" w:rsidR="00CC3717" w:rsidRDefault="00F1709F"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commentRangeStart w:id="16"/>
      <w:commentRangeStart w:id="17"/>
      <w:r w:rsidRPr="00B6157E">
        <w:rPr>
          <w:b/>
          <w:lang w:val="en-US"/>
        </w:rPr>
        <w:t xml:space="preserve">Discussion </w:t>
      </w:r>
      <w:r w:rsidR="00B646B8">
        <w:rPr>
          <w:b/>
          <w:lang w:val="en-US"/>
        </w:rPr>
        <w:t xml:space="preserve">point </w:t>
      </w:r>
      <w:r w:rsidRPr="00B6157E">
        <w:rPr>
          <w:b/>
          <w:lang w:val="en-US"/>
        </w:rPr>
        <w:t>1</w:t>
      </w:r>
      <w:commentRangeEnd w:id="16"/>
      <w:r w:rsidR="008739FA">
        <w:rPr>
          <w:rStyle w:val="CommentReference"/>
        </w:rPr>
        <w:commentReference w:id="16"/>
      </w:r>
      <w:commentRangeEnd w:id="17"/>
      <w:r w:rsidR="0056296D">
        <w:rPr>
          <w:rStyle w:val="CommentReference"/>
        </w:rPr>
        <w:commentReference w:id="17"/>
      </w:r>
      <w:r>
        <w:rPr>
          <w:lang w:val="en-US"/>
        </w:rPr>
        <w:t xml:space="preserve">: 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
    <w:p w14:paraId="4DE35A2E" w14:textId="77777777" w:rsidR="00CC3717" w:rsidRDefault="00CC3717" w:rsidP="001E350C">
      <w:pPr>
        <w:tabs>
          <w:tab w:val="left" w:pos="9072"/>
        </w:tabs>
        <w:spacing w:after="0"/>
        <w:contextualSpacing/>
        <w:rPr>
          <w:lang w:val="en-US"/>
        </w:rPr>
      </w:pPr>
    </w:p>
    <w:p w14:paraId="5440D813" w14:textId="34ED244E" w:rsidR="00F1709F" w:rsidRDefault="00CC3717" w:rsidP="00CC3717">
      <w:pPr>
        <w:pBdr>
          <w:top w:val="single" w:sz="4" w:space="1" w:color="auto"/>
          <w:left w:val="single" w:sz="4" w:space="4" w:color="auto"/>
          <w:bottom w:val="single" w:sz="4" w:space="1" w:color="auto"/>
          <w:right w:val="single" w:sz="4" w:space="4" w:color="auto"/>
        </w:pBdr>
        <w:tabs>
          <w:tab w:val="left" w:pos="9072"/>
        </w:tabs>
        <w:spacing w:after="0"/>
        <w:contextualSpacing/>
        <w:rPr>
          <w:lang w:val="en-US"/>
        </w:rPr>
      </w:pPr>
      <w:commentRangeStart w:id="18"/>
      <w:commentRangeStart w:id="19"/>
      <w:r w:rsidRPr="00B6157E">
        <w:rPr>
          <w:b/>
          <w:lang w:val="en-US"/>
        </w:rPr>
        <w:t xml:space="preserve">Discussion </w:t>
      </w:r>
      <w:r w:rsidR="00B646B8">
        <w:rPr>
          <w:b/>
          <w:lang w:val="en-US"/>
        </w:rPr>
        <w:t xml:space="preserve">point </w:t>
      </w:r>
      <w:r w:rsidRPr="00B6157E">
        <w:rPr>
          <w:b/>
          <w:lang w:val="en-US"/>
        </w:rPr>
        <w:t>2</w:t>
      </w:r>
      <w:commentRangeEnd w:id="18"/>
      <w:r w:rsidR="008739FA">
        <w:rPr>
          <w:rStyle w:val="CommentReference"/>
        </w:rPr>
        <w:commentReference w:id="18"/>
      </w:r>
      <w:commentRangeEnd w:id="19"/>
      <w:r w:rsidR="0056296D">
        <w:rPr>
          <w:rStyle w:val="CommentReference"/>
        </w:rPr>
        <w:commentReference w:id="19"/>
      </w:r>
      <w:r>
        <w:rPr>
          <w:lang w:val="en-US"/>
        </w:rPr>
        <w:t xml:space="preserve">: </w:t>
      </w:r>
      <w:bookmarkStart w:id="20" w:name="_Hlk37233414"/>
      <w:r>
        <w:rPr>
          <w:lang w:val="en-US"/>
        </w:rPr>
        <w:t xml:space="preserve">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bookmarkEnd w:id="20"/>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78511308"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3B2E6D">
        <w:rPr>
          <w:lang w:val="en-GB"/>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t>Water, Science and Technology, 2001</w:t>
      </w:r>
      <w:r w:rsidR="007568A1">
        <w:rPr>
          <w:rStyle w:val="FootnoteReference"/>
          <w:lang w:val="en-US"/>
        </w:rPr>
        <w:footnoteReference w:id="14"/>
      </w:r>
      <w:r w:rsidR="007568A1">
        <w:rPr>
          <w:lang w:val="en-US"/>
        </w:rPr>
        <w:t>. T</w:t>
      </w:r>
      <w:r w:rsidR="004F4A0E" w:rsidRPr="008D0362">
        <w:rPr>
          <w:lang w:val="en-US"/>
        </w:rPr>
        <w:t xml:space="preserve">he method has been applied for 7 </w:t>
      </w:r>
      <w:commentRangeStart w:id="21"/>
      <w:commentRangeStart w:id="22"/>
      <w:r w:rsidR="004F4A0E" w:rsidRPr="008D0362">
        <w:rPr>
          <w:lang w:val="en-US"/>
        </w:rPr>
        <w:t xml:space="preserve">heavy metals </w:t>
      </w:r>
      <w:commentRangeEnd w:id="21"/>
      <w:r w:rsidR="004F1DA4">
        <w:rPr>
          <w:rStyle w:val="CommentReference"/>
        </w:rPr>
        <w:commentReference w:id="21"/>
      </w:r>
      <w:commentRangeEnd w:id="22"/>
      <w:r w:rsidR="0056296D">
        <w:rPr>
          <w:rStyle w:val="CommentReference"/>
        </w:rPr>
        <w:commentReference w:id="22"/>
      </w:r>
      <w:r w:rsidR="004F4A0E" w:rsidRPr="008D0362">
        <w:rPr>
          <w:lang w:val="en-US"/>
        </w:rPr>
        <w:t>for the Rhine catchment. The estimated loads</w:t>
      </w:r>
      <w:commentRangeStart w:id="23"/>
      <w:commentRangeStart w:id="24"/>
      <w:r w:rsidR="004F4A0E" w:rsidRPr="008D0362">
        <w:rPr>
          <w:lang w:val="en-US"/>
        </w:rPr>
        <w:t xml:space="preserve"> sufﬁciently </w:t>
      </w:r>
      <w:commentRangeEnd w:id="23"/>
      <w:r w:rsidR="004F1DA4">
        <w:rPr>
          <w:rStyle w:val="CommentReference"/>
        </w:rPr>
        <w:commentReference w:id="23"/>
      </w:r>
      <w:commentRangeEnd w:id="24"/>
      <w:r w:rsidR="0056296D">
        <w:rPr>
          <w:rStyle w:val="CommentReference"/>
        </w:rPr>
        <w:commentReference w:id="24"/>
      </w:r>
      <w:r w:rsidR="004F4A0E" w:rsidRPr="008D0362">
        <w:rPr>
          <w:lang w:val="en-US"/>
        </w:rPr>
        <w:t>agreed 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sidRPr="003B2E6D">
        <w:rPr>
          <w:lang w:val="en-GB"/>
        </w:rPr>
        <w:t>This emission factor method has also been the basis for th</w:t>
      </w:r>
      <w:r w:rsidR="00593C83" w:rsidRPr="003B2E6D">
        <w:rPr>
          <w:lang w:val="en-GB"/>
        </w:rPr>
        <w:t xml:space="preserve">e EC project: </w:t>
      </w:r>
      <w:r w:rsidR="00593C83" w:rsidRPr="003B2E6D">
        <w:rPr>
          <w:i/>
          <w:lang w:val="en-GB"/>
        </w:rPr>
        <w:t>Diffuse water emissions in E-PRTR</w:t>
      </w:r>
      <w:r w:rsidR="00593C83">
        <w:rPr>
          <w:rStyle w:val="FootnoteReference"/>
          <w:lang w:val="de-DE"/>
        </w:rPr>
        <w:footnoteReference w:id="15"/>
      </w:r>
      <w:r w:rsidR="00593C83" w:rsidRPr="003B2E6D">
        <w:rPr>
          <w:lang w:val="en-GB"/>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6"/>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7"/>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 xml:space="preserve">An example for an activity is the production of urban waste water. The AR will then be the number of inhabitants producing waste water. The EF for a </w:t>
      </w:r>
      <w:r w:rsidR="003E2B13">
        <w:rPr>
          <w:lang w:val="en-US"/>
        </w:rPr>
        <w:lastRenderedPageBreak/>
        <w:t>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Pr="00B0094D" w:rsidRDefault="00F37DBC" w:rsidP="00F37DBC">
      <w:pPr>
        <w:spacing w:before="44" w:line="240" w:lineRule="auto"/>
        <w:ind w:left="102" w:right="-20"/>
        <w:rPr>
          <w:rFonts w:eastAsia="Arial"/>
          <w:spacing w:val="-1"/>
          <w:w w:val="104"/>
          <w:sz w:val="18"/>
          <w:szCs w:val="18"/>
          <w:lang w:val="en-US"/>
        </w:rPr>
      </w:pPr>
      <w:r w:rsidRPr="00B0094D">
        <w:rPr>
          <w:rFonts w:eastAsia="Arial"/>
          <w:spacing w:val="5"/>
          <w:w w:val="104"/>
          <w:sz w:val="18"/>
          <w:szCs w:val="18"/>
          <w:lang w:val="en-US"/>
        </w:rPr>
        <w:t>W</w:t>
      </w:r>
      <w:r w:rsidRPr="00B0094D">
        <w:rPr>
          <w:rFonts w:eastAsia="Arial"/>
          <w:spacing w:val="-1"/>
          <w:w w:val="104"/>
          <w:sz w:val="18"/>
          <w:szCs w:val="18"/>
          <w:lang w:val="en-US"/>
        </w:rPr>
        <w:t>he</w:t>
      </w:r>
      <w:r w:rsidRPr="00B0094D">
        <w:rPr>
          <w:rFonts w:eastAsia="Arial"/>
          <w:spacing w:val="-4"/>
          <w:w w:val="104"/>
          <w:sz w:val="18"/>
          <w:szCs w:val="18"/>
          <w:lang w:val="en-US"/>
        </w:rPr>
        <w:t>r</w:t>
      </w:r>
      <w:r w:rsidRPr="00B0094D">
        <w:rPr>
          <w:rFonts w:eastAsia="Arial"/>
          <w:spacing w:val="-1"/>
          <w:w w:val="104"/>
          <w:sz w:val="18"/>
          <w:szCs w:val="18"/>
          <w:lang w:val="en-US"/>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18"/>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19"/>
      </w:r>
      <w:r w:rsidR="00DA520F">
        <w:rPr>
          <w:rFonts w:eastAsia="Arial"/>
          <w:w w:val="102"/>
          <w:szCs w:val="21"/>
          <w:lang w:val="en-US"/>
        </w:rPr>
        <w:t>, WEISS</w:t>
      </w:r>
      <w:r w:rsidR="00166703">
        <w:rPr>
          <w:rStyle w:val="FootnoteReference"/>
          <w:rFonts w:eastAsia="Arial"/>
          <w:w w:val="102"/>
          <w:szCs w:val="21"/>
          <w:lang w:val="en-US"/>
        </w:rPr>
        <w:footnoteReference w:id="20"/>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1"/>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2"/>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5B88FF5E" w14:textId="052DD38D" w:rsidR="00F1709F" w:rsidRDefault="001853EC" w:rsidP="00C93559">
      <w:pPr>
        <w:pStyle w:val="T0pt"/>
        <w:rPr>
          <w:rFonts w:eastAsia="Arial"/>
          <w:szCs w:val="21"/>
          <w:highlight w:val="yellow"/>
          <w:lang w:val="en-US"/>
        </w:rPr>
      </w:pPr>
      <w:r w:rsidRPr="00C93559">
        <w:rPr>
          <w:rFonts w:eastAsia="Arial"/>
          <w:w w:val="102"/>
          <w:szCs w:val="21"/>
          <w:lang w:val="en-US"/>
        </w:rPr>
        <w:t xml:space="preserve">In some </w:t>
      </w:r>
      <w:proofErr w:type="gramStart"/>
      <w:r w:rsidRPr="00C93559">
        <w:rPr>
          <w:rFonts w:eastAsia="Arial"/>
          <w:w w:val="102"/>
          <w:szCs w:val="21"/>
          <w:lang w:val="en-US"/>
        </w:rPr>
        <w:t>cases</w:t>
      </w:r>
      <w:proofErr w:type="gramEnd"/>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 application of a so</w:t>
      </w:r>
      <w:r w:rsidR="00A437E9">
        <w:rPr>
          <w:rFonts w:eastAsia="Arial"/>
          <w:szCs w:val="21"/>
          <w:lang w:val="en-US"/>
        </w:rPr>
        <w:t>-</w:t>
      </w:r>
      <w:r w:rsidRPr="001853EC">
        <w:rPr>
          <w:rFonts w:eastAsia="Arial"/>
          <w:szCs w:val="21"/>
          <w:lang w:val="en-US"/>
        </w:rPr>
        <w:t xml:space="preserve">called proxy variable can help to derive at least a rough estimate of the </w:t>
      </w:r>
      <w:r>
        <w:rPr>
          <w:rFonts w:eastAsia="Arial"/>
          <w:szCs w:val="21"/>
          <w:lang w:val="en-US"/>
        </w:rPr>
        <w:t>AR</w:t>
      </w:r>
      <w:r w:rsidRPr="001853EC">
        <w:rPr>
          <w:rFonts w:eastAsia="Arial"/>
          <w:szCs w:val="21"/>
          <w:lang w:val="en-US"/>
        </w:rPr>
        <w:t>. A proxy variable is a variable that is not directly related to the data that are needed</w:t>
      </w:r>
      <w:r w:rsidR="00697E96">
        <w:rPr>
          <w:rFonts w:eastAsia="Arial"/>
          <w:szCs w:val="21"/>
          <w:lang w:val="en-US"/>
        </w:rPr>
        <w:t xml:space="preserve"> </w:t>
      </w:r>
      <w:r w:rsidRPr="001853EC">
        <w:rPr>
          <w:rFonts w:eastAsia="Arial"/>
          <w:szCs w:val="21"/>
          <w:lang w:val="en-US"/>
        </w:rPr>
        <w:t xml:space="preserve">but might have a good correlation with such data. Such proxy data could be the population size or gross domestic product or other high-level indicators of the size and the economic activities in a country. 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C93559">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lastRenderedPageBreak/>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9178BB">
      <w:pPr>
        <w:pStyle w:val="ListParagraph"/>
        <w:numPr>
          <w:ilvl w:val="0"/>
          <w:numId w:val="2"/>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42DB65E5"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whenever possible but</w:t>
      </w:r>
      <w:r>
        <w:rPr>
          <w:rFonts w:eastAsia="Arial"/>
          <w:w w:val="102"/>
          <w:szCs w:val="21"/>
          <w:lang w:val="en-US"/>
        </w:rPr>
        <w:t xml:space="preserve"> 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t xml:space="preserve">Spatial </w:t>
      </w:r>
      <w:r w:rsidR="00584297">
        <w:rPr>
          <w:lang w:val="en-US"/>
        </w:rPr>
        <w:t>scale</w:t>
      </w:r>
    </w:p>
    <w:p w14:paraId="43BD09A7" w14:textId="527561F8"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on a country level. This would already be a good start for the emission inventory. </w:t>
      </w:r>
      <w:r w:rsidR="00CC3717">
        <w:rPr>
          <w:lang w:val="en-US"/>
        </w:rPr>
        <w:t xml:space="preserve">A lot of statistical data is available </w:t>
      </w:r>
      <w:r w:rsidR="00A437E9">
        <w:rPr>
          <w:lang w:val="en-US"/>
        </w:rPr>
        <w:t>at</w:t>
      </w:r>
      <w:r w:rsidR="00CC3717">
        <w:rPr>
          <w:lang w:val="en-US"/>
        </w:rPr>
        <w:t xml:space="preserve"> a country level.</w:t>
      </w:r>
      <w:r w:rsidR="00496DA6">
        <w:rPr>
          <w:lang w:val="en-US"/>
        </w:rPr>
        <w:t xml:space="preserve"> At the other hand, in the TGD is described that certain pollutants do not need to be quantified and reported for the RBDs where no exceedance of the EQS is seen. </w:t>
      </w:r>
    </w:p>
    <w:p w14:paraId="5A094DF8" w14:textId="1A14B61D" w:rsidR="00166DFA" w:rsidRDefault="00246AF3" w:rsidP="006F20A4">
      <w:pPr>
        <w:pBdr>
          <w:top w:val="single" w:sz="4" w:space="1" w:color="auto"/>
          <w:left w:val="single" w:sz="4" w:space="4" w:color="auto"/>
          <w:bottom w:val="single" w:sz="4" w:space="1" w:color="auto"/>
          <w:right w:val="single" w:sz="4" w:space="4" w:color="auto"/>
        </w:pBdr>
        <w:spacing w:after="0"/>
        <w:rPr>
          <w:rFonts w:eastAsia="MS Mincho"/>
          <w:lang w:val="en-US"/>
        </w:rPr>
      </w:pPr>
      <w:commentRangeStart w:id="25"/>
      <w:commentRangeStart w:id="26"/>
      <w:r w:rsidRPr="00182FBD">
        <w:rPr>
          <w:b/>
          <w:lang w:val="en-US"/>
        </w:rPr>
        <w:t xml:space="preserve">Discussion </w:t>
      </w:r>
      <w:r w:rsidR="00166DFA">
        <w:rPr>
          <w:b/>
          <w:lang w:val="en-US"/>
        </w:rPr>
        <w:t xml:space="preserve">point </w:t>
      </w:r>
      <w:r w:rsidR="00CC3717" w:rsidRPr="00182FBD">
        <w:rPr>
          <w:b/>
          <w:lang w:val="en-US"/>
        </w:rPr>
        <w:t>3</w:t>
      </w:r>
      <w:commentRangeEnd w:id="25"/>
      <w:r w:rsidR="000973A0">
        <w:rPr>
          <w:rStyle w:val="CommentReference"/>
        </w:rPr>
        <w:commentReference w:id="25"/>
      </w:r>
      <w:commentRangeEnd w:id="26"/>
      <w:r w:rsidR="0056296D">
        <w:rPr>
          <w:rStyle w:val="CommentReference"/>
        </w:rPr>
        <w:commentReference w:id="26"/>
      </w:r>
      <w:r>
        <w:rPr>
          <w:lang w:val="en-US"/>
        </w:rPr>
        <w:t xml:space="preserve">: </w:t>
      </w:r>
      <w:r w:rsidR="00166DFA">
        <w:rPr>
          <w:lang w:val="en-US"/>
        </w:rPr>
        <w:t xml:space="preserve">Would it be acceptable to focus </w:t>
      </w:r>
      <w:r w:rsidR="00200D3F">
        <w:rPr>
          <w:lang w:val="en-US"/>
        </w:rPr>
        <w:t xml:space="preserve">as a first attempt </w:t>
      </w:r>
      <w:r w:rsidR="00166DFA">
        <w:rPr>
          <w:lang w:val="en-US"/>
        </w:rPr>
        <w:t xml:space="preserve">the emission quantification on the country level and (for the moment) not </w:t>
      </w:r>
      <w:r>
        <w:rPr>
          <w:lang w:val="en-US"/>
        </w:rPr>
        <w:t>detail the calculations to the level of River Basin District (RBD), or even River Basin District Sub-Unit (RBDSU)</w:t>
      </w:r>
      <w:r w:rsidR="00166DFA">
        <w:rPr>
          <w:lang w:val="en-US"/>
        </w:rPr>
        <w:t>?</w:t>
      </w:r>
      <w:r>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0E47BB66"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Pr>
          <w:lang w:val="en-US"/>
        </w:rPr>
        <w:t xml:space="preserve">a long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3"/>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irrespective of the compartment </w:t>
      </w:r>
      <w:r w:rsidR="002667F6">
        <w:rPr>
          <w:rFonts w:ascii="Calibri" w:eastAsia="MS Mincho" w:hAnsi="Calibri" w:cs="Times New Roman"/>
          <w:lang w:val="en-US"/>
        </w:rPr>
        <w:t xml:space="preserve">or pathway </w:t>
      </w:r>
      <w:r w:rsidR="002667F6" w:rsidRPr="002667F6">
        <w:rPr>
          <w:rFonts w:ascii="Calibri" w:eastAsia="MS Mincho" w:hAnsi="Calibri" w:cs="Times New Roman"/>
          <w:lang w:val="en-US"/>
        </w:rPr>
        <w:t>involved,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1324AEA7"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4"/>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 xml:space="preserve">1 </w:t>
      </w:r>
      <w:r w:rsidR="00C133A4">
        <w:rPr>
          <w:rFonts w:ascii="Calibri" w:eastAsia="MS Mincho" w:hAnsi="Calibri" w:cs="Times New Roman"/>
          <w:lang w:val="en-US"/>
        </w:rPr>
        <w:t>next page</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07835693" w14:textId="549CFFB2" w:rsidR="008A2568" w:rsidRDefault="008A2568" w:rsidP="008A2568">
      <w:pPr>
        <w:rPr>
          <w:rFonts w:ascii="Calibri" w:eastAsia="MS Mincho" w:hAnsi="Calibri" w:cs="Times New Roman"/>
          <w:lang w:val="en-US"/>
        </w:rPr>
      </w:pPr>
    </w:p>
    <w:p w14:paraId="260A35A5" w14:textId="70B8B695" w:rsidR="008A2568" w:rsidRDefault="008A2568" w:rsidP="008A2568">
      <w:pPr>
        <w:rPr>
          <w:rFonts w:ascii="Calibri" w:eastAsia="MS Mincho" w:hAnsi="Calibri" w:cs="Times New Roman"/>
          <w:lang w:val="en-US"/>
        </w:rPr>
      </w:pPr>
    </w:p>
    <w:p w14:paraId="79416271" w14:textId="5C6A940B" w:rsidR="008A2568" w:rsidRDefault="008A2568" w:rsidP="008A2568">
      <w:pPr>
        <w:rPr>
          <w:rFonts w:ascii="Calibri" w:eastAsia="MS Mincho" w:hAnsi="Calibri" w:cs="Times New Roman"/>
          <w:lang w:val="en-US"/>
        </w:rPr>
      </w:pPr>
    </w:p>
    <w:p w14:paraId="2206AF56" w14:textId="07E4DD5F" w:rsidR="003A7897" w:rsidRPr="003A7897" w:rsidRDefault="00C47BF3" w:rsidP="003A7897">
      <w:pPr>
        <w:rPr>
          <w:lang w:val="en-US"/>
        </w:rPr>
      </w:pPr>
      <w:r w:rsidRPr="00C47BF3">
        <w:rPr>
          <w:noProof/>
          <w:lang w:val="en-GB" w:eastAsia="en-GB"/>
        </w:rPr>
        <w:lastRenderedPageBreak/>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3724275"/>
                    </a:xfrm>
                    <a:prstGeom prst="rect">
                      <a:avLst/>
                    </a:prstGeom>
                  </pic:spPr>
                </pic:pic>
              </a:graphicData>
            </a:graphic>
          </wp:inline>
        </w:drawing>
      </w:r>
    </w:p>
    <w:p w14:paraId="0EBEEC00" w14:textId="4C1DF930" w:rsidR="001D7593" w:rsidRPr="00382A5F" w:rsidRDefault="001D7593">
      <w:pPr>
        <w:rPr>
          <w:rStyle w:val="SubtleEmphasis"/>
          <w:lang w:val="en-US"/>
        </w:rPr>
      </w:pPr>
      <w:r w:rsidRPr="00382A5F">
        <w:rPr>
          <w:rStyle w:val="SubtleEmphasis"/>
          <w:lang w:val="en-US"/>
        </w:rPr>
        <w:t xml:space="preserve">Table 1 </w:t>
      </w:r>
      <w:r w:rsidR="00803824" w:rsidRPr="00382A5F">
        <w:rPr>
          <w:rStyle w:val="SubtleEmphasis"/>
          <w:lang w:val="en-US"/>
        </w:rPr>
        <w:t xml:space="preserve">From: EEA Report No 18/2018 Chemicals in European Waters: </w:t>
      </w:r>
      <w:hyperlink r:id="rId16" w:history="1">
        <w:r w:rsidR="00803824" w:rsidRPr="00382A5F">
          <w:rPr>
            <w:rStyle w:val="Hyperlink"/>
            <w:lang w:val="en-US"/>
          </w:rPr>
          <w:t>https://www.eea.europa.eu/publications/chemicals-in-european-waters</w:t>
        </w:r>
      </w:hyperlink>
      <w:r w:rsidR="00803824" w:rsidRPr="00382A5F">
        <w:rPr>
          <w:rStyle w:val="SubtleEmphasis"/>
          <w:lang w:val="en-US"/>
        </w:rPr>
        <w:t xml:space="preserve"> </w:t>
      </w:r>
    </w:p>
    <w:p w14:paraId="2688B767" w14:textId="273035DF" w:rsidR="001D7593" w:rsidRDefault="001D7593" w:rsidP="00D652F8">
      <w:pPr>
        <w:pBdr>
          <w:top w:val="single" w:sz="4" w:space="1" w:color="auto"/>
          <w:left w:val="single" w:sz="4" w:space="4" w:color="auto"/>
          <w:bottom w:val="single" w:sz="4" w:space="1" w:color="auto"/>
          <w:right w:val="single" w:sz="4" w:space="4" w:color="auto"/>
        </w:pBdr>
        <w:rPr>
          <w:lang w:val="en-US"/>
        </w:rPr>
      </w:pPr>
      <w:r w:rsidRPr="00033F34">
        <w:rPr>
          <w:rFonts w:ascii="Calibri" w:eastAsia="MS Mincho" w:hAnsi="Calibri" w:cs="Times New Roman"/>
          <w:b/>
          <w:lang w:val="en-US"/>
        </w:rPr>
        <w:t>Discussion</w:t>
      </w:r>
      <w:r w:rsidRPr="00033F34">
        <w:rPr>
          <w:b/>
          <w:lang w:val="en-US"/>
        </w:rPr>
        <w:t xml:space="preserve"> point 4</w:t>
      </w:r>
      <w:r w:rsidRPr="00E73AA7">
        <w:rPr>
          <w:lang w:val="en-US"/>
        </w:rPr>
        <w:t xml:space="preserve">: 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w:t>
      </w:r>
      <w:commentRangeStart w:id="28"/>
      <w:commentRangeStart w:id="29"/>
      <w:r>
        <w:rPr>
          <w:lang w:val="en-US"/>
        </w:rPr>
        <w:t xml:space="preserve">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 xml:space="preserve">pollutants for which the inventory of all the (relevant) pathways </w:t>
      </w:r>
      <w:proofErr w:type="gramStart"/>
      <w:r w:rsidRPr="00E73AA7">
        <w:rPr>
          <w:lang w:val="en-US"/>
        </w:rPr>
        <w:t>is more or less</w:t>
      </w:r>
      <w:proofErr w:type="gramEnd"/>
      <w:r w:rsidRPr="00E73AA7">
        <w:rPr>
          <w:lang w:val="en-US"/>
        </w:rPr>
        <w:t xml:space="preserve"> complete, than a larger list of pollutants with a lot of missing pathways.</w:t>
      </w:r>
      <w:r>
        <w:rPr>
          <w:lang w:val="en-US"/>
        </w:rPr>
        <w:t xml:space="preserve"> </w:t>
      </w:r>
      <w:commentRangeEnd w:id="28"/>
      <w:r w:rsidR="000973A0">
        <w:rPr>
          <w:rStyle w:val="CommentReference"/>
        </w:rPr>
        <w:commentReference w:id="28"/>
      </w:r>
      <w:commentRangeEnd w:id="29"/>
      <w:r w:rsidR="0056296D">
        <w:rPr>
          <w:rStyle w:val="CommentReference"/>
        </w:rPr>
        <w:commentReference w:id="29"/>
      </w:r>
      <w:r>
        <w:rPr>
          <w:lang w:val="en-US"/>
        </w:rPr>
        <w:t xml:space="preserve">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r>
        <w:rPr>
          <w:lang w:val="en-US"/>
        </w:rPr>
        <w:t>This results in a preliminary list of 1</w:t>
      </w:r>
      <w:r w:rsidR="00D652F8">
        <w:rPr>
          <w:lang w:val="en-US"/>
        </w:rPr>
        <w:t>1</w:t>
      </w:r>
      <w:r>
        <w:rPr>
          <w:lang w:val="en-US"/>
        </w:rPr>
        <w:t xml:space="preserve"> pollutants (see Table 2).</w:t>
      </w:r>
    </w:p>
    <w:p w14:paraId="648DD8DD" w14:textId="77777777" w:rsidR="00D652F8" w:rsidRDefault="00D652F8" w:rsidP="00D652F8">
      <w:pPr>
        <w:rPr>
          <w:lang w:val="en-US"/>
        </w:rPr>
      </w:pPr>
    </w:p>
    <w:tbl>
      <w:tblPr>
        <w:tblW w:w="1900" w:type="dxa"/>
        <w:tblCellMar>
          <w:left w:w="70" w:type="dxa"/>
          <w:right w:w="70" w:type="dxa"/>
        </w:tblCellMar>
        <w:tblLook w:val="04A0" w:firstRow="1" w:lastRow="0" w:firstColumn="1" w:lastColumn="0" w:noHBand="0" w:noVBand="1"/>
      </w:tblPr>
      <w:tblGrid>
        <w:gridCol w:w="1900"/>
      </w:tblGrid>
      <w:tr w:rsidR="001B24C4" w:rsidRPr="00D652F8" w14:paraId="4B6299F0" w14:textId="77777777" w:rsidTr="001B24C4">
        <w:trPr>
          <w:trHeight w:val="288"/>
        </w:trPr>
        <w:tc>
          <w:tcPr>
            <w:tcW w:w="1900"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proofErr w:type="spellStart"/>
            <w:r w:rsidRPr="00D652F8">
              <w:rPr>
                <w:rFonts w:ascii="Calibri" w:eastAsia="Times New Roman" w:hAnsi="Calibri" w:cs="Calibri"/>
                <w:b/>
                <w:bCs/>
                <w:color w:val="000000"/>
                <w:sz w:val="20"/>
                <w:szCs w:val="20"/>
                <w:lang w:eastAsia="nl-NL"/>
              </w:rPr>
              <w:t>Pollutant</w:t>
            </w:r>
            <w:proofErr w:type="spellEnd"/>
          </w:p>
        </w:tc>
      </w:tr>
      <w:tr w:rsidR="001B24C4" w:rsidRPr="00D652F8" w14:paraId="5F42B44A"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Nitrogen</w:t>
            </w:r>
            <w:proofErr w:type="spellEnd"/>
          </w:p>
        </w:tc>
      </w:tr>
      <w:tr w:rsidR="001B24C4" w:rsidRPr="00D652F8" w14:paraId="5767A73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 </w:t>
            </w:r>
            <w:proofErr w:type="spellStart"/>
            <w:r w:rsidRPr="00D652F8">
              <w:rPr>
                <w:rFonts w:ascii="Calibri" w:eastAsia="Times New Roman" w:hAnsi="Calibri" w:cs="Calibri"/>
                <w:color w:val="000000"/>
                <w:sz w:val="20"/>
                <w:szCs w:val="20"/>
                <w:lang w:eastAsia="nl-NL"/>
              </w:rPr>
              <w:t>Phosphorus</w:t>
            </w:r>
            <w:proofErr w:type="spellEnd"/>
          </w:p>
        </w:tc>
      </w:tr>
      <w:tr w:rsidR="001B24C4" w:rsidRPr="00D652F8" w14:paraId="04A7E72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Mercury</w:t>
            </w:r>
            <w:proofErr w:type="spellEnd"/>
          </w:p>
        </w:tc>
      </w:tr>
      <w:tr w:rsidR="001B24C4" w:rsidRPr="00D652F8" w14:paraId="3A4FAB0F"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59CEBACE"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1D622915"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Anthracene</w:t>
            </w:r>
            <w:proofErr w:type="spellEnd"/>
          </w:p>
        </w:tc>
      </w:tr>
      <w:tr w:rsidR="001B24C4" w:rsidRPr="00D652F8" w14:paraId="648C8BE2"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Benzo</w:t>
            </w:r>
            <w:proofErr w:type="spellEnd"/>
            <w:r w:rsidRPr="00D652F8">
              <w:rPr>
                <w:rFonts w:ascii="Calibri" w:eastAsia="Times New Roman" w:hAnsi="Calibri" w:cs="Calibri"/>
                <w:color w:val="000000"/>
                <w:sz w:val="20"/>
                <w:szCs w:val="20"/>
                <w:lang w:eastAsia="nl-NL"/>
              </w:rPr>
              <w:t>(a)</w:t>
            </w:r>
            <w:proofErr w:type="spellStart"/>
            <w:r w:rsidRPr="00D652F8">
              <w:rPr>
                <w:rFonts w:ascii="Calibri" w:eastAsia="Times New Roman" w:hAnsi="Calibri" w:cs="Calibri"/>
                <w:color w:val="000000"/>
                <w:sz w:val="20"/>
                <w:szCs w:val="20"/>
                <w:lang w:eastAsia="nl-NL"/>
              </w:rPr>
              <w:t>pyrene</w:t>
            </w:r>
            <w:proofErr w:type="spellEnd"/>
          </w:p>
        </w:tc>
      </w:tr>
      <w:tr w:rsidR="001B24C4" w:rsidRPr="0056296D" w14:paraId="55D83B60"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77777777" w:rsidR="001B24C4" w:rsidRPr="002A51FD" w:rsidRDefault="001B24C4" w:rsidP="001B24C4">
            <w:pPr>
              <w:spacing w:after="0" w:line="240" w:lineRule="auto"/>
              <w:rPr>
                <w:rFonts w:ascii="Calibri" w:eastAsia="Times New Roman" w:hAnsi="Calibri" w:cs="Calibri"/>
                <w:color w:val="000000"/>
                <w:sz w:val="20"/>
                <w:szCs w:val="20"/>
                <w:lang w:val="da-DK" w:eastAsia="nl-NL"/>
              </w:rPr>
            </w:pPr>
            <w:r w:rsidRPr="002A51FD">
              <w:rPr>
                <w:rFonts w:ascii="Calibri" w:eastAsia="Times New Roman" w:hAnsi="Calibri" w:cs="Calibri"/>
                <w:color w:val="000000"/>
                <w:sz w:val="20"/>
                <w:szCs w:val="20"/>
                <w:lang w:val="da-DK" w:eastAsia="nl-NL"/>
              </w:rPr>
              <w:t>Benzo(g,h,i)perylene</w:t>
            </w:r>
          </w:p>
        </w:tc>
      </w:tr>
      <w:tr w:rsidR="001B24C4" w:rsidRPr="00D652F8" w14:paraId="0F3BD24B" w14:textId="77777777" w:rsidTr="001B24C4">
        <w:trPr>
          <w:trHeight w:val="28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4E48DF35" w14:textId="77777777" w:rsidTr="001B24C4">
        <w:trPr>
          <w:trHeight w:val="300"/>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77777777" w:rsidR="00182FBD" w:rsidRPr="00382A5F" w:rsidRDefault="001D7593" w:rsidP="001D7593">
      <w:pPr>
        <w:rPr>
          <w:rStyle w:val="SubtleEmphasis"/>
        </w:rPr>
      </w:pPr>
      <w:proofErr w:type="spellStart"/>
      <w:r w:rsidRPr="00382A5F">
        <w:rPr>
          <w:rStyle w:val="SubtleEmphasis"/>
        </w:rPr>
        <w:t>Table</w:t>
      </w:r>
      <w:proofErr w:type="spellEnd"/>
      <w:r w:rsidRPr="00382A5F">
        <w:rPr>
          <w:rStyle w:val="SubtleEmphasis"/>
        </w:rPr>
        <w:t xml:space="preserve"> 2 </w:t>
      </w:r>
      <w:proofErr w:type="spellStart"/>
      <w:r w:rsidRPr="00382A5F">
        <w:rPr>
          <w:rStyle w:val="SubtleEmphasis"/>
        </w:rPr>
        <w:t>Proposed</w:t>
      </w:r>
      <w:proofErr w:type="spellEnd"/>
      <w:r w:rsidRPr="00382A5F">
        <w:rPr>
          <w:rStyle w:val="SubtleEmphasis"/>
        </w:rPr>
        <w:t xml:space="preserve"> </w:t>
      </w:r>
      <w:proofErr w:type="spellStart"/>
      <w:r w:rsidRPr="00382A5F">
        <w:rPr>
          <w:rStyle w:val="SubtleEmphasis"/>
        </w:rPr>
        <w:t>selection</w:t>
      </w:r>
      <w:proofErr w:type="spellEnd"/>
      <w:r w:rsidRPr="00382A5F">
        <w:rPr>
          <w:rStyle w:val="SubtleEmphasis"/>
        </w:rPr>
        <w:t xml:space="preserve"> of </w:t>
      </w:r>
      <w:proofErr w:type="spellStart"/>
      <w:r w:rsidRPr="00382A5F">
        <w:rPr>
          <w:rStyle w:val="SubtleEmphasis"/>
        </w:rPr>
        <w:t>pollutants</w:t>
      </w:r>
      <w:proofErr w:type="spellEnd"/>
    </w:p>
    <w:p w14:paraId="10A4E014" w14:textId="69BD3149" w:rsidR="009C3B57" w:rsidRPr="00182FBD" w:rsidRDefault="00603855" w:rsidP="00D652F8">
      <w:pPr>
        <w:pStyle w:val="Heading3"/>
        <w:rPr>
          <w:rStyle w:val="IntenseEmphasis"/>
          <w:i w:val="0"/>
          <w:lang w:val="en-US"/>
        </w:rPr>
      </w:pPr>
      <w:r>
        <w:rPr>
          <w:rStyle w:val="IntenseEmphasis"/>
          <w:i w:val="0"/>
          <w:lang w:val="en-US"/>
        </w:rPr>
        <w:lastRenderedPageBreak/>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634B76BF" w14:textId="5BD5D3E0" w:rsidR="001F10E1" w:rsidRDefault="006A4D8A" w:rsidP="001F10E1">
      <w:pPr>
        <w:pBdr>
          <w:top w:val="single" w:sz="4" w:space="1" w:color="auto"/>
          <w:left w:val="single" w:sz="4" w:space="4" w:color="auto"/>
          <w:bottom w:val="single" w:sz="4" w:space="1" w:color="auto"/>
          <w:right w:val="single" w:sz="4" w:space="4" w:color="auto"/>
        </w:pBdr>
        <w:spacing w:after="0"/>
        <w:rPr>
          <w:lang w:val="en-US"/>
        </w:rPr>
      </w:pPr>
      <w:commentRangeStart w:id="30"/>
      <w:commentRangeStart w:id="31"/>
      <w:r w:rsidRPr="00033F34">
        <w:rPr>
          <w:b/>
          <w:lang w:val="en-US"/>
        </w:rPr>
        <w:t>Discussion point 5</w:t>
      </w:r>
      <w:r>
        <w:rPr>
          <w:lang w:val="en-US"/>
        </w:rPr>
        <w:t>:</w:t>
      </w:r>
      <w:r w:rsidR="001F10E1">
        <w:rPr>
          <w:lang w:val="en-US"/>
        </w:rPr>
        <w:t xml:space="preserve"> </w:t>
      </w:r>
      <w:commentRangeEnd w:id="30"/>
      <w:r w:rsidR="000973A0">
        <w:rPr>
          <w:rStyle w:val="CommentReference"/>
        </w:rPr>
        <w:commentReference w:id="30"/>
      </w:r>
      <w:commentRangeEnd w:id="31"/>
      <w:r w:rsidR="0056296D">
        <w:rPr>
          <w:rStyle w:val="CommentReference"/>
        </w:rPr>
        <w:commentReference w:id="31"/>
      </w:r>
      <w:r>
        <w:rPr>
          <w:lang w:val="en-US"/>
        </w:rPr>
        <w:t>Would it be helpful to a</w:t>
      </w:r>
      <w:r w:rsidR="001F10E1">
        <w:rPr>
          <w:lang w:val="en-US"/>
        </w:rPr>
        <w:t>dd a clear definition of the pathways in this proposal</w:t>
      </w:r>
      <w:r>
        <w:rPr>
          <w:lang w:val="en-US"/>
        </w:rPr>
        <w:t>?</w:t>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3A2FD4EE" w14:textId="57FD75E5" w:rsidR="00C86A4B" w:rsidRDefault="00F40035" w:rsidP="001F10E1">
      <w:pPr>
        <w:spacing w:after="0"/>
        <w:rPr>
          <w:lang w:val="en-US"/>
        </w:rPr>
      </w:pPr>
      <w:r>
        <w:rPr>
          <w:lang w:val="en-US"/>
        </w:rPr>
        <w:t xml:space="preserve">For the selected pollutants, not all pathways seem to be relevant. For those pathways </w:t>
      </w:r>
      <w:r w:rsidR="00E349DF">
        <w:rPr>
          <w:lang w:val="en-US"/>
        </w:rPr>
        <w:t xml:space="preserve">(P5 and P12) </w:t>
      </w:r>
      <w:r>
        <w:rPr>
          <w:lang w:val="en-US"/>
        </w:rPr>
        <w:t>no quantification of emissions has been worked out</w:t>
      </w:r>
      <w:r w:rsidR="00C86A4B">
        <w:rPr>
          <w:lang w:val="en-US"/>
        </w:rPr>
        <w:t xml:space="preserve"> in this proposal.</w:t>
      </w:r>
      <w:r w:rsidR="00E349DF">
        <w:rPr>
          <w:lang w:val="en-US"/>
        </w:rPr>
        <w:t xml:space="preserve"> </w:t>
      </w:r>
      <w:commentRangeStart w:id="32"/>
      <w:commentRangeStart w:id="33"/>
      <w:r w:rsidR="00E349DF">
        <w:rPr>
          <w:lang w:val="en-US"/>
        </w:rPr>
        <w:t>For the other pathways not all the selected pollutants seem to be relevant</w:t>
      </w:r>
      <w:commentRangeEnd w:id="32"/>
      <w:r w:rsidR="000973A0">
        <w:rPr>
          <w:rStyle w:val="CommentReference"/>
        </w:rPr>
        <w:commentReference w:id="32"/>
      </w:r>
      <w:commentRangeEnd w:id="33"/>
      <w:r w:rsidR="0056296D">
        <w:rPr>
          <w:rStyle w:val="CommentReference"/>
        </w:rPr>
        <w:commentReference w:id="33"/>
      </w:r>
      <w:r w:rsidR="00E349DF">
        <w:rPr>
          <w:lang w:val="en-US"/>
        </w:rPr>
        <w:t>. For those pathways a proposal is given, which pollutants are relevant and thus needed to be quantified. In Table 3, tab “</w:t>
      </w:r>
      <w:r w:rsidR="00E349DF" w:rsidRPr="00033F34">
        <w:rPr>
          <w:i/>
          <w:lang w:val="en-US"/>
        </w:rPr>
        <w:t>EF</w:t>
      </w:r>
      <w:r w:rsidR="00E349DF">
        <w:rPr>
          <w:lang w:val="en-US"/>
        </w:rPr>
        <w:t xml:space="preserve">” those pollutants are indicated with a green color. Pollutants proposed as not relevant are indicated with </w:t>
      </w:r>
      <w:r w:rsidR="00824C8D">
        <w:rPr>
          <w:lang w:val="en-US"/>
        </w:rPr>
        <w:t>blue-</w:t>
      </w:r>
      <w:r w:rsidR="00E349DF">
        <w:rPr>
          <w:lang w:val="en-US"/>
        </w:rPr>
        <w:t>grey color. When it is not quite clear in which of th</w:t>
      </w:r>
      <w:r w:rsidR="00603855">
        <w:rPr>
          <w:lang w:val="en-US"/>
        </w:rPr>
        <w:t>e</w:t>
      </w:r>
      <w:r w:rsidR="00E349DF">
        <w:rPr>
          <w:lang w:val="en-US"/>
        </w:rPr>
        <w:t>s</w:t>
      </w:r>
      <w:r w:rsidR="00603855">
        <w:rPr>
          <w:lang w:val="en-US"/>
        </w:rPr>
        <w:t>e</w:t>
      </w:r>
      <w:r w:rsidR="00E349DF">
        <w:rPr>
          <w:lang w:val="en-US"/>
        </w:rPr>
        <w:t xml:space="preserve"> two categories a pollutant f</w:t>
      </w:r>
      <w:r w:rsidR="00603855">
        <w:rPr>
          <w:lang w:val="en-US"/>
        </w:rPr>
        <w:t>it</w:t>
      </w:r>
      <w:r w:rsidR="00E349DF">
        <w:rPr>
          <w:lang w:val="en-US"/>
        </w:rPr>
        <w:t>s, a yellow color is given.</w:t>
      </w:r>
    </w:p>
    <w:p w14:paraId="286B84D2" w14:textId="77777777" w:rsidR="00E349DF" w:rsidRDefault="00E349DF" w:rsidP="001F10E1">
      <w:pPr>
        <w:spacing w:after="0"/>
        <w:rPr>
          <w:lang w:val="en-US"/>
        </w:rPr>
      </w:pPr>
    </w:p>
    <w:p w14:paraId="59D20A1C" w14:textId="03A30DB2" w:rsidR="00C86A4B" w:rsidRDefault="00C86A4B" w:rsidP="00033F34">
      <w:pPr>
        <w:pBdr>
          <w:top w:val="single" w:sz="4" w:space="1" w:color="auto"/>
          <w:left w:val="single" w:sz="4" w:space="4" w:color="auto"/>
          <w:bottom w:val="single" w:sz="4" w:space="1" w:color="auto"/>
          <w:right w:val="single" w:sz="4" w:space="4" w:color="auto"/>
        </w:pBdr>
        <w:spacing w:after="0"/>
        <w:rPr>
          <w:lang w:val="en-US"/>
        </w:rPr>
      </w:pPr>
      <w:commentRangeStart w:id="34"/>
      <w:commentRangeStart w:id="35"/>
      <w:r w:rsidRPr="00033F34">
        <w:rPr>
          <w:b/>
          <w:lang w:val="en-US"/>
        </w:rPr>
        <w:t>Discussion point 6</w:t>
      </w:r>
      <w:r>
        <w:rPr>
          <w:lang w:val="en-US"/>
        </w:rPr>
        <w:t xml:space="preserve">: </w:t>
      </w:r>
      <w:commentRangeEnd w:id="34"/>
      <w:r w:rsidR="000973A0">
        <w:rPr>
          <w:rStyle w:val="CommentReference"/>
        </w:rPr>
        <w:commentReference w:id="34"/>
      </w:r>
      <w:commentRangeEnd w:id="35"/>
      <w:r w:rsidR="00EE4DE1">
        <w:rPr>
          <w:rStyle w:val="CommentReference"/>
        </w:rPr>
        <w:commentReference w:id="35"/>
      </w:r>
      <w:r>
        <w:rPr>
          <w:lang w:val="en-US"/>
        </w:rPr>
        <w:t xml:space="preserve">Do MS and stakeholders agree </w:t>
      </w:r>
      <w:r w:rsidR="00E349DF">
        <w:rPr>
          <w:lang w:val="en-US"/>
        </w:rPr>
        <w:t xml:space="preserve">with the deselection of P5 and P12 and </w:t>
      </w:r>
      <w:r w:rsidR="00200D3F" w:rsidRPr="00200D3F">
        <w:rPr>
          <w:lang w:val="en-GB"/>
        </w:rPr>
        <w:t>for the current work</w:t>
      </w:r>
      <w:r w:rsidR="00200D3F">
        <w:rPr>
          <w:lang w:val="en-GB"/>
        </w:rPr>
        <w:t xml:space="preserve"> </w:t>
      </w:r>
      <w:r w:rsidR="00200D3F" w:rsidRPr="00200D3F">
        <w:rPr>
          <w:lang w:val="en-GB"/>
        </w:rPr>
        <w:t>to focus on the selected substances</w:t>
      </w:r>
      <w:r w:rsidR="00200D3F">
        <w:rPr>
          <w:lang w:val="en-GB"/>
        </w:rPr>
        <w:t xml:space="preserve"> </w:t>
      </w:r>
      <w:r w:rsidR="00E349DF">
        <w:rPr>
          <w:lang w:val="en-US"/>
        </w:rPr>
        <w:t>indicated</w:t>
      </w:r>
      <w:r>
        <w:rPr>
          <w:lang w:val="en-US"/>
        </w:rPr>
        <w:t xml:space="preserve"> </w:t>
      </w:r>
      <w:r w:rsidR="00E349DF">
        <w:rPr>
          <w:lang w:val="en-US"/>
        </w:rPr>
        <w:t xml:space="preserve">relevant </w:t>
      </w:r>
      <w:r w:rsidR="00012777">
        <w:rPr>
          <w:lang w:val="en-US"/>
        </w:rPr>
        <w:t xml:space="preserve">for the individual pathways </w:t>
      </w:r>
      <w:r w:rsidR="00E349DF">
        <w:rPr>
          <w:lang w:val="en-US"/>
        </w:rPr>
        <w:t>in Table 3</w:t>
      </w:r>
      <w:r w:rsidR="00603855">
        <w:rPr>
          <w:lang w:val="en-US"/>
        </w:rPr>
        <w:t>, tab “EF”</w:t>
      </w:r>
      <w:r w:rsidR="00E349DF">
        <w:rPr>
          <w:lang w:val="en-US"/>
        </w:rPr>
        <w:t>?</w:t>
      </w:r>
    </w:p>
    <w:p w14:paraId="5E215E85" w14:textId="77777777" w:rsidR="005C7411" w:rsidRPr="009C3B57" w:rsidRDefault="005C7411" w:rsidP="009C3B57">
      <w:pPr>
        <w:spacing w:after="0"/>
        <w:rPr>
          <w:lang w:val="en-US"/>
        </w:rPr>
      </w:pPr>
    </w:p>
    <w:p w14:paraId="12ED80B2" w14:textId="5597CD20" w:rsidR="00F209B4" w:rsidRDefault="00F209B4" w:rsidP="001F10E1">
      <w:pPr>
        <w:pStyle w:val="Heading3"/>
        <w:spacing w:before="0"/>
        <w:rPr>
          <w:lang w:val="en-US"/>
        </w:rPr>
      </w:pPr>
      <w:commentRangeStart w:id="36"/>
      <w:commentRangeStart w:id="37"/>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commentRangeEnd w:id="36"/>
      <w:r w:rsidR="000973A0">
        <w:rPr>
          <w:rStyle w:val="CommentReference"/>
          <w:rFonts w:asciiTheme="minorHAnsi" w:eastAsiaTheme="minorHAnsi" w:hAnsiTheme="minorHAnsi" w:cstheme="minorBidi"/>
          <w:color w:val="auto"/>
        </w:rPr>
        <w:commentReference w:id="36"/>
      </w:r>
      <w:commentRangeEnd w:id="37"/>
      <w:r w:rsidR="00EE4DE1">
        <w:rPr>
          <w:rStyle w:val="CommentReference"/>
          <w:rFonts w:asciiTheme="minorHAnsi" w:eastAsiaTheme="minorHAnsi" w:hAnsiTheme="minorHAnsi" w:cstheme="minorBidi"/>
          <w:color w:val="auto"/>
        </w:rPr>
        <w:commentReference w:id="37"/>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79FDF658" w14:textId="77777777" w:rsidR="002A5DFE" w:rsidRDefault="002A5DFE" w:rsidP="002A5DFE">
      <w:pPr>
        <w:spacing w:after="0"/>
        <w:rPr>
          <w:lang w:val="en-GB"/>
        </w:rPr>
      </w:pPr>
      <w:r>
        <w:rPr>
          <w:lang w:val="en-GB"/>
        </w:rPr>
        <w:t>For the calculation of emissions EMEP modelling results can be used. For Total – Nitrogen, cadmium, lead, mercury and benzo(a)pyrene modelled fluxes are available for Europe on a 50x50 km level. The average calculated flux (mg/ha/year) per MS can be multiplied with the total area of inland surface water per MS.</w:t>
      </w:r>
    </w:p>
    <w:p w14:paraId="1EE0954B" w14:textId="77777777" w:rsidR="002A5DFE" w:rsidRDefault="002A5DFE" w:rsidP="002A5DFE">
      <w:pPr>
        <w:spacing w:after="0"/>
        <w:rPr>
          <w:lang w:val="en-GB"/>
        </w:rPr>
      </w:pPr>
    </w:p>
    <w:p w14:paraId="0F4BCCC2" w14:textId="2D170D23"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could be multiplied with the area of inland surface water.</w:t>
      </w:r>
    </w:p>
    <w:p w14:paraId="4E379507" w14:textId="455D1671" w:rsidR="002A5DFE" w:rsidRDefault="002A5DFE" w:rsidP="002A5DFE">
      <w:pPr>
        <w:spacing w:after="0"/>
        <w:rPr>
          <w:lang w:val="en-GB"/>
        </w:rPr>
      </w:pPr>
    </w:p>
    <w:p w14:paraId="1F32D248" w14:textId="2179093C" w:rsidR="002A5DFE" w:rsidRDefault="002A5DFE" w:rsidP="005B6823">
      <w:pPr>
        <w:pBdr>
          <w:top w:val="single" w:sz="4" w:space="1" w:color="auto"/>
          <w:left w:val="single" w:sz="4" w:space="4" w:color="auto"/>
          <w:bottom w:val="single" w:sz="4" w:space="1" w:color="auto"/>
          <w:right w:val="single" w:sz="4" w:space="4" w:color="auto"/>
        </w:pBdr>
        <w:spacing w:after="0"/>
        <w:rPr>
          <w:lang w:val="en-GB"/>
        </w:rPr>
      </w:pPr>
      <w:commentRangeStart w:id="38"/>
      <w:commentRangeStart w:id="39"/>
      <w:r w:rsidRPr="005B6823">
        <w:rPr>
          <w:b/>
          <w:lang w:val="en-GB"/>
        </w:rPr>
        <w:t>Discussion point 7</w:t>
      </w:r>
      <w:r>
        <w:rPr>
          <w:lang w:val="en-GB"/>
        </w:rPr>
        <w:t xml:space="preserve">: </w:t>
      </w:r>
      <w:commentRangeEnd w:id="38"/>
      <w:r w:rsidR="000973A0">
        <w:rPr>
          <w:rStyle w:val="CommentReference"/>
        </w:rPr>
        <w:commentReference w:id="38"/>
      </w:r>
      <w:commentRangeEnd w:id="39"/>
      <w:r w:rsidR="00EE4DE1">
        <w:rPr>
          <w:rStyle w:val="CommentReference"/>
        </w:rPr>
        <w:commentReference w:id="39"/>
      </w:r>
      <w:r>
        <w:rPr>
          <w:lang w:val="en-GB"/>
        </w:rPr>
        <w:t>Do MS have recent data on deposition monitoring</w:t>
      </w:r>
      <w:r w:rsidR="005B6823">
        <w:rPr>
          <w:lang w:val="en-GB"/>
        </w:rPr>
        <w:t xml:space="preserve"> that could be shared?</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commentRangeStart w:id="40"/>
      <w:commentRangeStart w:id="41"/>
      <w:r w:rsidRPr="00F209B4">
        <w:rPr>
          <w:rFonts w:eastAsiaTheme="minorEastAsia"/>
          <w:lang w:val="en-US" w:eastAsia="zh-CN"/>
        </w:rPr>
        <w:t>P</w:t>
      </w:r>
      <w:proofErr w:type="gramStart"/>
      <w:r w:rsidRPr="00F209B4">
        <w:rPr>
          <w:rFonts w:eastAsiaTheme="minorEastAsia"/>
          <w:lang w:val="en-US" w:eastAsia="zh-CN"/>
        </w:rPr>
        <w:t>2  Erosion</w:t>
      </w:r>
      <w:commentRangeEnd w:id="40"/>
      <w:proofErr w:type="gramEnd"/>
      <w:r w:rsidR="000973A0">
        <w:rPr>
          <w:rStyle w:val="CommentReference"/>
          <w:rFonts w:asciiTheme="minorHAnsi" w:eastAsiaTheme="minorHAnsi" w:hAnsiTheme="minorHAnsi" w:cstheme="minorBidi"/>
          <w:color w:val="auto"/>
        </w:rPr>
        <w:commentReference w:id="40"/>
      </w:r>
      <w:commentRangeEnd w:id="41"/>
      <w:r w:rsidR="00EE4DE1">
        <w:rPr>
          <w:rStyle w:val="CommentReference"/>
          <w:rFonts w:asciiTheme="minorHAnsi" w:eastAsiaTheme="minorHAnsi" w:hAnsiTheme="minorHAnsi" w:cstheme="minorBidi"/>
          <w:color w:val="auto"/>
        </w:rPr>
        <w:commentReference w:id="41"/>
      </w:r>
    </w:p>
    <w:p w14:paraId="5DCA2D5A" w14:textId="77777777" w:rsidR="002A5DFE" w:rsidRDefault="002A5DFE" w:rsidP="002A5DFE">
      <w:pPr>
        <w:rPr>
          <w:lang w:val="en-GB"/>
        </w:rPr>
      </w:pPr>
      <w:r w:rsidRPr="0021202D">
        <w:rPr>
          <w:lang w:val="en-GB"/>
        </w:rPr>
        <w:t>Erosion causes a load to water, due to erosion of substances from the rocks in the subsoil or from (heavy) rainfall or wind which removes soil, rock or dissolved material and transports to the surface water.</w:t>
      </w:r>
    </w:p>
    <w:p w14:paraId="303AAC04" w14:textId="6282F104" w:rsidR="002A5DFE" w:rsidRDefault="002A5DFE" w:rsidP="002A5DFE">
      <w:pPr>
        <w:rPr>
          <w:lang w:val="en-GB"/>
        </w:rPr>
      </w:pPr>
      <w:r>
        <w:rPr>
          <w:lang w:val="en-GB"/>
        </w:rPr>
        <w:lastRenderedPageBreak/>
        <w:t xml:space="preserve">The load of pollutants to surface water as a result of erosion might be calculated by multiplying the </w:t>
      </w:r>
      <w:commentRangeStart w:id="42"/>
      <w:commentRangeStart w:id="43"/>
      <w:r>
        <w:rPr>
          <w:lang w:val="en-GB"/>
        </w:rPr>
        <w:t xml:space="preserve">substance content of fine soil </w:t>
      </w:r>
      <w:commentRangeEnd w:id="42"/>
      <w:r w:rsidR="000973A0">
        <w:rPr>
          <w:rStyle w:val="CommentReference"/>
        </w:rPr>
        <w:commentReference w:id="42"/>
      </w:r>
      <w:commentRangeEnd w:id="43"/>
      <w:r w:rsidR="00EE4DE1">
        <w:rPr>
          <w:rStyle w:val="CommentReference"/>
        </w:rPr>
        <w:commentReference w:id="43"/>
      </w:r>
      <w:r>
        <w:rPr>
          <w:lang w:val="en-GB"/>
        </w:rPr>
        <w:t xml:space="preserve">by the soil erosion (Eurostat) in tonnes/hectare. </w:t>
      </w:r>
    </w:p>
    <w:p w14:paraId="6CCA1394" w14:textId="0D52A31A" w:rsidR="002A5DFE" w:rsidRDefault="005B6823" w:rsidP="002A5DFE">
      <w:pPr>
        <w:pBdr>
          <w:top w:val="single" w:sz="4" w:space="1" w:color="auto"/>
          <w:left w:val="single" w:sz="4" w:space="4" w:color="auto"/>
          <w:bottom w:val="single" w:sz="4" w:space="1" w:color="auto"/>
          <w:right w:val="single" w:sz="4" w:space="4" w:color="auto"/>
        </w:pBdr>
        <w:spacing w:after="0"/>
        <w:rPr>
          <w:lang w:val="en-US"/>
        </w:rPr>
      </w:pPr>
      <w:commentRangeStart w:id="44"/>
      <w:commentRangeStart w:id="45"/>
      <w:r w:rsidRPr="00701114">
        <w:rPr>
          <w:b/>
          <w:lang w:val="en-US"/>
        </w:rPr>
        <w:t>Discussion point 8</w:t>
      </w:r>
      <w:r>
        <w:rPr>
          <w:lang w:val="en-US"/>
        </w:rPr>
        <w:t xml:space="preserve">: </w:t>
      </w:r>
      <w:commentRangeEnd w:id="44"/>
      <w:r w:rsidR="000973A0">
        <w:rPr>
          <w:rStyle w:val="CommentReference"/>
        </w:rPr>
        <w:commentReference w:id="44"/>
      </w:r>
      <w:commentRangeEnd w:id="45"/>
      <w:r w:rsidR="00EE4DE1">
        <w:rPr>
          <w:rStyle w:val="CommentReference"/>
        </w:rPr>
        <w:commentReference w:id="45"/>
      </w:r>
      <w:r w:rsidR="004A11B8">
        <w:rPr>
          <w:lang w:val="en-US"/>
        </w:rPr>
        <w:t xml:space="preserve">Is </w:t>
      </w:r>
      <w:r w:rsidR="002A5DFE">
        <w:rPr>
          <w:lang w:val="en-US"/>
        </w:rPr>
        <w:t xml:space="preserve">more recent data </w:t>
      </w:r>
      <w:r w:rsidR="004A11B8">
        <w:rPr>
          <w:lang w:val="en-US"/>
        </w:rPr>
        <w:t xml:space="preserve">available </w:t>
      </w:r>
      <w:r w:rsidR="002A5DFE">
        <w:rPr>
          <w:lang w:val="en-US"/>
        </w:rPr>
        <w:t>for the substance content of fine soil by the soil erosion</w:t>
      </w:r>
      <w:r>
        <w:rPr>
          <w:lang w:val="en-US"/>
        </w:rPr>
        <w:t xml:space="preserve"> </w:t>
      </w:r>
      <w:r w:rsidR="004A11B8">
        <w:rPr>
          <w:lang w:val="en-US"/>
        </w:rPr>
        <w:t xml:space="preserve">than </w:t>
      </w:r>
      <w:r>
        <w:rPr>
          <w:lang w:val="en-US"/>
        </w:rPr>
        <w:t>used in Table 3 and are there ideas about other quantification methods</w:t>
      </w:r>
      <w:r w:rsidR="002A5DFE">
        <w:rPr>
          <w:lang w:val="en-US"/>
        </w:rPr>
        <w:t>?</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47"/>
      <w:commentRangeStart w:id="48"/>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commentRangeEnd w:id="47"/>
      <w:r w:rsidR="000973A0">
        <w:rPr>
          <w:rStyle w:val="CommentReference"/>
        </w:rPr>
        <w:commentReference w:id="47"/>
      </w:r>
      <w:commentRangeEnd w:id="48"/>
      <w:r w:rsidR="00EE4DE1">
        <w:rPr>
          <w:rStyle w:val="CommentReference"/>
        </w:rPr>
        <w:commentReference w:id="48"/>
      </w:r>
    </w:p>
    <w:p w14:paraId="0334FB61" w14:textId="77777777" w:rsidR="005B6823" w:rsidRPr="00F12299" w:rsidRDefault="005B6823" w:rsidP="005B6823">
      <w:pPr>
        <w:spacing w:after="0"/>
        <w:rPr>
          <w:lang w:val="en-GB"/>
        </w:rPr>
      </w:pPr>
      <w:r w:rsidRPr="00CB3975">
        <w:rPr>
          <w:lang w:val="en-GB"/>
        </w:rPr>
        <w:t xml:space="preserve">The nutrient emissions are calculated by the JRC’s GREEN model.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77777777" w:rsidR="005B6823" w:rsidRDefault="005B6823" w:rsidP="005B6823">
      <w:pPr>
        <w:spacing w:after="0"/>
        <w:rPr>
          <w:lang w:val="en-US" w:eastAsia="zh-CN"/>
        </w:rPr>
      </w:pPr>
      <w:commentRangeStart w:id="49"/>
      <w:commentRangeStart w:id="50"/>
    </w:p>
    <w:p w14:paraId="207E3A72" w14:textId="43B5D8FC" w:rsidR="005B6823" w:rsidRDefault="00701114" w:rsidP="005B6823">
      <w:pPr>
        <w:pBdr>
          <w:top w:val="single" w:sz="4" w:space="1" w:color="auto"/>
          <w:left w:val="single" w:sz="4" w:space="4" w:color="auto"/>
          <w:bottom w:val="single" w:sz="4" w:space="1" w:color="auto"/>
          <w:right w:val="single" w:sz="4" w:space="4" w:color="auto"/>
        </w:pBdr>
        <w:spacing w:after="0"/>
        <w:rPr>
          <w:lang w:val="en-US"/>
        </w:rPr>
      </w:pPr>
      <w:r w:rsidRPr="00701114">
        <w:rPr>
          <w:b/>
          <w:lang w:val="en-US"/>
        </w:rPr>
        <w:t>Discussion point 9</w:t>
      </w:r>
      <w:commentRangeEnd w:id="49"/>
      <w:r w:rsidR="000973A0">
        <w:rPr>
          <w:rStyle w:val="CommentReference"/>
        </w:rPr>
        <w:commentReference w:id="49"/>
      </w:r>
      <w:commentRangeEnd w:id="50"/>
      <w:r w:rsidR="00EE4DE1">
        <w:rPr>
          <w:rStyle w:val="CommentReference"/>
        </w:rPr>
        <w:commentReference w:id="50"/>
      </w:r>
      <w:r>
        <w:rPr>
          <w:lang w:val="en-US"/>
        </w:rPr>
        <w:t xml:space="preserve">: </w:t>
      </w:r>
      <w:r w:rsidR="005B6823">
        <w:rPr>
          <w:lang w:val="en-US"/>
        </w:rPr>
        <w:t xml:space="preserve">Are there more recent data for the metal content of </w:t>
      </w:r>
      <w:proofErr w:type="spellStart"/>
      <w:r w:rsidR="005B6823">
        <w:rPr>
          <w:lang w:val="en-US"/>
        </w:rPr>
        <w:t>fertilisers</w:t>
      </w:r>
      <w:proofErr w:type="spellEnd"/>
      <w:r w:rsidR="005B6823">
        <w:rPr>
          <w:lang w:val="en-US"/>
        </w:rPr>
        <w:t>?</w:t>
      </w:r>
      <w:r>
        <w:rPr>
          <w:lang w:val="en-US"/>
        </w:rPr>
        <w:t xml:space="preserve"> Would it be possible to use </w:t>
      </w:r>
      <w:r w:rsidR="005B6823">
        <w:rPr>
          <w:lang w:val="en-US"/>
        </w:rPr>
        <w:t>common factors for seepage, spray</w:t>
      </w:r>
      <w:r>
        <w:rPr>
          <w:lang w:val="en-US"/>
        </w:rPr>
        <w:t xml:space="preserve"> </w:t>
      </w:r>
      <w:r w:rsidR="005B6823">
        <w:rPr>
          <w:lang w:val="en-US"/>
        </w:rPr>
        <w:t>drift and runoff?</w:t>
      </w:r>
    </w:p>
    <w:p w14:paraId="1DADCB7D" w14:textId="77777777" w:rsidR="005B6823" w:rsidRDefault="005B6823" w:rsidP="00C133A4">
      <w:pPr>
        <w:spacing w:after="0"/>
        <w:rPr>
          <w:rFonts w:asciiTheme="majorHAnsi" w:eastAsiaTheme="majorEastAsia" w:hAnsiTheme="majorHAnsi" w:cstheme="majorBidi"/>
          <w:color w:val="1F3763" w:themeColor="accent1" w:themeShade="7F"/>
          <w:sz w:val="24"/>
          <w:szCs w:val="24"/>
          <w:lang w:val="en-US"/>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51"/>
      <w:commentRangeStart w:id="52"/>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commentRangeEnd w:id="51"/>
      <w:r w:rsidR="00286261">
        <w:rPr>
          <w:rStyle w:val="CommentReference"/>
        </w:rPr>
        <w:commentReference w:id="51"/>
      </w:r>
      <w:commentRangeEnd w:id="52"/>
      <w:r w:rsidR="00EE4DE1">
        <w:rPr>
          <w:rStyle w:val="CommentReference"/>
        </w:rPr>
        <w:commentReference w:id="52"/>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77777777"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 The discharge of drained area per MS will be multiplied with the concentration in drainage water. Information about drained areas is available at Eurostat.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53"/>
      <w:commentRangeStart w:id="54"/>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commentRangeEnd w:id="53"/>
      <w:r w:rsidR="00286261">
        <w:rPr>
          <w:rStyle w:val="CommentReference"/>
        </w:rPr>
        <w:commentReference w:id="53"/>
      </w:r>
      <w:commentRangeEnd w:id="54"/>
      <w:r w:rsidR="000D0402">
        <w:rPr>
          <w:rStyle w:val="CommentReference"/>
        </w:rPr>
        <w:commentReference w:id="54"/>
      </w:r>
    </w:p>
    <w:p w14:paraId="0B8A50B4" w14:textId="295A4C90" w:rsidR="001F10E1" w:rsidRDefault="00F40035" w:rsidP="00C133A4">
      <w:pPr>
        <w:spacing w:after="0"/>
        <w:rPr>
          <w:lang w:val="en-US" w:eastAsia="zh-CN"/>
        </w:rPr>
      </w:pPr>
      <w:r>
        <w:rPr>
          <w:lang w:val="en-US" w:eastAsia="zh-CN"/>
        </w:rPr>
        <w:t xml:space="preserve">This pathway is </w:t>
      </w:r>
      <w:r w:rsidR="00C86A4B">
        <w:rPr>
          <w:lang w:val="en-US" w:eastAsia="zh-CN"/>
        </w:rPr>
        <w:t xml:space="preserve">especially </w:t>
      </w:r>
      <w:r>
        <w:rPr>
          <w:lang w:val="en-US" w:eastAsia="zh-CN"/>
        </w:rPr>
        <w:t xml:space="preserve">important for pesticides. Since that group of pollutants is not enclosed in </w:t>
      </w:r>
      <w:r w:rsidR="00C86A4B">
        <w:rPr>
          <w:lang w:val="en-US" w:eastAsia="zh-CN"/>
        </w:rPr>
        <w:t>our selection, no quantification method is described in this proposal.</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commentRangeStart w:id="55"/>
      <w:commentRangeStart w:id="56"/>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6  </w:t>
      </w:r>
      <w:bookmarkStart w:id="57" w:name="_Hlk37233344"/>
      <w:r w:rsidRPr="00F209B4">
        <w:rPr>
          <w:rFonts w:asciiTheme="majorHAnsi" w:eastAsiaTheme="majorEastAsia" w:hAnsiTheme="majorHAnsi" w:cstheme="majorBidi"/>
          <w:color w:val="1F3763" w:themeColor="accent1" w:themeShade="7F"/>
          <w:sz w:val="24"/>
          <w:szCs w:val="24"/>
          <w:lang w:val="en-US"/>
        </w:rPr>
        <w:t>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bookmarkEnd w:id="57"/>
      <w:commentRangeEnd w:id="55"/>
      <w:r w:rsidR="00286261">
        <w:rPr>
          <w:rStyle w:val="CommentReference"/>
        </w:rPr>
        <w:commentReference w:id="55"/>
      </w:r>
      <w:commentRangeEnd w:id="56"/>
      <w:r w:rsidR="000D0402">
        <w:rPr>
          <w:rStyle w:val="CommentReference"/>
        </w:rPr>
        <w:commentReference w:id="56"/>
      </w:r>
    </w:p>
    <w:p w14:paraId="3B1C9A72" w14:textId="0C57997C" w:rsidR="002E3A5A" w:rsidRPr="005075E2"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030E669" w14:textId="29541556" w:rsidR="00C133A4" w:rsidRDefault="00C133A4" w:rsidP="00C133A4">
      <w:pPr>
        <w:spacing w:after="0"/>
        <w:rPr>
          <w:lang w:val="en-US" w:eastAsia="zh-CN"/>
        </w:rPr>
      </w:pPr>
    </w:p>
    <w:p w14:paraId="19C34535" w14:textId="4229114F" w:rsidR="002E3A5A" w:rsidRDefault="002E3A5A" w:rsidP="005075E2">
      <w:pPr>
        <w:pBdr>
          <w:top w:val="single" w:sz="4" w:space="1" w:color="auto"/>
          <w:left w:val="single" w:sz="4" w:space="4" w:color="auto"/>
          <w:bottom w:val="single" w:sz="4" w:space="1" w:color="auto"/>
          <w:right w:val="single" w:sz="4" w:space="4" w:color="auto"/>
        </w:pBdr>
        <w:spacing w:after="0"/>
        <w:rPr>
          <w:lang w:val="en-US" w:eastAsia="zh-CN"/>
        </w:rPr>
      </w:pPr>
      <w:commentRangeStart w:id="58"/>
      <w:commentRangeStart w:id="59"/>
      <w:r w:rsidRPr="005075E2">
        <w:rPr>
          <w:b/>
          <w:lang w:val="en-US" w:eastAsia="zh-CN"/>
        </w:rPr>
        <w:t>Discussion point 10</w:t>
      </w:r>
      <w:commentRangeEnd w:id="58"/>
      <w:r w:rsidR="00286261">
        <w:rPr>
          <w:rStyle w:val="CommentReference"/>
        </w:rPr>
        <w:commentReference w:id="58"/>
      </w:r>
      <w:commentRangeEnd w:id="59"/>
      <w:r w:rsidR="000D0402">
        <w:rPr>
          <w:rStyle w:val="CommentReference"/>
        </w:rPr>
        <w:commentReference w:id="59"/>
      </w:r>
      <w:r>
        <w:rPr>
          <w:lang w:val="en-US" w:eastAsia="zh-CN"/>
        </w:rPr>
        <w:t xml:space="preserve">: </w:t>
      </w:r>
      <w:bookmarkStart w:id="61" w:name="_Hlk37233366"/>
      <w:r>
        <w:rPr>
          <w:lang w:val="en-US" w:eastAsia="zh-CN"/>
        </w:rPr>
        <w:t xml:space="preserve">Is this a pathway with significant contribution to surface water? Do MS </w:t>
      </w:r>
      <w:r w:rsidR="005075E2">
        <w:rPr>
          <w:lang w:val="en-US" w:eastAsia="zh-CN"/>
        </w:rPr>
        <w:t>use this pathway in their models?</w:t>
      </w:r>
      <w:bookmarkEnd w:id="61"/>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commentRangeStart w:id="62"/>
      <w:commentRangeStart w:id="63"/>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7  </w:t>
      </w:r>
      <w:bookmarkStart w:id="64" w:name="_Hlk37235066"/>
      <w:r w:rsidRPr="00F209B4">
        <w:rPr>
          <w:rFonts w:asciiTheme="majorHAnsi" w:eastAsiaTheme="majorEastAsia" w:hAnsiTheme="majorHAnsi" w:cstheme="majorBidi"/>
          <w:color w:val="1F3763" w:themeColor="accent1" w:themeShade="7F"/>
          <w:sz w:val="24"/>
          <w:szCs w:val="24"/>
          <w:lang w:val="en-US"/>
        </w:rPr>
        <w:t>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bookmarkEnd w:id="64"/>
      <w:commentRangeEnd w:id="62"/>
      <w:r w:rsidR="00286261">
        <w:rPr>
          <w:rStyle w:val="CommentReference"/>
        </w:rPr>
        <w:commentReference w:id="62"/>
      </w:r>
      <w:commentRangeEnd w:id="63"/>
      <w:r w:rsidR="000D0402">
        <w:rPr>
          <w:rStyle w:val="CommentReference"/>
        </w:rPr>
        <w:commentReference w:id="63"/>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lastRenderedPageBreak/>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6F0A674E" w:rsidR="006701A1" w:rsidRPr="00AF0E9D" w:rsidRDefault="006701A1" w:rsidP="006701A1">
      <w:pPr>
        <w:spacing w:after="0"/>
        <w:rPr>
          <w:lang w:val="en-GB"/>
        </w:rPr>
      </w:pPr>
      <w:r w:rsidRPr="00AF0E9D">
        <w:rPr>
          <w:lang w:val="en-GB"/>
        </w:rPr>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 The total load per MS will be calculated with measured concentration in sewer and treatment plants overflows.</w:t>
      </w:r>
    </w:p>
    <w:p w14:paraId="327C45F9" w14:textId="68FF4482" w:rsidR="005C7411" w:rsidRPr="00AF0E9D" w:rsidRDefault="005C7411"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commentRangeStart w:id="65"/>
      <w:commentRangeStart w:id="66"/>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8  </w:t>
      </w:r>
      <w:bookmarkStart w:id="67" w:name="_Hlk37236119"/>
      <w:r w:rsidRPr="00F209B4">
        <w:rPr>
          <w:rFonts w:asciiTheme="majorHAnsi" w:eastAsiaTheme="majorEastAsia" w:hAnsiTheme="majorHAnsi" w:cstheme="majorBidi"/>
          <w:color w:val="1F3763" w:themeColor="accent1" w:themeShade="7F"/>
          <w:sz w:val="24"/>
          <w:szCs w:val="24"/>
          <w:lang w:val="en-US"/>
        </w:rPr>
        <w:t>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bookmarkEnd w:id="67"/>
      <w:commentRangeEnd w:id="65"/>
      <w:r w:rsidR="00D4636D">
        <w:rPr>
          <w:rStyle w:val="CommentReference"/>
        </w:rPr>
        <w:commentReference w:id="65"/>
      </w:r>
      <w:commentRangeEnd w:id="66"/>
      <w:r w:rsidR="000D0402">
        <w:rPr>
          <w:rStyle w:val="CommentReference"/>
        </w:rPr>
        <w:commentReference w:id="66"/>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19F3D27F" w14:textId="2073D220" w:rsidR="00012777" w:rsidRDefault="00012777" w:rsidP="00012777">
      <w:pPr>
        <w:pBdr>
          <w:top w:val="single" w:sz="4" w:space="1" w:color="auto"/>
          <w:left w:val="single" w:sz="4" w:space="4" w:color="auto"/>
          <w:bottom w:val="single" w:sz="4" w:space="1" w:color="auto"/>
          <w:right w:val="single" w:sz="4" w:space="4" w:color="auto"/>
        </w:pBdr>
        <w:rPr>
          <w:lang w:val="en-US"/>
        </w:rPr>
      </w:pPr>
      <w:commentRangeStart w:id="68"/>
      <w:commentRangeStart w:id="69"/>
      <w:r w:rsidRPr="00FC792E">
        <w:rPr>
          <w:b/>
          <w:lang w:val="en-US"/>
        </w:rPr>
        <w:t>Discussion point</w:t>
      </w:r>
      <w:r w:rsidR="00697E96">
        <w:rPr>
          <w:b/>
          <w:lang w:val="en-US"/>
        </w:rPr>
        <w:t xml:space="preserve"> 1</w:t>
      </w:r>
      <w:r w:rsidR="005075E2">
        <w:rPr>
          <w:b/>
          <w:lang w:val="en-US"/>
        </w:rPr>
        <w:t>1</w:t>
      </w:r>
      <w:r>
        <w:rPr>
          <w:lang w:val="en-US"/>
        </w:rPr>
        <w:t xml:space="preserve">: </w:t>
      </w:r>
      <w:commentRangeEnd w:id="68"/>
      <w:r w:rsidR="00E9704F">
        <w:rPr>
          <w:rStyle w:val="CommentReference"/>
        </w:rPr>
        <w:commentReference w:id="68"/>
      </w:r>
      <w:commentRangeEnd w:id="69"/>
      <w:r w:rsidR="000D0402">
        <w:rPr>
          <w:rStyle w:val="CommentReference"/>
        </w:rPr>
        <w:commentReference w:id="69"/>
      </w:r>
      <w:r>
        <w:rPr>
          <w:lang w:val="en-US"/>
        </w:rPr>
        <w:t xml:space="preserve">EEA is considering </w:t>
      </w:r>
      <w:r w:rsidR="00394116">
        <w:rPr>
          <w:lang w:val="en-US"/>
        </w:rPr>
        <w:t>supporting</w:t>
      </w:r>
      <w:r>
        <w:rPr>
          <w:lang w:val="en-US"/>
        </w:rPr>
        <w:t xml:space="preserve"> the coming WFD reporting by</w:t>
      </w:r>
      <w:r w:rsidR="00824C8D">
        <w:rPr>
          <w:lang w:val="en-US"/>
        </w:rPr>
        <w:t xml:space="preserve"> providing</w:t>
      </w:r>
      <w:r w:rsidR="00824C8D" w:rsidDel="00824C8D">
        <w:rPr>
          <w:lang w:val="en-US"/>
        </w:rPr>
        <w:t xml:space="preserve"> </w:t>
      </w:r>
      <w:r w:rsidR="00824C8D">
        <w:rPr>
          <w:lang w:val="en-US"/>
        </w:rPr>
        <w:t xml:space="preserve">E-PRTR </w:t>
      </w:r>
      <w:r>
        <w:rPr>
          <w:lang w:val="en-US"/>
        </w:rPr>
        <w:t xml:space="preserve">data </w:t>
      </w:r>
      <w:r w:rsidR="00824C8D">
        <w:rPr>
          <w:lang w:val="en-US"/>
        </w:rPr>
        <w:t xml:space="preserve">at RBD level </w:t>
      </w:r>
      <w:r>
        <w:rPr>
          <w:lang w:val="en-US"/>
        </w:rPr>
        <w:t>already reported by MS (see also P10). Would that be helpful to the MS?</w:t>
      </w:r>
    </w:p>
    <w:p w14:paraId="2CF3C172" w14:textId="209B460C"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25"/>
      </w:r>
      <w:r w:rsidR="001C6C39" w:rsidRPr="001C6C39">
        <w:rPr>
          <w:vertAlign w:val="superscript"/>
          <w:lang w:val="en-US"/>
        </w:rPr>
        <w:t>,</w:t>
      </w:r>
      <w:r w:rsidR="001C6C39">
        <w:rPr>
          <w:rStyle w:val="FootnoteReference"/>
          <w:lang w:val="en-US"/>
        </w:rPr>
        <w:footnoteReference w:id="26"/>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proofErr w:type="gramStart"/>
      <w:r w:rsidR="00D63159" w:rsidRPr="00D63159">
        <w:rPr>
          <w:lang w:val="en-GB"/>
        </w:rPr>
        <w:t>p.e</w:t>
      </w:r>
      <w:proofErr w:type="spellEnd"/>
      <w:r w:rsidR="00DF6D7D">
        <w:rPr>
          <w:lang w:val="en-GB"/>
        </w:rPr>
        <w:t xml:space="preserve">  and</w:t>
      </w:r>
      <w:proofErr w:type="gramEnd"/>
      <w:r w:rsidR="00DF6D7D">
        <w:rPr>
          <w:lang w:val="en-GB"/>
        </w:rPr>
        <w:t xml:space="preserve">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t>Besides, a r</w:t>
      </w:r>
      <w:r w:rsidR="00DF6D7D">
        <w:rPr>
          <w:lang w:val="en-GB"/>
        </w:rPr>
        <w:t xml:space="preserve">ecent </w:t>
      </w:r>
      <w:r w:rsidR="00D71793">
        <w:rPr>
          <w:lang w:val="en-GB"/>
        </w:rPr>
        <w:t>study</w:t>
      </w:r>
      <w:r w:rsidR="00D71793">
        <w:rPr>
          <w:rStyle w:val="FootnoteReference"/>
          <w:lang w:val="en-GB"/>
        </w:rPr>
        <w:footnoteReference w:id="27"/>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72AE73C" w14:textId="2A560575" w:rsidR="00D63159" w:rsidRPr="00D63159" w:rsidRDefault="004A11B8" w:rsidP="001C6C39">
      <w:pPr>
        <w:pBdr>
          <w:top w:val="single" w:sz="4" w:space="1" w:color="auto"/>
          <w:left w:val="single" w:sz="4" w:space="4" w:color="auto"/>
          <w:bottom w:val="single" w:sz="4" w:space="1" w:color="auto"/>
          <w:right w:val="single" w:sz="4" w:space="4" w:color="auto"/>
        </w:pBdr>
        <w:spacing w:after="0" w:line="276" w:lineRule="auto"/>
        <w:rPr>
          <w:rFonts w:ascii="Calibri" w:eastAsia="MS Mincho" w:hAnsi="Calibri" w:cs="Times New Roman"/>
          <w:lang w:val="en-GB"/>
        </w:rPr>
      </w:pPr>
      <w:r w:rsidRPr="004A11B8">
        <w:rPr>
          <w:rFonts w:ascii="Calibri" w:eastAsia="MS Mincho" w:hAnsi="Calibri" w:cs="Times New Roman"/>
          <w:b/>
          <w:lang w:val="en-GB"/>
        </w:rPr>
        <w:t xml:space="preserve">Discussion point </w:t>
      </w:r>
      <w:r w:rsidR="00697E96">
        <w:rPr>
          <w:rFonts w:ascii="Calibri" w:eastAsia="MS Mincho" w:hAnsi="Calibri" w:cs="Times New Roman"/>
          <w:b/>
          <w:lang w:val="en-GB"/>
        </w:rPr>
        <w:t>1</w:t>
      </w:r>
      <w:r w:rsidR="005075E2">
        <w:rPr>
          <w:rFonts w:ascii="Calibri" w:eastAsia="MS Mincho" w:hAnsi="Calibri" w:cs="Times New Roman"/>
          <w:b/>
          <w:lang w:val="en-GB"/>
        </w:rPr>
        <w:t>2</w:t>
      </w:r>
      <w:r w:rsidR="001C6C39">
        <w:rPr>
          <w:rFonts w:ascii="Calibri" w:eastAsia="MS Mincho" w:hAnsi="Calibri" w:cs="Times New Roman"/>
          <w:lang w:val="en-GB"/>
        </w:rPr>
        <w:t xml:space="preserve">: </w:t>
      </w:r>
      <w:commentRangeStart w:id="70"/>
      <w:commentRangeStart w:id="71"/>
      <w:r>
        <w:rPr>
          <w:rFonts w:ascii="Calibri" w:eastAsia="MS Mincho" w:hAnsi="Calibri" w:cs="Times New Roman"/>
          <w:lang w:val="en-GB"/>
        </w:rPr>
        <w:t xml:space="preserve">The </w:t>
      </w:r>
      <w:r w:rsidRPr="00D63159">
        <w:rPr>
          <w:rFonts w:ascii="Calibri" w:eastAsia="MS Mincho" w:hAnsi="Calibri" w:cs="Times New Roman"/>
          <w:lang w:val="en-GB"/>
        </w:rPr>
        <w:t>emission factors</w:t>
      </w:r>
      <w:r w:rsidR="00CB50F3">
        <w:rPr>
          <w:rStyle w:val="FootnoteReference"/>
          <w:rFonts w:ascii="Calibri" w:eastAsia="MS Mincho" w:hAnsi="Calibri" w:cs="Times New Roman"/>
          <w:lang w:val="en-GB"/>
        </w:rPr>
        <w:footnoteReference w:id="28"/>
      </w:r>
      <w:r>
        <w:rPr>
          <w:rFonts w:ascii="Calibri" w:eastAsia="MS Mincho" w:hAnsi="Calibri" w:cs="Times New Roman"/>
          <w:lang w:val="en-GB"/>
        </w:rPr>
        <w:t xml:space="preserve"> used in Table 3 can be compared with</w:t>
      </w:r>
      <w:r w:rsidR="001C6C39">
        <w:rPr>
          <w:rFonts w:ascii="Calibri" w:eastAsia="MS Mincho" w:hAnsi="Calibri" w:cs="Times New Roman"/>
          <w:lang w:val="en-GB"/>
        </w:rPr>
        <w:t xml:space="preserve"> information from </w:t>
      </w:r>
      <w:r w:rsidR="00D63159" w:rsidRPr="00D63159">
        <w:rPr>
          <w:rFonts w:ascii="Calibri" w:eastAsia="MS Mincho" w:hAnsi="Calibri" w:cs="Times New Roman"/>
          <w:lang w:val="en-GB"/>
        </w:rPr>
        <w:t xml:space="preserve">recent UBA publication </w:t>
      </w:r>
      <w:r w:rsidR="001C6C39">
        <w:rPr>
          <w:rFonts w:ascii="Calibri" w:eastAsia="MS Mincho" w:hAnsi="Calibri" w:cs="Times New Roman"/>
          <w:lang w:val="en-GB"/>
        </w:rPr>
        <w:t>on UWWTP monitoring</w:t>
      </w:r>
      <w:commentRangeEnd w:id="70"/>
      <w:r w:rsidR="00E9704F">
        <w:rPr>
          <w:rStyle w:val="CommentReference"/>
        </w:rPr>
        <w:commentReference w:id="70"/>
      </w:r>
      <w:commentRangeEnd w:id="71"/>
      <w:r w:rsidR="000D0402">
        <w:rPr>
          <w:rStyle w:val="CommentReference"/>
        </w:rPr>
        <w:commentReference w:id="71"/>
      </w:r>
      <w:r>
        <w:rPr>
          <w:rFonts w:ascii="Calibri" w:eastAsia="MS Mincho" w:hAnsi="Calibri" w:cs="Times New Roman"/>
          <w:lang w:val="en-GB"/>
        </w:rPr>
        <w:t>. Also</w:t>
      </w:r>
      <w:r w:rsidR="00394116">
        <w:rPr>
          <w:rFonts w:ascii="Calibri" w:eastAsia="MS Mincho" w:hAnsi="Calibri" w:cs="Times New Roman"/>
          <w:lang w:val="en-GB"/>
        </w:rPr>
        <w:t>,</w:t>
      </w:r>
      <w:r>
        <w:rPr>
          <w:rFonts w:ascii="Calibri" w:eastAsia="MS Mincho" w:hAnsi="Calibri" w:cs="Times New Roman"/>
          <w:lang w:val="en-GB"/>
        </w:rPr>
        <w:t xml:space="preserve"> other MS might have useful recent data on this subject.</w:t>
      </w:r>
    </w:p>
    <w:p w14:paraId="28B0DF9B" w14:textId="6D1C02BC" w:rsidR="005C7411" w:rsidRDefault="005C7411" w:rsidP="005C7411">
      <w:pPr>
        <w:spacing w:after="0"/>
        <w:rPr>
          <w:rFonts w:asciiTheme="majorHAnsi" w:eastAsiaTheme="majorEastAsia" w:hAnsiTheme="majorHAnsi" w:cstheme="majorBidi"/>
          <w:color w:val="1F3763" w:themeColor="accent1" w:themeShade="7F"/>
          <w:sz w:val="24"/>
          <w:szCs w:val="24"/>
          <w:lang w:val="en-GB"/>
        </w:rPr>
      </w:pP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commentRangeStart w:id="72"/>
      <w:commentRangeStart w:id="73"/>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commentRangeEnd w:id="72"/>
      <w:r w:rsidR="00E9704F">
        <w:rPr>
          <w:rStyle w:val="CommentReference"/>
        </w:rPr>
        <w:commentReference w:id="72"/>
      </w:r>
      <w:commentRangeEnd w:id="73"/>
      <w:r w:rsidR="000D0402">
        <w:rPr>
          <w:rStyle w:val="CommentReference"/>
        </w:rPr>
        <w:commentReference w:id="73"/>
      </w:r>
    </w:p>
    <w:p w14:paraId="27145C40" w14:textId="77777777" w:rsidR="00701114" w:rsidRDefault="00701114" w:rsidP="00701114">
      <w:pPr>
        <w:rPr>
          <w:lang w:val="en-US"/>
        </w:rPr>
      </w:pPr>
      <w:r>
        <w:rPr>
          <w:lang w:val="en-US"/>
        </w:rPr>
        <w:lastRenderedPageBreak/>
        <w:t>This source contains the discharges of domestic wastewater, not connect to a sewer system. The wastewater loads will reach the surface water directly, will infiltrate in the soil or will be collected and treated in e.g. septic tanks.</w:t>
      </w:r>
    </w:p>
    <w:p w14:paraId="5323C077" w14:textId="77777777" w:rsidR="00701114" w:rsidRDefault="00701114" w:rsidP="004A11B8">
      <w:pPr>
        <w:spacing w:after="0"/>
        <w:rPr>
          <w:lang w:val="en-GB"/>
        </w:rPr>
      </w:pPr>
      <w:r>
        <w:rPr>
          <w:lang w:val="en-US"/>
        </w:rPr>
        <w:t xml:space="preserve">For the untreated households, the number of ‘untreated’ inhabitants per MS is multiplied with the emission per inhabitant per year. For the treated households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commentRangeStart w:id="74"/>
      <w:commentRangeStart w:id="75"/>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commentRangeEnd w:id="74"/>
      <w:r w:rsidR="00E9704F">
        <w:rPr>
          <w:rStyle w:val="CommentReference"/>
        </w:rPr>
        <w:commentReference w:id="74"/>
      </w:r>
      <w:commentRangeEnd w:id="75"/>
      <w:r w:rsidR="000D0402">
        <w:rPr>
          <w:rStyle w:val="CommentReference"/>
        </w:rPr>
        <w:commentReference w:id="75"/>
      </w:r>
    </w:p>
    <w:p w14:paraId="6C3CB380" w14:textId="0D43FF57" w:rsidR="00F209B4" w:rsidRDefault="001F10E1" w:rsidP="001F10E1">
      <w:pPr>
        <w:spacing w:after="0"/>
        <w:rPr>
          <w:lang w:val="en-US"/>
        </w:rPr>
      </w:pPr>
      <w:bookmarkStart w:id="76" w:name="_Hlk33465260"/>
      <w:r>
        <w:rPr>
          <w:lang w:val="en-US"/>
        </w:rPr>
        <w:t xml:space="preserve">This pathway is </w:t>
      </w:r>
      <w:r w:rsidR="00012777">
        <w:rPr>
          <w:lang w:val="en-US"/>
        </w:rPr>
        <w:t xml:space="preserve">already </w:t>
      </w:r>
      <w:r>
        <w:rPr>
          <w:lang w:val="en-US"/>
        </w:rPr>
        <w:t>covered by the E-PRTR reported loads</w:t>
      </w:r>
      <w:bookmarkEnd w:id="76"/>
      <w:r>
        <w:rPr>
          <w:lang w:val="en-US"/>
        </w:rPr>
        <w:t>. In theory, all emissions to water are reported on a yearly basis by the MS under 3 conditions:</w:t>
      </w:r>
    </w:p>
    <w:p w14:paraId="6F1821B0" w14:textId="7CF74DA7" w:rsidR="001F10E1" w:rsidRDefault="004D7D33" w:rsidP="009178BB">
      <w:pPr>
        <w:pStyle w:val="ListParagraph"/>
        <w:numPr>
          <w:ilvl w:val="0"/>
          <w:numId w:val="2"/>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9178BB">
      <w:pPr>
        <w:pStyle w:val="ListParagraph"/>
        <w:numPr>
          <w:ilvl w:val="0"/>
          <w:numId w:val="2"/>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9178BB">
      <w:pPr>
        <w:pStyle w:val="ListParagraph"/>
        <w:numPr>
          <w:ilvl w:val="0"/>
          <w:numId w:val="2"/>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77" w:name="_Hlk34313604"/>
    </w:p>
    <w:p w14:paraId="7A0243C7" w14:textId="38560D0B" w:rsidR="00033F34" w:rsidRDefault="00033F34" w:rsidP="00FC792E">
      <w:pPr>
        <w:pBdr>
          <w:top w:val="single" w:sz="4" w:space="1" w:color="auto"/>
          <w:left w:val="single" w:sz="4" w:space="4" w:color="auto"/>
          <w:bottom w:val="single" w:sz="4" w:space="1" w:color="auto"/>
          <w:right w:val="single" w:sz="4" w:space="4" w:color="auto"/>
        </w:pBdr>
        <w:spacing w:after="0"/>
        <w:rPr>
          <w:lang w:val="en-US"/>
        </w:rPr>
      </w:pPr>
      <w:commentRangeStart w:id="78"/>
      <w:commentRangeStart w:id="79"/>
      <w:r w:rsidRPr="00FC792E">
        <w:rPr>
          <w:b/>
          <w:lang w:val="en-US"/>
        </w:rPr>
        <w:t>Discussion point</w:t>
      </w:r>
      <w:r w:rsidR="00697E96">
        <w:rPr>
          <w:b/>
          <w:lang w:val="en-US"/>
        </w:rPr>
        <w:t xml:space="preserve"> 1</w:t>
      </w:r>
      <w:r w:rsidR="005075E2">
        <w:rPr>
          <w:b/>
          <w:lang w:val="en-US"/>
        </w:rPr>
        <w:t>3</w:t>
      </w:r>
      <w:commentRangeEnd w:id="78"/>
      <w:r w:rsidR="00E9704F">
        <w:rPr>
          <w:rStyle w:val="CommentReference"/>
        </w:rPr>
        <w:commentReference w:id="78"/>
      </w:r>
      <w:commentRangeEnd w:id="79"/>
      <w:r w:rsidR="000D0402">
        <w:rPr>
          <w:rStyle w:val="CommentReference"/>
        </w:rPr>
        <w:commentReference w:id="79"/>
      </w:r>
      <w:r>
        <w:rPr>
          <w:lang w:val="en-US"/>
        </w:rPr>
        <w:t xml:space="preserve">: EEA is considering </w:t>
      </w:r>
      <w:r w:rsidR="00394116">
        <w:rPr>
          <w:lang w:val="en-US"/>
        </w:rPr>
        <w:t>supporting</w:t>
      </w:r>
      <w:r>
        <w:rPr>
          <w:lang w:val="en-US"/>
        </w:rPr>
        <w:t xml:space="preserve"> the coming WFD reporting </w:t>
      </w:r>
      <w:r w:rsidR="00824C8D">
        <w:rPr>
          <w:lang w:val="en-US"/>
        </w:rPr>
        <w:t>by providing</w:t>
      </w:r>
      <w:r w:rsidR="00824C8D" w:rsidDel="00824C8D">
        <w:rPr>
          <w:lang w:val="en-US"/>
        </w:rPr>
        <w:t xml:space="preserve"> </w:t>
      </w:r>
      <w:r w:rsidR="00824C8D">
        <w:rPr>
          <w:lang w:val="en-US"/>
        </w:rPr>
        <w:t>E-PRTR data at RBD level already reported by MS (see also P8)</w:t>
      </w:r>
      <w:r>
        <w:rPr>
          <w:lang w:val="en-US"/>
        </w:rPr>
        <w:t>. Would that be helpful to the MS?</w:t>
      </w:r>
    </w:p>
    <w:p w14:paraId="3583F446" w14:textId="77777777" w:rsidR="00033F34" w:rsidRDefault="00033F34" w:rsidP="004D7D33">
      <w:pPr>
        <w:spacing w:after="0"/>
        <w:rPr>
          <w:lang w:val="en-US"/>
        </w:rPr>
      </w:pPr>
    </w:p>
    <w:bookmarkEnd w:id="77"/>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29"/>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57101C30" w14:textId="6B36E031" w:rsidR="004D7D33" w:rsidRPr="004D7D33" w:rsidRDefault="00033F34" w:rsidP="00012777">
      <w:pPr>
        <w:pBdr>
          <w:top w:val="single" w:sz="4" w:space="1" w:color="auto"/>
          <w:left w:val="single" w:sz="4" w:space="4" w:color="auto"/>
          <w:bottom w:val="single" w:sz="4" w:space="1" w:color="auto"/>
          <w:right w:val="single" w:sz="4" w:space="4" w:color="auto"/>
        </w:pBdr>
        <w:spacing w:after="0"/>
        <w:rPr>
          <w:lang w:val="en-US"/>
        </w:rPr>
      </w:pPr>
      <w:r w:rsidRPr="00FC792E">
        <w:rPr>
          <w:b/>
          <w:lang w:val="en-US"/>
        </w:rPr>
        <w:t>Discussion point</w:t>
      </w:r>
      <w:r w:rsidR="00697E96">
        <w:rPr>
          <w:b/>
          <w:lang w:val="en-US"/>
        </w:rPr>
        <w:t xml:space="preserve"> 1</w:t>
      </w:r>
      <w:r w:rsidR="005075E2">
        <w:rPr>
          <w:b/>
          <w:lang w:val="en-US"/>
        </w:rPr>
        <w:t>4</w:t>
      </w:r>
      <w:r>
        <w:rPr>
          <w:lang w:val="en-US"/>
        </w:rPr>
        <w:t>: Would it be useful to c</w:t>
      </w:r>
      <w:r w:rsidR="00C86A4B">
        <w:rPr>
          <w:lang w:val="en-US"/>
        </w:rPr>
        <w:t>arry out a</w:t>
      </w:r>
      <w:r>
        <w:rPr>
          <w:lang w:val="en-US"/>
        </w:rPr>
        <w:t>n</w:t>
      </w:r>
      <w:r w:rsidR="00C86A4B">
        <w:rPr>
          <w:lang w:val="en-US"/>
        </w:rPr>
        <w:t xml:space="preserve"> </w:t>
      </w:r>
      <w:r w:rsidR="004B70DD" w:rsidRPr="004B70DD">
        <w:rPr>
          <w:lang w:val="en-GB"/>
        </w:rPr>
        <w:t>analysis</w:t>
      </w:r>
      <w:r w:rsidR="004B70DD">
        <w:rPr>
          <w:lang w:val="en-GB"/>
        </w:rPr>
        <w:t>, together with the sector</w:t>
      </w:r>
      <w:r w:rsidR="004B70DD"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0"/>
      </w:r>
      <w:r>
        <w:rPr>
          <w:lang w:val="en-GB"/>
        </w:rPr>
        <w:t xml:space="preserve"> and stakeholder data might be useful in such an action.</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commentRangeStart w:id="80"/>
      <w:commentRangeStart w:id="81"/>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 xml:space="preserve">11  </w:t>
      </w:r>
      <w:bookmarkStart w:id="82" w:name="_Hlk37236532"/>
      <w:r w:rsidRPr="00F209B4">
        <w:rPr>
          <w:rFonts w:asciiTheme="majorHAnsi" w:eastAsiaTheme="majorEastAsia" w:hAnsiTheme="majorHAnsi" w:cstheme="majorBidi"/>
          <w:color w:val="1F3763" w:themeColor="accent1" w:themeShade="7F"/>
          <w:sz w:val="24"/>
          <w:szCs w:val="24"/>
          <w:lang w:val="en-US"/>
        </w:rPr>
        <w:t>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commentRangeEnd w:id="80"/>
      <w:r w:rsidR="00E9704F">
        <w:rPr>
          <w:rStyle w:val="CommentReference"/>
        </w:rPr>
        <w:commentReference w:id="80"/>
      </w:r>
      <w:commentRangeEnd w:id="81"/>
      <w:r w:rsidR="000D0402">
        <w:rPr>
          <w:rStyle w:val="CommentReference"/>
        </w:rPr>
        <w:commentReference w:id="81"/>
      </w:r>
    </w:p>
    <w:bookmarkEnd w:id="82"/>
    <w:p w14:paraId="12658FA1" w14:textId="25F956CD" w:rsidR="00F209B4" w:rsidRDefault="004B70DD" w:rsidP="004B70DD">
      <w:pPr>
        <w:spacing w:after="0"/>
        <w:rPr>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proofErr w:type="gramStart"/>
      <w:r>
        <w:rPr>
          <w:lang w:val="en-US"/>
        </w:rPr>
        <w:t>At the moment</w:t>
      </w:r>
      <w:proofErr w:type="gramEnd"/>
      <w:r>
        <w:rPr>
          <w:lang w:val="en-US"/>
        </w:rPr>
        <w:t xml:space="preserve"> it is not clear yet how to quantify emission from abandoned mining sites.</w:t>
      </w:r>
    </w:p>
    <w:p w14:paraId="36E7B435" w14:textId="71F92593" w:rsidR="004B70DD" w:rsidRDefault="004B70DD" w:rsidP="004B70DD">
      <w:pPr>
        <w:spacing w:after="0"/>
        <w:rPr>
          <w:lang w:val="en-US"/>
        </w:rPr>
      </w:pPr>
    </w:p>
    <w:p w14:paraId="7E236DD0" w14:textId="6D0DFB8C" w:rsidR="004B70DD" w:rsidRDefault="00603855" w:rsidP="004B70DD">
      <w:pPr>
        <w:pBdr>
          <w:top w:val="single" w:sz="4" w:space="1" w:color="auto"/>
          <w:left w:val="single" w:sz="4" w:space="4" w:color="auto"/>
          <w:bottom w:val="single" w:sz="4" w:space="1" w:color="auto"/>
          <w:right w:val="single" w:sz="4" w:space="4" w:color="auto"/>
        </w:pBdr>
        <w:spacing w:after="0"/>
        <w:rPr>
          <w:lang w:val="en-US"/>
        </w:rPr>
      </w:pPr>
      <w:commentRangeStart w:id="83"/>
      <w:commentRangeStart w:id="84"/>
      <w:r w:rsidRPr="00033F34">
        <w:rPr>
          <w:b/>
          <w:lang w:val="en-US"/>
        </w:rPr>
        <w:t>Discussion point</w:t>
      </w:r>
      <w:r>
        <w:rPr>
          <w:lang w:val="en-US"/>
        </w:rPr>
        <w:t xml:space="preserve"> </w:t>
      </w:r>
      <w:r w:rsidR="00697E96" w:rsidRPr="00697E96">
        <w:rPr>
          <w:b/>
          <w:lang w:val="en-US"/>
        </w:rPr>
        <w:t>1</w:t>
      </w:r>
      <w:r w:rsidR="005075E2">
        <w:rPr>
          <w:b/>
          <w:lang w:val="en-US"/>
        </w:rPr>
        <w:t>5</w:t>
      </w:r>
      <w:commentRangeEnd w:id="83"/>
      <w:r w:rsidR="00E9704F">
        <w:rPr>
          <w:rStyle w:val="CommentReference"/>
        </w:rPr>
        <w:commentReference w:id="83"/>
      </w:r>
      <w:commentRangeEnd w:id="84"/>
      <w:r w:rsidR="000D0402">
        <w:rPr>
          <w:rStyle w:val="CommentReference"/>
        </w:rPr>
        <w:commentReference w:id="84"/>
      </w:r>
      <w:r w:rsidR="004B70DD">
        <w:rPr>
          <w:lang w:val="en-US"/>
        </w:rPr>
        <w:t xml:space="preserve">: </w:t>
      </w:r>
      <w:bookmarkStart w:id="85" w:name="_Hlk37236554"/>
      <w:r>
        <w:rPr>
          <w:lang w:val="en-US"/>
        </w:rPr>
        <w:t>Would it be useful to carry out a l</w:t>
      </w:r>
      <w:r w:rsidR="004B70DD">
        <w:rPr>
          <w:lang w:val="en-US"/>
        </w:rPr>
        <w:t>iterature or stakeholder check for emission data from mining sites.</w:t>
      </w:r>
      <w:r>
        <w:rPr>
          <w:lang w:val="en-US"/>
        </w:rPr>
        <w:t xml:space="preserve"> Do MS or stakeholders have data on this pathway or ideas for quantification methods? </w:t>
      </w:r>
    </w:p>
    <w:bookmarkEnd w:id="85"/>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31C9BC27" w14:textId="63B7D493" w:rsidR="00E55DE7" w:rsidRDefault="004B70DD" w:rsidP="00D63159">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p>
    <w:p w14:paraId="449A64A1" w14:textId="77777777" w:rsidR="00E55DE7" w:rsidRDefault="00E55DE7" w:rsidP="00D63159">
      <w:pPr>
        <w:spacing w:after="0"/>
        <w:rPr>
          <w:lang w:val="en-US"/>
        </w:rPr>
      </w:pPr>
    </w:p>
    <w:p w14:paraId="1C104A82" w14:textId="54EC9D8B" w:rsidR="00E55DE7" w:rsidRDefault="00E55DE7" w:rsidP="00033F34">
      <w:pPr>
        <w:pBdr>
          <w:top w:val="single" w:sz="4" w:space="1" w:color="auto"/>
          <w:left w:val="single" w:sz="4" w:space="4" w:color="auto"/>
          <w:bottom w:val="single" w:sz="4" w:space="1" w:color="auto"/>
          <w:right w:val="single" w:sz="4" w:space="4" w:color="auto"/>
        </w:pBdr>
        <w:spacing w:after="0"/>
        <w:rPr>
          <w:lang w:val="en-US"/>
        </w:rPr>
      </w:pPr>
      <w:r w:rsidRPr="00033F34">
        <w:rPr>
          <w:b/>
          <w:lang w:val="en-US"/>
        </w:rPr>
        <w:t>Discussion point</w:t>
      </w:r>
      <w:r w:rsidR="002E3A5A">
        <w:rPr>
          <w:b/>
          <w:lang w:val="en-US"/>
        </w:rPr>
        <w:t xml:space="preserve"> </w:t>
      </w:r>
      <w:r w:rsidR="002E3A5A" w:rsidRPr="002E3A5A">
        <w:rPr>
          <w:b/>
          <w:lang w:val="en-US"/>
        </w:rPr>
        <w:t>1</w:t>
      </w:r>
      <w:r w:rsidR="005075E2">
        <w:rPr>
          <w:b/>
          <w:lang w:val="en-US"/>
        </w:rPr>
        <w:t>6</w:t>
      </w:r>
      <w:r w:rsidRPr="002E3A5A">
        <w:rPr>
          <w:b/>
          <w:lang w:val="en-US"/>
        </w:rPr>
        <w:t xml:space="preserve">: </w:t>
      </w:r>
      <w:r w:rsidRPr="002E3A5A">
        <w:rPr>
          <w:lang w:val="en-US"/>
        </w:rPr>
        <w:t>Do</w:t>
      </w:r>
      <w:r>
        <w:rPr>
          <w:lang w:val="en-US"/>
        </w:rPr>
        <w:t xml:space="preserve"> we have to include </w:t>
      </w:r>
      <w:commentRangeStart w:id="86"/>
      <w:commentRangeStart w:id="87"/>
      <w:r w:rsidR="00CB50F3">
        <w:rPr>
          <w:lang w:val="en-US"/>
        </w:rPr>
        <w:t xml:space="preserve">inland navigation </w:t>
      </w:r>
      <w:r>
        <w:rPr>
          <w:lang w:val="en-US"/>
        </w:rPr>
        <w:t xml:space="preserve">for PAH emissions </w:t>
      </w:r>
      <w:commentRangeEnd w:id="86"/>
      <w:r w:rsidR="00E9704F">
        <w:rPr>
          <w:rStyle w:val="CommentReference"/>
        </w:rPr>
        <w:commentReference w:id="86"/>
      </w:r>
      <w:commentRangeEnd w:id="87"/>
      <w:r w:rsidR="000D0402">
        <w:rPr>
          <w:rStyle w:val="CommentReference"/>
        </w:rPr>
        <w:commentReference w:id="87"/>
      </w:r>
      <w:r>
        <w:rPr>
          <w:lang w:val="en-US"/>
        </w:rPr>
        <w:t>and is there any data available?</w:t>
      </w:r>
    </w:p>
    <w:p w14:paraId="2ADBEFA3" w14:textId="77777777" w:rsidR="001F10E1" w:rsidRPr="004B70DD" w:rsidRDefault="001F10E1" w:rsidP="00D63159">
      <w:pPr>
        <w:spacing w:after="0"/>
        <w:rPr>
          <w:rFonts w:asciiTheme="majorHAnsi" w:eastAsiaTheme="majorEastAsia" w:hAnsiTheme="majorHAnsi" w:cstheme="majorBidi"/>
          <w:color w:val="1F3763" w:themeColor="accent1" w:themeShade="7F"/>
          <w:sz w:val="24"/>
          <w:szCs w:val="24"/>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commentRangeStart w:id="88"/>
      <w:commentRangeStart w:id="89"/>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commentRangeEnd w:id="88"/>
      <w:r w:rsidR="00E9704F">
        <w:rPr>
          <w:rStyle w:val="CommentReference"/>
        </w:rPr>
        <w:commentReference w:id="88"/>
      </w:r>
      <w:commentRangeEnd w:id="89"/>
      <w:r w:rsidR="000D0402">
        <w:rPr>
          <w:rStyle w:val="CommentReference"/>
        </w:rPr>
        <w:commentReference w:id="89"/>
      </w:r>
    </w:p>
    <w:p w14:paraId="77444582" w14:textId="5D96FB1F"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w:t>
      </w:r>
      <w:proofErr w:type="gramStart"/>
      <w:r w:rsidR="00AF0E9D" w:rsidRPr="002E3A5A">
        <w:rPr>
          <w:lang w:val="en-US"/>
        </w:rPr>
        <w:t>a</w:t>
      </w:r>
      <w:proofErr w:type="gramEnd"/>
      <w:r w:rsidR="00AF0E9D" w:rsidRPr="002E3A5A">
        <w:rPr>
          <w:lang w:val="en-US"/>
        </w:rPr>
        <w:t xml:space="preserve">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042CBC6B" w14:textId="70E3C7D4" w:rsidR="002E3A5A" w:rsidRPr="002E3A5A" w:rsidRDefault="002E3A5A" w:rsidP="002E3A5A">
      <w:pPr>
        <w:pBdr>
          <w:top w:val="single" w:sz="4" w:space="1" w:color="auto"/>
          <w:left w:val="single" w:sz="4" w:space="4" w:color="auto"/>
          <w:bottom w:val="single" w:sz="4" w:space="1" w:color="auto"/>
          <w:right w:val="single" w:sz="4" w:space="4" w:color="auto"/>
        </w:pBdr>
        <w:rPr>
          <w:lang w:val="en-US"/>
        </w:rPr>
      </w:pPr>
      <w:commentRangeStart w:id="90"/>
      <w:commentRangeStart w:id="91"/>
      <w:r w:rsidRPr="002E3A5A">
        <w:rPr>
          <w:b/>
          <w:lang w:val="en-US"/>
        </w:rPr>
        <w:t>Discussion point 1</w:t>
      </w:r>
      <w:r w:rsidR="005075E2">
        <w:rPr>
          <w:b/>
          <w:lang w:val="en-US"/>
        </w:rPr>
        <w:t>7</w:t>
      </w:r>
      <w:r>
        <w:rPr>
          <w:lang w:val="en-US"/>
        </w:rPr>
        <w:t xml:space="preserve">: </w:t>
      </w:r>
      <w:commentRangeEnd w:id="90"/>
      <w:r w:rsidR="00E9704F">
        <w:rPr>
          <w:rStyle w:val="CommentReference"/>
        </w:rPr>
        <w:commentReference w:id="90"/>
      </w:r>
      <w:commentRangeEnd w:id="91"/>
      <w:r w:rsidR="000D0402">
        <w:rPr>
          <w:rStyle w:val="CommentReference"/>
        </w:rPr>
        <w:commentReference w:id="91"/>
      </w:r>
      <w:r>
        <w:rPr>
          <w:lang w:val="en-US"/>
        </w:rPr>
        <w:t>Do MS or stakeholders have suggestions for an improved method for quantification?</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t>Follow-up</w:t>
      </w:r>
    </w:p>
    <w:p w14:paraId="535E3714" w14:textId="170C57F3" w:rsidR="006A4D8A" w:rsidRPr="00F40035" w:rsidRDefault="006A4D8A" w:rsidP="006A4D8A">
      <w:pPr>
        <w:rPr>
          <w:lang w:val="en-US"/>
        </w:rPr>
      </w:pPr>
    </w:p>
    <w:p w14:paraId="4F96C86A" w14:textId="3272A2AA" w:rsidR="00F40035" w:rsidRPr="00F40035" w:rsidRDefault="00F40035" w:rsidP="006A4D8A">
      <w:pPr>
        <w:rPr>
          <w:lang w:val="en-US"/>
        </w:rPr>
      </w:pPr>
      <w:r w:rsidRPr="00F40035">
        <w:rPr>
          <w:lang w:val="en-US"/>
        </w:rPr>
        <w:t>This draft paper will be input for the workshop coming April.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6217696D" w:rsidR="006A4D8A" w:rsidRDefault="006A4D8A" w:rsidP="00F40035">
      <w:pPr>
        <w:pStyle w:val="Heading2"/>
        <w:numPr>
          <w:ilvl w:val="0"/>
          <w:numId w:val="0"/>
        </w:numPr>
        <w:ind w:left="720"/>
        <w:rPr>
          <w:rFonts w:eastAsia="MS Mincho"/>
          <w:highlight w:val="yellow"/>
          <w:lang w:val="en-GB"/>
        </w:rPr>
      </w:pPr>
    </w:p>
    <w:p w14:paraId="37346658" w14:textId="70471F73" w:rsidR="00606C26" w:rsidRDefault="00606C26" w:rsidP="00606C26">
      <w:pPr>
        <w:rPr>
          <w:highlight w:val="yellow"/>
          <w:lang w:val="en-GB"/>
        </w:rPr>
      </w:pPr>
    </w:p>
    <w:p w14:paraId="738E64AD" w14:textId="38B94240" w:rsidR="00606C26" w:rsidRDefault="00606C26" w:rsidP="00606C26">
      <w:pPr>
        <w:rPr>
          <w:highlight w:val="yellow"/>
          <w:lang w:val="en-GB"/>
        </w:rPr>
      </w:pPr>
    </w:p>
    <w:p w14:paraId="362F5F67" w14:textId="526BB734" w:rsidR="00606C26" w:rsidRDefault="00606C26" w:rsidP="00606C26">
      <w:pPr>
        <w:rPr>
          <w:highlight w:val="yellow"/>
          <w:lang w:val="en-GB"/>
        </w:rPr>
      </w:pPr>
    </w:p>
    <w:p w14:paraId="096015FE" w14:textId="46386B6B" w:rsidR="00606C26" w:rsidRDefault="00606C26" w:rsidP="00606C26">
      <w:pPr>
        <w:rPr>
          <w:highlight w:val="yellow"/>
          <w:lang w:val="en-GB"/>
        </w:rPr>
      </w:pPr>
    </w:p>
    <w:p w14:paraId="7D7DBFE9" w14:textId="5C3837E4" w:rsidR="00606C26" w:rsidRDefault="00606C26" w:rsidP="00606C26">
      <w:pPr>
        <w:rPr>
          <w:highlight w:val="yellow"/>
          <w:lang w:val="en-GB"/>
        </w:rPr>
      </w:pPr>
    </w:p>
    <w:p w14:paraId="73C5158B" w14:textId="6AD86F07" w:rsidR="00606C26" w:rsidRDefault="00606C26" w:rsidP="00606C26">
      <w:pPr>
        <w:rPr>
          <w:highlight w:val="yellow"/>
          <w:lang w:val="en-GB"/>
        </w:rPr>
      </w:pPr>
    </w:p>
    <w:p w14:paraId="0C28515D" w14:textId="01C60CF8" w:rsidR="00606C26" w:rsidRDefault="00606C26" w:rsidP="00606C26">
      <w:pPr>
        <w:rPr>
          <w:highlight w:val="yellow"/>
          <w:lang w:val="en-GB"/>
        </w:rPr>
      </w:pPr>
    </w:p>
    <w:p w14:paraId="25EC31B4" w14:textId="713B954A" w:rsidR="00606C26" w:rsidRDefault="00606C26" w:rsidP="00606C26">
      <w:pPr>
        <w:rPr>
          <w:highlight w:val="yellow"/>
          <w:lang w:val="en-GB"/>
        </w:rPr>
      </w:pPr>
    </w:p>
    <w:p w14:paraId="15DB32FE" w14:textId="153FFE89" w:rsidR="00606C26" w:rsidRDefault="00606C26" w:rsidP="00606C26">
      <w:pPr>
        <w:rPr>
          <w:highlight w:val="yellow"/>
          <w:lang w:val="en-GB"/>
        </w:rPr>
      </w:pPr>
    </w:p>
    <w:p w14:paraId="53149374" w14:textId="5769A022" w:rsidR="00606C26" w:rsidRDefault="00606C26" w:rsidP="00606C26">
      <w:pPr>
        <w:rPr>
          <w:highlight w:val="yellow"/>
          <w:lang w:val="en-GB"/>
        </w:rPr>
      </w:pPr>
    </w:p>
    <w:p w14:paraId="0A310DC6" w14:textId="16EA1B1B" w:rsidR="00606C26" w:rsidRDefault="00606C26" w:rsidP="00606C26">
      <w:pPr>
        <w:rPr>
          <w:highlight w:val="yellow"/>
          <w:lang w:val="en-GB"/>
        </w:rPr>
      </w:pPr>
    </w:p>
    <w:p w14:paraId="2E1E9ACC" w14:textId="67256298" w:rsidR="00606C26" w:rsidRDefault="00606C26" w:rsidP="00606C26">
      <w:pPr>
        <w:rPr>
          <w:highlight w:val="yellow"/>
          <w:lang w:val="en-GB"/>
        </w:rPr>
      </w:pPr>
    </w:p>
    <w:p w14:paraId="1C772819" w14:textId="224A19CE" w:rsidR="00606C26" w:rsidRDefault="00606C26" w:rsidP="00606C26">
      <w:pPr>
        <w:rPr>
          <w:highlight w:val="yellow"/>
          <w:lang w:val="en-GB"/>
        </w:rPr>
      </w:pPr>
    </w:p>
    <w:p w14:paraId="0FCCBBB2" w14:textId="31DDE2DE" w:rsidR="00606C26" w:rsidRPr="00606C26" w:rsidRDefault="00606C26" w:rsidP="00606C26">
      <w:pPr>
        <w:jc w:val="center"/>
        <w:rPr>
          <w:b/>
          <w:bCs/>
          <w:highlight w:val="yellow"/>
          <w:u w:val="single"/>
          <w:lang w:val="en-GB"/>
        </w:rPr>
      </w:pPr>
      <w:r w:rsidRPr="00606C26">
        <w:rPr>
          <w:b/>
          <w:bCs/>
          <w:highlight w:val="yellow"/>
          <w:u w:val="single"/>
          <w:lang w:val="en-GB"/>
        </w:rPr>
        <w:lastRenderedPageBreak/>
        <w:t>ANNEX</w:t>
      </w:r>
      <w:r w:rsidR="00F83D00">
        <w:rPr>
          <w:b/>
          <w:bCs/>
          <w:highlight w:val="yellow"/>
          <w:u w:val="single"/>
          <w:lang w:val="en-GB"/>
        </w:rPr>
        <w:t xml:space="preserve"> 1</w:t>
      </w:r>
    </w:p>
    <w:p w14:paraId="24FC7AAE" w14:textId="2B76BAC3" w:rsidR="00606C26" w:rsidRPr="0056296D" w:rsidRDefault="00606C26" w:rsidP="00606C26">
      <w:pPr>
        <w:spacing w:after="0"/>
        <w:rPr>
          <w:b/>
          <w:u w:val="single"/>
          <w:lang w:val="en-US"/>
        </w:rPr>
      </w:pPr>
      <w:r w:rsidRPr="0056296D">
        <w:rPr>
          <w:b/>
          <w:u w:val="single"/>
          <w:lang w:val="en-US"/>
        </w:rPr>
        <w:t>Reviewer Comments</w:t>
      </w:r>
    </w:p>
    <w:p w14:paraId="04FB2833" w14:textId="77777777" w:rsidR="00606C26" w:rsidRPr="0056296D" w:rsidRDefault="00606C26" w:rsidP="00606C26">
      <w:pPr>
        <w:spacing w:after="0"/>
        <w:rPr>
          <w:lang w:val="en-US"/>
        </w:rPr>
      </w:pPr>
      <w:r w:rsidRPr="0056296D">
        <w:rPr>
          <w:lang w:val="en-US"/>
        </w:rPr>
        <w:t>Kevin Farley</w:t>
      </w:r>
    </w:p>
    <w:p w14:paraId="3241EED7" w14:textId="77777777" w:rsidR="00606C26" w:rsidRPr="0056296D" w:rsidRDefault="00606C26" w:rsidP="00606C26">
      <w:pPr>
        <w:spacing w:after="0"/>
        <w:rPr>
          <w:lang w:val="en-US"/>
        </w:rPr>
      </w:pPr>
      <w:r w:rsidRPr="0056296D">
        <w:rPr>
          <w:lang w:val="en-US"/>
        </w:rPr>
        <w:t>Professor at Manhattan College</w:t>
      </w:r>
    </w:p>
    <w:p w14:paraId="26747E6E" w14:textId="77777777" w:rsidR="00606C26" w:rsidRPr="0056296D" w:rsidRDefault="00606C26" w:rsidP="00606C26">
      <w:pPr>
        <w:spacing w:after="0"/>
        <w:rPr>
          <w:lang w:val="fr-FR"/>
        </w:rPr>
      </w:pPr>
      <w:r w:rsidRPr="0056296D">
        <w:rPr>
          <w:lang w:val="fr-FR"/>
        </w:rPr>
        <w:t xml:space="preserve">Civil &amp; </w:t>
      </w:r>
      <w:proofErr w:type="spellStart"/>
      <w:r w:rsidRPr="0056296D">
        <w:rPr>
          <w:lang w:val="fr-FR"/>
        </w:rPr>
        <w:t>Environmental</w:t>
      </w:r>
      <w:proofErr w:type="spellEnd"/>
      <w:r w:rsidRPr="0056296D">
        <w:rPr>
          <w:lang w:val="fr-FR"/>
        </w:rPr>
        <w:t xml:space="preserve"> Engineering</w:t>
      </w:r>
    </w:p>
    <w:p w14:paraId="5E231102" w14:textId="77777777" w:rsidR="00606C26" w:rsidRPr="0056296D" w:rsidRDefault="0056296D" w:rsidP="00606C26">
      <w:pPr>
        <w:spacing w:after="0"/>
        <w:rPr>
          <w:lang w:val="fr-FR"/>
        </w:rPr>
      </w:pPr>
      <w:hyperlink r:id="rId17" w:history="1">
        <w:r w:rsidR="00606C26" w:rsidRPr="0056296D">
          <w:rPr>
            <w:rStyle w:val="Hyperlink"/>
            <w:lang w:val="fr-FR"/>
          </w:rPr>
          <w:t>kevin.farley@manhattan.edu</w:t>
        </w:r>
      </w:hyperlink>
    </w:p>
    <w:p w14:paraId="02506BC6" w14:textId="77777777" w:rsidR="00606C26" w:rsidRPr="0056296D" w:rsidRDefault="00606C26" w:rsidP="00606C26">
      <w:pPr>
        <w:spacing w:after="0"/>
        <w:rPr>
          <w:lang w:val="en-US"/>
        </w:rPr>
      </w:pPr>
      <w:r w:rsidRPr="0056296D">
        <w:rPr>
          <w:lang w:val="en-US"/>
        </w:rPr>
        <w:t>6 April 2020</w:t>
      </w:r>
    </w:p>
    <w:p w14:paraId="62432993" w14:textId="77777777" w:rsidR="00606C26" w:rsidRPr="0056296D" w:rsidRDefault="00606C26" w:rsidP="00606C26">
      <w:pPr>
        <w:spacing w:after="0"/>
        <w:jc w:val="center"/>
        <w:rPr>
          <w:lang w:val="en-US"/>
        </w:rPr>
      </w:pPr>
    </w:p>
    <w:p w14:paraId="459ED168" w14:textId="77777777" w:rsidR="00606C26" w:rsidRPr="0056296D" w:rsidRDefault="00606C26" w:rsidP="00606C26">
      <w:pPr>
        <w:spacing w:after="0"/>
        <w:jc w:val="center"/>
        <w:rPr>
          <w:lang w:val="en-US"/>
        </w:rPr>
      </w:pPr>
      <w:r w:rsidRPr="0056296D">
        <w:rPr>
          <w:lang w:val="en-US"/>
        </w:rPr>
        <w:t>Proposal for a simplified method for the quantification of emissions to water</w:t>
      </w:r>
    </w:p>
    <w:p w14:paraId="78D46DED" w14:textId="77777777" w:rsidR="00606C26" w:rsidRDefault="00606C26" w:rsidP="00606C26">
      <w:pPr>
        <w:spacing w:after="0"/>
        <w:jc w:val="center"/>
      </w:pPr>
      <w:r>
        <w:t xml:space="preserve">Draft </w:t>
      </w:r>
      <w:proofErr w:type="spellStart"/>
      <w:r>
        <w:t>version</w:t>
      </w:r>
      <w:proofErr w:type="spellEnd"/>
      <w:r>
        <w:t>: 5</w:t>
      </w:r>
      <w:r w:rsidRPr="00E97EC3">
        <w:rPr>
          <w:vertAlign w:val="superscript"/>
        </w:rPr>
        <w:t>th</w:t>
      </w:r>
      <w:r>
        <w:t xml:space="preserve"> </w:t>
      </w:r>
      <w:proofErr w:type="spellStart"/>
      <w:r>
        <w:t>March</w:t>
      </w:r>
      <w:proofErr w:type="spellEnd"/>
      <w:r>
        <w:t xml:space="preserve"> 2020</w:t>
      </w:r>
    </w:p>
    <w:p w14:paraId="088A1390" w14:textId="77777777" w:rsidR="00606C26" w:rsidRDefault="00606C26" w:rsidP="00606C26">
      <w:pPr>
        <w:spacing w:after="0"/>
        <w:jc w:val="center"/>
      </w:pPr>
      <w:proofErr w:type="spellStart"/>
      <w:r>
        <w:t>Authors</w:t>
      </w:r>
      <w:proofErr w:type="spellEnd"/>
      <w:r>
        <w:t>: Joost van den Roovaart (</w:t>
      </w:r>
      <w:proofErr w:type="spellStart"/>
      <w:r>
        <w:t>Deltares</w:t>
      </w:r>
      <w:proofErr w:type="spellEnd"/>
      <w:r>
        <w:t>), Nanette van Duijnhoven (</w:t>
      </w:r>
      <w:proofErr w:type="spellStart"/>
      <w:r>
        <w:t>Deltares</w:t>
      </w:r>
      <w:proofErr w:type="spellEnd"/>
      <w:r>
        <w:t>), Antje Ullrich (UBA)</w:t>
      </w:r>
    </w:p>
    <w:p w14:paraId="341D3588" w14:textId="77777777" w:rsidR="00606C26" w:rsidRDefault="00606C26" w:rsidP="00606C26"/>
    <w:p w14:paraId="5F9B816A" w14:textId="77777777" w:rsidR="00606C26" w:rsidRPr="0056296D" w:rsidRDefault="00606C26" w:rsidP="00606C26">
      <w:pPr>
        <w:rPr>
          <w:lang w:val="en-US"/>
        </w:rPr>
      </w:pPr>
      <w:r w:rsidRPr="0056296D">
        <w:rPr>
          <w:b/>
          <w:u w:val="single"/>
          <w:lang w:val="en-US"/>
        </w:rPr>
        <w:t>General Comments</w:t>
      </w:r>
      <w:r w:rsidRPr="0056296D">
        <w:rPr>
          <w:lang w:val="en-US"/>
        </w:rPr>
        <w:t xml:space="preserve">:  </w:t>
      </w:r>
    </w:p>
    <w:p w14:paraId="6CC67EF8" w14:textId="0085252F" w:rsidR="00606C26" w:rsidRPr="0056296D" w:rsidRDefault="00606C26" w:rsidP="00606C26">
      <w:pPr>
        <w:rPr>
          <w:lang w:val="en-US"/>
        </w:rPr>
      </w:pPr>
      <w:r w:rsidRPr="0056296D">
        <w:rPr>
          <w:lang w:val="en-US"/>
        </w:rPr>
        <w:t>The overall framework of describing annual emissions into surface waters in terms of Activity Rates (ARs) that are based on freely available statistics or proxy values, and Emissions Factors (EFs) that are determined from analyses of previously collected data and/or model results is reasonable.  The challenges implicit in this approach are defining appropriate EFs and other factors (e.g., percent of manure and fertilizer in surface runoff from unsealed areas) that affect the loading to surface waters.</w:t>
      </w:r>
      <w:r w:rsidR="00F83D00" w:rsidRPr="0056296D">
        <w:rPr>
          <w:lang w:val="en-US"/>
        </w:rPr>
        <w:t xml:space="preserve"> </w:t>
      </w:r>
      <w:r w:rsidRPr="0056296D">
        <w:rPr>
          <w:lang w:val="en-US"/>
        </w:rPr>
        <w:t>The identification of riverine loadings in 13 categories (Figure 1), the choice of annual loadings and the focus on 11 pollutants seem appropriate for this study.</w:t>
      </w:r>
      <w:r w:rsidR="00F83D00" w:rsidRPr="0056296D">
        <w:rPr>
          <w:lang w:val="en-US"/>
        </w:rPr>
        <w:t xml:space="preserve"> </w:t>
      </w:r>
      <w:r w:rsidRPr="0056296D">
        <w:rPr>
          <w:lang w:val="en-US"/>
        </w:rPr>
        <w:t>A brief description of the 13 source categories along with a few specific comments on each (where appropriate) is provided below:</w:t>
      </w:r>
    </w:p>
    <w:p w14:paraId="1601E356" w14:textId="77777777" w:rsidR="00606C26" w:rsidRPr="00C2605F" w:rsidRDefault="00606C26" w:rsidP="00606C26">
      <w:pPr>
        <w:rPr>
          <w:u w:val="single"/>
        </w:rPr>
      </w:pPr>
      <w:r w:rsidRPr="00C2605F">
        <w:rPr>
          <w:u w:val="single"/>
        </w:rPr>
        <w:t xml:space="preserve">P1: </w:t>
      </w:r>
      <w:proofErr w:type="spellStart"/>
      <w:r w:rsidRPr="00C2605F">
        <w:rPr>
          <w:u w:val="single"/>
        </w:rPr>
        <w:t>Atmospheric</w:t>
      </w:r>
      <w:proofErr w:type="spellEnd"/>
      <w:r w:rsidRPr="00C2605F">
        <w:rPr>
          <w:u w:val="single"/>
        </w:rPr>
        <w:t xml:space="preserve"> </w:t>
      </w:r>
      <w:proofErr w:type="spellStart"/>
      <w:r w:rsidRPr="00C2605F">
        <w:rPr>
          <w:u w:val="single"/>
        </w:rPr>
        <w:t>Deposition</w:t>
      </w:r>
      <w:proofErr w:type="spellEnd"/>
    </w:p>
    <w:p w14:paraId="617B1BCD" w14:textId="77777777" w:rsidR="00606C26" w:rsidRPr="0056296D" w:rsidRDefault="00606C26" w:rsidP="009178BB">
      <w:pPr>
        <w:pStyle w:val="ListParagraph"/>
        <w:numPr>
          <w:ilvl w:val="0"/>
          <w:numId w:val="5"/>
        </w:numPr>
        <w:rPr>
          <w:lang w:val="en-US"/>
        </w:rPr>
      </w:pPr>
      <w:r w:rsidRPr="0056296D">
        <w:rPr>
          <w:lang w:val="en-US"/>
        </w:rPr>
        <w:t>Source loadings = total area of inland waters (km</w:t>
      </w:r>
      <w:r w:rsidRPr="0056296D">
        <w:rPr>
          <w:vertAlign w:val="superscript"/>
          <w:lang w:val="en-US"/>
        </w:rPr>
        <w:t>2</w:t>
      </w:r>
      <w:r w:rsidRPr="0056296D">
        <w:rPr>
          <w:lang w:val="en-US"/>
        </w:rPr>
        <w:t xml:space="preserve">) </w:t>
      </w:r>
      <w:r>
        <w:sym w:font="Symbol" w:char="F0B4"/>
      </w:r>
      <w:r w:rsidRPr="0056296D">
        <w:rPr>
          <w:lang w:val="en-US"/>
        </w:rPr>
        <w:t xml:space="preserve"> average calculated flux from EMEP model results (mg/ha/</w:t>
      </w:r>
      <w:proofErr w:type="spellStart"/>
      <w:r w:rsidRPr="0056296D">
        <w:rPr>
          <w:lang w:val="en-US"/>
        </w:rPr>
        <w:t>yr</w:t>
      </w:r>
      <w:proofErr w:type="spellEnd"/>
      <w:r w:rsidRPr="0056296D">
        <w:rPr>
          <w:lang w:val="en-US"/>
        </w:rPr>
        <w:t>)</w:t>
      </w:r>
    </w:p>
    <w:p w14:paraId="4AE68534" w14:textId="77777777" w:rsidR="00606C26" w:rsidRPr="0056296D" w:rsidRDefault="00606C26" w:rsidP="009178BB">
      <w:pPr>
        <w:pStyle w:val="ListParagraph"/>
        <w:numPr>
          <w:ilvl w:val="0"/>
          <w:numId w:val="5"/>
        </w:numPr>
        <w:rPr>
          <w:lang w:val="en-US"/>
        </w:rPr>
      </w:pPr>
      <w:r w:rsidRPr="0056296D">
        <w:rPr>
          <w:lang w:val="en-US"/>
        </w:rPr>
        <w:t>Average calculated fluxes are determined on a country-specific basis for TN, Cd, Pb, Hg, B(a)P.  Recommendation for other PAHs is to scale their atmospheric fluxes to B(a)P based on country-specific data.</w:t>
      </w:r>
    </w:p>
    <w:p w14:paraId="0890EDCA" w14:textId="77777777" w:rsidR="00606C26" w:rsidRPr="0056296D" w:rsidRDefault="00606C26" w:rsidP="009178BB">
      <w:pPr>
        <w:pStyle w:val="ListParagraph"/>
        <w:numPr>
          <w:ilvl w:val="0"/>
          <w:numId w:val="5"/>
        </w:numPr>
        <w:rPr>
          <w:lang w:val="en-US"/>
        </w:rPr>
      </w:pPr>
      <w:r w:rsidRPr="0056296D">
        <w:rPr>
          <w:b/>
          <w:u w:val="single"/>
          <w:lang w:val="en-US"/>
        </w:rPr>
        <w:t>Comment</w:t>
      </w:r>
      <w:r w:rsidRPr="0056296D">
        <w:rPr>
          <w:lang w:val="en-US"/>
        </w:rPr>
        <w:t>:  On the ‘Formula’ worksheet, the EFs for P1 are given in different units (kg/ha, kg/a, mg/m</w:t>
      </w:r>
      <w:r w:rsidRPr="0056296D">
        <w:rPr>
          <w:vertAlign w:val="superscript"/>
          <w:lang w:val="en-US"/>
        </w:rPr>
        <w:t>2</w:t>
      </w:r>
      <w:r w:rsidRPr="0056296D">
        <w:rPr>
          <w:lang w:val="en-US"/>
        </w:rPr>
        <w:t xml:space="preserve">/a).  The authors should provide EFs for P1 as either mass/area/time or mass/area if the annual time scale is </w:t>
      </w:r>
      <w:commentRangeStart w:id="92"/>
      <w:r w:rsidRPr="0056296D">
        <w:rPr>
          <w:lang w:val="en-US"/>
        </w:rPr>
        <w:t>implied</w:t>
      </w:r>
      <w:commentRangeEnd w:id="92"/>
      <w:r w:rsidR="000D0402">
        <w:rPr>
          <w:rStyle w:val="CommentReference"/>
        </w:rPr>
        <w:commentReference w:id="92"/>
      </w:r>
      <w:r w:rsidRPr="0056296D">
        <w:rPr>
          <w:lang w:val="en-US"/>
        </w:rPr>
        <w:t>.</w:t>
      </w:r>
    </w:p>
    <w:p w14:paraId="3AFF2651" w14:textId="77777777" w:rsidR="00606C26" w:rsidRPr="0056296D" w:rsidRDefault="00606C26" w:rsidP="009178BB">
      <w:pPr>
        <w:pStyle w:val="ListParagraph"/>
        <w:numPr>
          <w:ilvl w:val="0"/>
          <w:numId w:val="5"/>
        </w:numPr>
        <w:rPr>
          <w:lang w:val="en-US"/>
        </w:rPr>
      </w:pPr>
      <w:r w:rsidRPr="0056296D">
        <w:rPr>
          <w:b/>
          <w:u w:val="single"/>
          <w:lang w:val="en-US"/>
        </w:rPr>
        <w:t>Comment</w:t>
      </w:r>
      <w:r w:rsidRPr="0056296D">
        <w:rPr>
          <w:lang w:val="en-US"/>
        </w:rPr>
        <w:t xml:space="preserve">:  TP and Ni need to be </w:t>
      </w:r>
      <w:commentRangeStart w:id="93"/>
      <w:r w:rsidRPr="0056296D">
        <w:rPr>
          <w:lang w:val="en-US"/>
        </w:rPr>
        <w:t>considered</w:t>
      </w:r>
      <w:commentRangeEnd w:id="93"/>
      <w:r w:rsidR="001F15C4">
        <w:rPr>
          <w:rStyle w:val="CommentReference"/>
        </w:rPr>
        <w:commentReference w:id="93"/>
      </w:r>
      <w:r w:rsidRPr="0056296D">
        <w:rPr>
          <w:lang w:val="en-US"/>
        </w:rPr>
        <w:t>.</w:t>
      </w:r>
    </w:p>
    <w:p w14:paraId="696DB349" w14:textId="77777777" w:rsidR="00606C26" w:rsidRPr="00156111" w:rsidRDefault="00606C26" w:rsidP="00606C26">
      <w:pPr>
        <w:rPr>
          <w:u w:val="single"/>
        </w:rPr>
      </w:pPr>
      <w:r w:rsidRPr="00156111">
        <w:rPr>
          <w:u w:val="single"/>
        </w:rPr>
        <w:t xml:space="preserve">P2:  </w:t>
      </w:r>
      <w:proofErr w:type="spellStart"/>
      <w:r w:rsidRPr="00156111">
        <w:rPr>
          <w:u w:val="single"/>
        </w:rPr>
        <w:t>Erosion</w:t>
      </w:r>
      <w:proofErr w:type="spellEnd"/>
    </w:p>
    <w:p w14:paraId="3083EAC3" w14:textId="77777777" w:rsidR="00606C26" w:rsidRDefault="00606C26" w:rsidP="009178BB">
      <w:pPr>
        <w:pStyle w:val="ListParagraph"/>
        <w:numPr>
          <w:ilvl w:val="0"/>
          <w:numId w:val="6"/>
        </w:numPr>
      </w:pPr>
      <w:r>
        <w:t xml:space="preserve">Source </w:t>
      </w:r>
      <w:proofErr w:type="spellStart"/>
      <w:r>
        <w:t>loadings</w:t>
      </w:r>
      <w:proofErr w:type="spellEnd"/>
      <w:r>
        <w:t xml:space="preserve"> = </w:t>
      </w:r>
      <w:proofErr w:type="spellStart"/>
      <w:r>
        <w:t>Soil</w:t>
      </w:r>
      <w:proofErr w:type="spellEnd"/>
      <w:r>
        <w:t xml:space="preserve"> </w:t>
      </w:r>
      <w:proofErr w:type="spellStart"/>
      <w:r>
        <w:t>erosion</w:t>
      </w:r>
      <w:proofErr w:type="spellEnd"/>
      <w:r>
        <w:t xml:space="preserve"> </w:t>
      </w:r>
      <w:proofErr w:type="spellStart"/>
      <w:r>
        <w:t>from</w:t>
      </w:r>
      <w:proofErr w:type="spellEnd"/>
      <w:r>
        <w:t xml:space="preserve"> EUROSTAT (</w:t>
      </w:r>
      <w:proofErr w:type="spellStart"/>
      <w:r>
        <w:t>tonnes</w:t>
      </w:r>
      <w:proofErr w:type="spellEnd"/>
      <w:r>
        <w:t xml:space="preserve">/ha) </w:t>
      </w:r>
      <w:r>
        <w:sym w:font="Symbol" w:char="F0B4"/>
      </w:r>
      <w:r>
        <w:t xml:space="preserve"> </w:t>
      </w:r>
      <w:proofErr w:type="spellStart"/>
      <w:r>
        <w:t>substance</w:t>
      </w:r>
      <w:proofErr w:type="spellEnd"/>
      <w:r>
        <w:t xml:space="preserve"> content in fine </w:t>
      </w:r>
      <w:proofErr w:type="spellStart"/>
      <w:r>
        <w:t>soil</w:t>
      </w:r>
      <w:proofErr w:type="spellEnd"/>
      <w:r>
        <w:t xml:space="preserve"> (mg/kg)</w:t>
      </w:r>
    </w:p>
    <w:p w14:paraId="4FD1FC40" w14:textId="77777777" w:rsidR="00606C26" w:rsidRPr="0056296D" w:rsidRDefault="00606C26" w:rsidP="009178BB">
      <w:pPr>
        <w:pStyle w:val="ListParagraph"/>
        <w:numPr>
          <w:ilvl w:val="0"/>
          <w:numId w:val="6"/>
        </w:numPr>
        <w:rPr>
          <w:lang w:val="en-US"/>
        </w:rPr>
      </w:pPr>
      <w:r w:rsidRPr="0056296D">
        <w:rPr>
          <w:b/>
          <w:bCs/>
          <w:u w:val="single"/>
          <w:lang w:val="en-US"/>
        </w:rPr>
        <w:t>Comment:</w:t>
      </w:r>
      <w:r w:rsidRPr="0056296D">
        <w:rPr>
          <w:lang w:val="en-US"/>
        </w:rPr>
        <w:t xml:space="preserve">  Since the substance content of the soil is likely to be a function of the chemical extraction protocol, guidance should be provided on the soil extraction </w:t>
      </w:r>
      <w:commentRangeStart w:id="94"/>
      <w:r w:rsidRPr="0056296D">
        <w:rPr>
          <w:lang w:val="en-US"/>
        </w:rPr>
        <w:t>procedure</w:t>
      </w:r>
      <w:commentRangeEnd w:id="94"/>
      <w:r w:rsidR="001F15C4">
        <w:rPr>
          <w:rStyle w:val="CommentReference"/>
        </w:rPr>
        <w:commentReference w:id="94"/>
      </w:r>
      <w:r w:rsidRPr="0056296D">
        <w:rPr>
          <w:lang w:val="en-US"/>
        </w:rPr>
        <w:t>.</w:t>
      </w:r>
    </w:p>
    <w:p w14:paraId="45C7130B" w14:textId="77777777" w:rsidR="00606C26" w:rsidRPr="0056296D" w:rsidRDefault="00606C26" w:rsidP="00606C26">
      <w:pPr>
        <w:rPr>
          <w:u w:val="single"/>
          <w:lang w:val="en-US"/>
        </w:rPr>
      </w:pPr>
      <w:r w:rsidRPr="0056296D">
        <w:rPr>
          <w:u w:val="single"/>
          <w:lang w:val="en-US"/>
        </w:rPr>
        <w:t>P3: Surface Water Runoff from Unsealed Areas</w:t>
      </w:r>
    </w:p>
    <w:p w14:paraId="01326724" w14:textId="77777777" w:rsidR="00606C26" w:rsidRPr="0056296D" w:rsidRDefault="00606C26" w:rsidP="009178BB">
      <w:pPr>
        <w:pStyle w:val="ListParagraph"/>
        <w:numPr>
          <w:ilvl w:val="0"/>
          <w:numId w:val="7"/>
        </w:numPr>
        <w:rPr>
          <w:lang w:val="en-US"/>
        </w:rPr>
      </w:pPr>
      <w:r w:rsidRPr="0056296D">
        <w:rPr>
          <w:lang w:val="en-US"/>
        </w:rPr>
        <w:t>For TN and TP, use JRC’s GREEN (Geospatial Regression Equation for European Natural) losses.</w:t>
      </w:r>
    </w:p>
    <w:p w14:paraId="05AB70E7" w14:textId="77777777" w:rsidR="00606C26" w:rsidRPr="0056296D" w:rsidRDefault="00606C26" w:rsidP="009178BB">
      <w:pPr>
        <w:pStyle w:val="ListParagraph"/>
        <w:numPr>
          <w:ilvl w:val="0"/>
          <w:numId w:val="7"/>
        </w:numPr>
        <w:rPr>
          <w:lang w:val="en-US"/>
        </w:rPr>
      </w:pPr>
      <w:r w:rsidRPr="0056296D">
        <w:rPr>
          <w:lang w:val="en-US"/>
        </w:rPr>
        <w:t>For metals, Source loadings = Manure application (</w:t>
      </w:r>
      <w:proofErr w:type="spellStart"/>
      <w:r w:rsidRPr="0056296D">
        <w:rPr>
          <w:lang w:val="en-US"/>
        </w:rPr>
        <w:t>tonnes</w:t>
      </w:r>
      <w:proofErr w:type="spellEnd"/>
      <w:r w:rsidRPr="0056296D">
        <w:rPr>
          <w:lang w:val="en-US"/>
        </w:rPr>
        <w:t>/</w:t>
      </w:r>
      <w:proofErr w:type="spellStart"/>
      <w:r w:rsidRPr="0056296D">
        <w:rPr>
          <w:lang w:val="en-US"/>
        </w:rPr>
        <w:t>yr</w:t>
      </w:r>
      <w:proofErr w:type="spellEnd"/>
      <w:r w:rsidRPr="0056296D">
        <w:rPr>
          <w:lang w:val="en-US"/>
        </w:rPr>
        <w:t xml:space="preserve">?) </w:t>
      </w:r>
      <w:r>
        <w:sym w:font="Symbol" w:char="F0B4"/>
      </w:r>
      <w:r w:rsidRPr="0056296D">
        <w:rPr>
          <w:lang w:val="en-US"/>
        </w:rPr>
        <w:t xml:space="preserve"> Mean metal content (mg/kg) </w:t>
      </w:r>
      <w:r>
        <w:sym w:font="Symbol" w:char="F0B4"/>
      </w:r>
      <w:r w:rsidRPr="0056296D">
        <w:rPr>
          <w:lang w:val="en-US"/>
        </w:rPr>
        <w:t xml:space="preserve"> Farmland seepage and </w:t>
      </w:r>
      <w:proofErr w:type="spellStart"/>
      <w:r w:rsidRPr="0056296D">
        <w:rPr>
          <w:lang w:val="en-US"/>
        </w:rPr>
        <w:t>spraydrift</w:t>
      </w:r>
      <w:proofErr w:type="spellEnd"/>
      <w:r w:rsidRPr="0056296D">
        <w:rPr>
          <w:lang w:val="en-US"/>
        </w:rPr>
        <w:t xml:space="preserve"> (%) </w:t>
      </w:r>
      <w:r>
        <w:sym w:font="Symbol" w:char="F0B4"/>
      </w:r>
      <w:r w:rsidRPr="0056296D">
        <w:rPr>
          <w:lang w:val="en-US"/>
        </w:rPr>
        <w:t xml:space="preserve"> Manure and fertilizer via runoff (%).</w:t>
      </w:r>
    </w:p>
    <w:p w14:paraId="1D16F077" w14:textId="77777777" w:rsidR="00606C26" w:rsidRPr="0056296D" w:rsidRDefault="00606C26" w:rsidP="009178BB">
      <w:pPr>
        <w:pStyle w:val="ListParagraph"/>
        <w:numPr>
          <w:ilvl w:val="0"/>
          <w:numId w:val="7"/>
        </w:numPr>
        <w:rPr>
          <w:lang w:val="en-US"/>
        </w:rPr>
      </w:pPr>
      <w:r w:rsidRPr="0056296D">
        <w:rPr>
          <w:lang w:val="en-US"/>
        </w:rPr>
        <w:lastRenderedPageBreak/>
        <w:t xml:space="preserve">Values for farmland seepage and </w:t>
      </w:r>
      <w:proofErr w:type="spellStart"/>
      <w:r w:rsidRPr="0056296D">
        <w:rPr>
          <w:lang w:val="en-US"/>
        </w:rPr>
        <w:t>spraydrift</w:t>
      </w:r>
      <w:proofErr w:type="spellEnd"/>
      <w:r w:rsidRPr="0056296D">
        <w:rPr>
          <w:lang w:val="en-US"/>
        </w:rPr>
        <w:t xml:space="preserve"> (%) are taken directly from Mohaupt et al. (2001) based on studies from the early 1990s.  I did not see any references in Mohaupt et al. (2001) for the manure and fertilizer via runoff percentages used in their studies.</w:t>
      </w:r>
    </w:p>
    <w:p w14:paraId="1413BA17" w14:textId="77777777" w:rsidR="00606C26" w:rsidRPr="0056296D" w:rsidRDefault="00606C26" w:rsidP="009178BB">
      <w:pPr>
        <w:pStyle w:val="ListParagraph"/>
        <w:numPr>
          <w:ilvl w:val="0"/>
          <w:numId w:val="7"/>
        </w:numPr>
        <w:rPr>
          <w:lang w:val="en-US"/>
        </w:rPr>
      </w:pPr>
      <w:r w:rsidRPr="0056296D">
        <w:rPr>
          <w:b/>
          <w:u w:val="single"/>
          <w:lang w:val="en-US"/>
        </w:rPr>
        <w:t>Comment</w:t>
      </w:r>
      <w:r w:rsidRPr="0056296D">
        <w:rPr>
          <w:lang w:val="en-US"/>
        </w:rPr>
        <w:t xml:space="preserve">:  In addition to substance content data (Discussion point 8), the authors should also consider the availability of more recent data on farmland seepage and </w:t>
      </w:r>
      <w:proofErr w:type="spellStart"/>
      <w:r w:rsidRPr="0056296D">
        <w:rPr>
          <w:lang w:val="en-US"/>
        </w:rPr>
        <w:t>spraydrift</w:t>
      </w:r>
      <w:proofErr w:type="spellEnd"/>
      <w:r w:rsidRPr="0056296D">
        <w:rPr>
          <w:lang w:val="en-US"/>
        </w:rPr>
        <w:t xml:space="preserve"> (%) and manure and fertilizer via </w:t>
      </w:r>
      <w:commentRangeStart w:id="95"/>
      <w:r w:rsidRPr="0056296D">
        <w:rPr>
          <w:lang w:val="en-US"/>
        </w:rPr>
        <w:t>runoff</w:t>
      </w:r>
      <w:commentRangeEnd w:id="95"/>
      <w:r w:rsidR="001F15C4">
        <w:rPr>
          <w:rStyle w:val="CommentReference"/>
        </w:rPr>
        <w:commentReference w:id="95"/>
      </w:r>
      <w:r w:rsidRPr="0056296D">
        <w:rPr>
          <w:lang w:val="en-US"/>
        </w:rPr>
        <w:t xml:space="preserve"> (%).</w:t>
      </w:r>
    </w:p>
    <w:p w14:paraId="53D6C907" w14:textId="77777777" w:rsidR="00606C26" w:rsidRPr="0056296D" w:rsidRDefault="00606C26" w:rsidP="00606C26">
      <w:pPr>
        <w:rPr>
          <w:u w:val="single"/>
          <w:lang w:val="en-US"/>
        </w:rPr>
      </w:pPr>
      <w:r w:rsidRPr="0056296D">
        <w:rPr>
          <w:u w:val="single"/>
          <w:lang w:val="en-US"/>
        </w:rPr>
        <w:t>P4: Interflow, Tile Drainage and Groundwater</w:t>
      </w:r>
    </w:p>
    <w:p w14:paraId="71EAEA5E" w14:textId="77777777" w:rsidR="00606C26" w:rsidRPr="0056296D" w:rsidRDefault="00606C26" w:rsidP="009178BB">
      <w:pPr>
        <w:pStyle w:val="ListParagraph"/>
        <w:numPr>
          <w:ilvl w:val="0"/>
          <w:numId w:val="8"/>
        </w:numPr>
        <w:rPr>
          <w:lang w:val="en-US"/>
        </w:rPr>
      </w:pPr>
      <w:r w:rsidRPr="0056296D">
        <w:rPr>
          <w:lang w:val="en-US"/>
        </w:rPr>
        <w:t>This category focuses on leaching of substances from unsealed areas through groundwater.</w:t>
      </w:r>
    </w:p>
    <w:p w14:paraId="5C2E11FB" w14:textId="77777777" w:rsidR="00606C26" w:rsidRPr="0056296D" w:rsidRDefault="00606C26" w:rsidP="009178BB">
      <w:pPr>
        <w:pStyle w:val="ListParagraph"/>
        <w:numPr>
          <w:ilvl w:val="0"/>
          <w:numId w:val="8"/>
        </w:numPr>
        <w:rPr>
          <w:lang w:val="en-US"/>
        </w:rPr>
      </w:pPr>
      <w:r w:rsidRPr="0056296D">
        <w:rPr>
          <w:lang w:val="en-US"/>
        </w:rPr>
        <w:t>For TN and TP, use JRC’s GREEN (Geospatial Regression Equation for European Natural) losses.</w:t>
      </w:r>
    </w:p>
    <w:p w14:paraId="6E74B182" w14:textId="77777777" w:rsidR="00606C26" w:rsidRPr="0056296D" w:rsidRDefault="00606C26" w:rsidP="009178BB">
      <w:pPr>
        <w:pStyle w:val="ListParagraph"/>
        <w:numPr>
          <w:ilvl w:val="0"/>
          <w:numId w:val="8"/>
        </w:numPr>
        <w:rPr>
          <w:lang w:val="en-US"/>
        </w:rPr>
      </w:pPr>
      <w:r w:rsidRPr="0056296D">
        <w:rPr>
          <w:lang w:val="en-US"/>
        </w:rPr>
        <w:t>For metals, Source loadings = Manure application (</w:t>
      </w:r>
      <w:proofErr w:type="spellStart"/>
      <w:r w:rsidRPr="0056296D">
        <w:rPr>
          <w:lang w:val="en-US"/>
        </w:rPr>
        <w:t>tonnes</w:t>
      </w:r>
      <w:proofErr w:type="spellEnd"/>
      <w:r w:rsidRPr="0056296D">
        <w:rPr>
          <w:lang w:val="en-US"/>
        </w:rPr>
        <w:t>/</w:t>
      </w:r>
      <w:proofErr w:type="spellStart"/>
      <w:r w:rsidRPr="0056296D">
        <w:rPr>
          <w:lang w:val="en-US"/>
        </w:rPr>
        <w:t>yr</w:t>
      </w:r>
      <w:proofErr w:type="spellEnd"/>
      <w:r w:rsidRPr="0056296D">
        <w:rPr>
          <w:lang w:val="en-US"/>
        </w:rPr>
        <w:t xml:space="preserve">?) </w:t>
      </w:r>
      <w:r>
        <w:sym w:font="Symbol" w:char="F0B4"/>
      </w:r>
      <w:r w:rsidRPr="0056296D">
        <w:rPr>
          <w:lang w:val="en-US"/>
        </w:rPr>
        <w:t xml:space="preserve"> Mean metal content (mg/kg)</w:t>
      </w:r>
    </w:p>
    <w:p w14:paraId="0DCAB494" w14:textId="77777777" w:rsidR="00606C26" w:rsidRPr="0056296D" w:rsidRDefault="00606C26" w:rsidP="009178BB">
      <w:pPr>
        <w:pStyle w:val="ListParagraph"/>
        <w:numPr>
          <w:ilvl w:val="0"/>
          <w:numId w:val="8"/>
        </w:numPr>
        <w:rPr>
          <w:lang w:val="en-US"/>
        </w:rPr>
      </w:pPr>
      <w:r w:rsidRPr="0056296D">
        <w:rPr>
          <w:b/>
          <w:u w:val="single"/>
          <w:lang w:val="en-US"/>
        </w:rPr>
        <w:t>Comment</w:t>
      </w:r>
      <w:r w:rsidRPr="0056296D">
        <w:rPr>
          <w:lang w:val="en-US"/>
        </w:rPr>
        <w:t xml:space="preserve">:  There is no consideration of retention of any of the substances (TN, TP, metals, PAHs) by soil during groundwater transport.  The 2012 ETAP IOC on ‘multi‐compartmental fate of metals’ was focused on this particular issue.  The inclusion of a percent removal in the groundwater compartment should be included in the calculation.  We should review the 2012 ETAP IOC on ‘multi-compartment fate of metals’ for possible </w:t>
      </w:r>
      <w:commentRangeStart w:id="96"/>
      <w:r w:rsidRPr="0056296D">
        <w:rPr>
          <w:lang w:val="en-US"/>
        </w:rPr>
        <w:t>approaches</w:t>
      </w:r>
      <w:commentRangeEnd w:id="96"/>
      <w:r w:rsidR="001F15C4">
        <w:rPr>
          <w:rStyle w:val="CommentReference"/>
        </w:rPr>
        <w:commentReference w:id="96"/>
      </w:r>
      <w:r w:rsidRPr="0056296D">
        <w:rPr>
          <w:lang w:val="en-US"/>
        </w:rPr>
        <w:t>.</w:t>
      </w:r>
    </w:p>
    <w:p w14:paraId="347E380E" w14:textId="77777777" w:rsidR="00606C26" w:rsidRPr="001541E0" w:rsidRDefault="00606C26" w:rsidP="00606C26">
      <w:pPr>
        <w:rPr>
          <w:u w:val="single"/>
        </w:rPr>
      </w:pPr>
      <w:r w:rsidRPr="001541E0">
        <w:rPr>
          <w:u w:val="single"/>
        </w:rPr>
        <w:t xml:space="preserve">P5: Direct Discharges </w:t>
      </w:r>
      <w:proofErr w:type="spellStart"/>
      <w:r w:rsidRPr="001541E0">
        <w:rPr>
          <w:u w:val="single"/>
        </w:rPr>
        <w:t>and</w:t>
      </w:r>
      <w:proofErr w:type="spellEnd"/>
      <w:r w:rsidRPr="001541E0">
        <w:rPr>
          <w:u w:val="single"/>
        </w:rPr>
        <w:t xml:space="preserve"> </w:t>
      </w:r>
      <w:proofErr w:type="spellStart"/>
      <w:r w:rsidRPr="001541E0">
        <w:rPr>
          <w:u w:val="single"/>
        </w:rPr>
        <w:t>Drifting</w:t>
      </w:r>
      <w:proofErr w:type="spellEnd"/>
    </w:p>
    <w:p w14:paraId="693943F4" w14:textId="77777777" w:rsidR="00606C26" w:rsidRPr="0056296D" w:rsidRDefault="00606C26" w:rsidP="009178BB">
      <w:pPr>
        <w:pStyle w:val="ListParagraph"/>
        <w:numPr>
          <w:ilvl w:val="0"/>
          <w:numId w:val="9"/>
        </w:numPr>
        <w:rPr>
          <w:lang w:val="en-US"/>
        </w:rPr>
      </w:pPr>
      <w:r w:rsidRPr="0056296D">
        <w:rPr>
          <w:lang w:val="en-US"/>
        </w:rPr>
        <w:t>No quantification method for TN, TP and metals are provided.</w:t>
      </w:r>
    </w:p>
    <w:p w14:paraId="54F0E3CC" w14:textId="77777777" w:rsidR="00606C26" w:rsidRPr="0056296D" w:rsidRDefault="00606C26" w:rsidP="00606C26">
      <w:pPr>
        <w:rPr>
          <w:u w:val="single"/>
          <w:lang w:val="en-US"/>
        </w:rPr>
      </w:pPr>
      <w:r w:rsidRPr="0056296D">
        <w:rPr>
          <w:u w:val="single"/>
          <w:lang w:val="en-US"/>
        </w:rPr>
        <w:t>P6: Surface Runoff from Sealed Area</w:t>
      </w:r>
    </w:p>
    <w:p w14:paraId="385FE220" w14:textId="77777777" w:rsidR="00606C26" w:rsidRDefault="00606C26" w:rsidP="009178BB">
      <w:pPr>
        <w:pStyle w:val="ListParagraph"/>
        <w:numPr>
          <w:ilvl w:val="0"/>
          <w:numId w:val="10"/>
        </w:numPr>
      </w:pPr>
      <w:r>
        <w:t xml:space="preserve">No </w:t>
      </w:r>
      <w:proofErr w:type="spellStart"/>
      <w:r>
        <w:t>methodology</w:t>
      </w:r>
      <w:proofErr w:type="spellEnd"/>
      <w:r>
        <w:t xml:space="preserve"> is </w:t>
      </w:r>
      <w:proofErr w:type="spellStart"/>
      <w:r>
        <w:t>provided</w:t>
      </w:r>
      <w:proofErr w:type="spellEnd"/>
      <w:r>
        <w:t>.</w:t>
      </w:r>
    </w:p>
    <w:p w14:paraId="5172B75F" w14:textId="77777777" w:rsidR="00606C26" w:rsidRPr="0056296D" w:rsidRDefault="00606C26" w:rsidP="009178BB">
      <w:pPr>
        <w:pStyle w:val="ListParagraph"/>
        <w:numPr>
          <w:ilvl w:val="0"/>
          <w:numId w:val="10"/>
        </w:numPr>
        <w:rPr>
          <w:lang w:val="en-US"/>
        </w:rPr>
      </w:pPr>
      <w:r w:rsidRPr="0056296D">
        <w:rPr>
          <w:b/>
          <w:u w:val="single"/>
          <w:lang w:val="en-US"/>
        </w:rPr>
        <w:t>Comment</w:t>
      </w:r>
      <w:r w:rsidRPr="0056296D">
        <w:rPr>
          <w:lang w:val="en-US"/>
        </w:rPr>
        <w:t xml:space="preserve">: For Discussion Point 10, you could first collect information to determine if this pathway is </w:t>
      </w:r>
      <w:commentRangeStart w:id="97"/>
      <w:r w:rsidRPr="0056296D">
        <w:rPr>
          <w:lang w:val="en-US"/>
        </w:rPr>
        <w:t>important</w:t>
      </w:r>
      <w:commentRangeEnd w:id="97"/>
      <w:r w:rsidR="001F15C4">
        <w:rPr>
          <w:rStyle w:val="CommentReference"/>
        </w:rPr>
        <w:commentReference w:id="97"/>
      </w:r>
      <w:r w:rsidRPr="0056296D">
        <w:rPr>
          <w:lang w:val="en-US"/>
        </w:rPr>
        <w:t>.</w:t>
      </w:r>
    </w:p>
    <w:p w14:paraId="38F197DF" w14:textId="77777777" w:rsidR="00606C26" w:rsidRPr="0056296D" w:rsidRDefault="00606C26" w:rsidP="00606C26">
      <w:pPr>
        <w:rPr>
          <w:u w:val="single"/>
          <w:lang w:val="en-US"/>
        </w:rPr>
      </w:pPr>
      <w:r w:rsidRPr="0056296D">
        <w:rPr>
          <w:u w:val="single"/>
          <w:lang w:val="en-US"/>
        </w:rPr>
        <w:t>P7: Storm Water Outlets and CSOs + unconnected sewers</w:t>
      </w:r>
    </w:p>
    <w:p w14:paraId="275C101E" w14:textId="77777777" w:rsidR="00606C26" w:rsidRPr="0056296D" w:rsidRDefault="00606C26" w:rsidP="009178BB">
      <w:pPr>
        <w:pStyle w:val="ListParagraph"/>
        <w:numPr>
          <w:ilvl w:val="0"/>
          <w:numId w:val="11"/>
        </w:numPr>
        <w:rPr>
          <w:lang w:val="en-US"/>
        </w:rPr>
      </w:pPr>
      <w:r w:rsidRPr="0056296D">
        <w:rPr>
          <w:lang w:val="en-US"/>
        </w:rPr>
        <w:t>For storm water outlets:  Source loadings = Paved urban area (km</w:t>
      </w:r>
      <w:r w:rsidRPr="0056296D">
        <w:rPr>
          <w:vertAlign w:val="superscript"/>
          <w:lang w:val="en-US"/>
        </w:rPr>
        <w:t>2</w:t>
      </w:r>
      <w:r w:rsidRPr="0056296D">
        <w:rPr>
          <w:lang w:val="en-US"/>
        </w:rPr>
        <w:t xml:space="preserve">) </w:t>
      </w:r>
      <w:r>
        <w:sym w:font="Symbol" w:char="F0B4"/>
      </w:r>
      <w:r w:rsidRPr="0056296D">
        <w:rPr>
          <w:lang w:val="en-US"/>
        </w:rPr>
        <w:t xml:space="preserve"> Mean metal concentration (</w:t>
      </w:r>
      <w:r>
        <w:sym w:font="Symbol" w:char="F06D"/>
      </w:r>
      <w:r w:rsidRPr="0056296D">
        <w:rPr>
          <w:lang w:val="en-US"/>
        </w:rPr>
        <w:t xml:space="preserve">g/L) </w:t>
      </w:r>
      <w:r>
        <w:sym w:font="Symbol" w:char="F0B4"/>
      </w:r>
      <w:r w:rsidRPr="0056296D">
        <w:rPr>
          <w:lang w:val="en-US"/>
        </w:rPr>
        <w:t xml:space="preserve"> Precipitation (mm/</w:t>
      </w:r>
      <w:proofErr w:type="spellStart"/>
      <w:r w:rsidRPr="0056296D">
        <w:rPr>
          <w:lang w:val="en-US"/>
        </w:rPr>
        <w:t>yr</w:t>
      </w:r>
      <w:proofErr w:type="spellEnd"/>
      <w:r w:rsidRPr="0056296D">
        <w:rPr>
          <w:lang w:val="en-US"/>
        </w:rPr>
        <w:t xml:space="preserve">) </w:t>
      </w:r>
      <w:r>
        <w:sym w:font="Symbol" w:char="F0B4"/>
      </w:r>
      <w:r w:rsidRPr="0056296D">
        <w:rPr>
          <w:lang w:val="en-US"/>
        </w:rPr>
        <w:t xml:space="preserve"> area with separate sewers (%) </w:t>
      </w:r>
      <w:r>
        <w:sym w:font="Symbol" w:char="F0B4"/>
      </w:r>
      <w:r w:rsidRPr="0056296D">
        <w:rPr>
          <w:lang w:val="en-US"/>
        </w:rPr>
        <w:t xml:space="preserve"> Specific runoff (%).  [I am assuming this last term represents the percentage of the total rainfall that makes it to the storm water collection system.]</w:t>
      </w:r>
    </w:p>
    <w:p w14:paraId="11E31B07" w14:textId="77777777" w:rsidR="00606C26" w:rsidRPr="0056296D" w:rsidRDefault="00606C26" w:rsidP="009178BB">
      <w:pPr>
        <w:pStyle w:val="ListParagraph"/>
        <w:numPr>
          <w:ilvl w:val="0"/>
          <w:numId w:val="11"/>
        </w:numPr>
        <w:rPr>
          <w:lang w:val="en-US"/>
        </w:rPr>
      </w:pPr>
      <w:r w:rsidRPr="0056296D">
        <w:rPr>
          <w:lang w:val="en-US"/>
        </w:rPr>
        <w:t xml:space="preserve">For CSOs:  no method is provided.  </w:t>
      </w:r>
    </w:p>
    <w:p w14:paraId="5090A3FF" w14:textId="77777777" w:rsidR="00606C26" w:rsidRPr="0056296D" w:rsidRDefault="00606C26" w:rsidP="009178BB">
      <w:pPr>
        <w:pStyle w:val="ListParagraph"/>
        <w:numPr>
          <w:ilvl w:val="0"/>
          <w:numId w:val="11"/>
        </w:numPr>
        <w:rPr>
          <w:lang w:val="en-US"/>
        </w:rPr>
      </w:pPr>
      <w:r w:rsidRPr="0056296D">
        <w:rPr>
          <w:b/>
          <w:u w:val="single"/>
          <w:lang w:val="en-US"/>
        </w:rPr>
        <w:t>Comment</w:t>
      </w:r>
      <w:r w:rsidRPr="0056296D">
        <w:rPr>
          <w:lang w:val="en-US"/>
        </w:rPr>
        <w:t>:  Combined sewer overflows typically occur when the rainfall intensity exceeds a prescribed threshold (based on a design flow capacity for an UWWTP).  One approach for estimating annual CSO flows would be to examine the rainfall data record and identify days or hours when the rainfall intensity exceeded some threshold level.  The source loading could then be estimated from an Annual CSO flow (m</w:t>
      </w:r>
      <w:r w:rsidRPr="0056296D">
        <w:rPr>
          <w:vertAlign w:val="superscript"/>
          <w:lang w:val="en-US"/>
        </w:rPr>
        <w:t>3</w:t>
      </w:r>
      <w:r w:rsidRPr="0056296D">
        <w:rPr>
          <w:lang w:val="en-US"/>
        </w:rPr>
        <w:t>/</w:t>
      </w:r>
      <w:proofErr w:type="spellStart"/>
      <w:r w:rsidRPr="0056296D">
        <w:rPr>
          <w:lang w:val="en-US"/>
        </w:rPr>
        <w:t>yr</w:t>
      </w:r>
      <w:proofErr w:type="spellEnd"/>
      <w:r w:rsidRPr="0056296D">
        <w:rPr>
          <w:lang w:val="en-US"/>
        </w:rPr>
        <w:t xml:space="preserve">) </w:t>
      </w:r>
      <w:r>
        <w:sym w:font="Symbol" w:char="F0B4"/>
      </w:r>
      <w:r w:rsidRPr="0056296D">
        <w:rPr>
          <w:lang w:val="en-US"/>
        </w:rPr>
        <w:t xml:space="preserve"> Mean metal concentration (</w:t>
      </w:r>
      <w:r>
        <w:sym w:font="Symbol" w:char="F06D"/>
      </w:r>
      <w:r w:rsidRPr="0056296D">
        <w:rPr>
          <w:lang w:val="en-US"/>
        </w:rPr>
        <w:t>g/</w:t>
      </w:r>
      <w:commentRangeStart w:id="98"/>
      <w:r w:rsidRPr="0056296D">
        <w:rPr>
          <w:lang w:val="en-US"/>
        </w:rPr>
        <w:t>L</w:t>
      </w:r>
      <w:commentRangeEnd w:id="98"/>
      <w:r w:rsidR="001F15C4">
        <w:rPr>
          <w:rStyle w:val="CommentReference"/>
        </w:rPr>
        <w:commentReference w:id="98"/>
      </w:r>
      <w:r w:rsidRPr="0056296D">
        <w:rPr>
          <w:lang w:val="en-US"/>
        </w:rPr>
        <w:t xml:space="preserve">). </w:t>
      </w:r>
    </w:p>
    <w:p w14:paraId="57F06047" w14:textId="77777777" w:rsidR="00606C26" w:rsidRPr="0056296D" w:rsidRDefault="00606C26" w:rsidP="009178BB">
      <w:pPr>
        <w:pStyle w:val="ListParagraph"/>
        <w:numPr>
          <w:ilvl w:val="0"/>
          <w:numId w:val="11"/>
        </w:numPr>
        <w:rPr>
          <w:lang w:val="en-US"/>
        </w:rPr>
      </w:pPr>
      <w:r w:rsidRPr="0056296D">
        <w:rPr>
          <w:lang w:val="en-US"/>
        </w:rPr>
        <w:t xml:space="preserve">For unconnected sewers:  Source loading = Load entering an UWWTPs (population equivalents) </w:t>
      </w:r>
      <w:r>
        <w:sym w:font="Symbol" w:char="F0B4"/>
      </w:r>
      <w:r w:rsidRPr="0056296D">
        <w:rPr>
          <w:lang w:val="en-US"/>
        </w:rPr>
        <w:t xml:space="preserve">  Mean metal concentration in sewer and treatment plant overflows (ug/L).</w:t>
      </w:r>
    </w:p>
    <w:p w14:paraId="3BAA5A30" w14:textId="77777777" w:rsidR="00606C26" w:rsidRPr="0056296D" w:rsidRDefault="00606C26" w:rsidP="009178BB">
      <w:pPr>
        <w:pStyle w:val="ListParagraph"/>
        <w:numPr>
          <w:ilvl w:val="0"/>
          <w:numId w:val="11"/>
        </w:numPr>
        <w:rPr>
          <w:lang w:val="en-US"/>
        </w:rPr>
      </w:pPr>
      <w:r w:rsidRPr="0056296D">
        <w:rPr>
          <w:b/>
          <w:u w:val="single"/>
          <w:lang w:val="en-US"/>
        </w:rPr>
        <w:t>Comment</w:t>
      </w:r>
      <w:r w:rsidRPr="0056296D">
        <w:rPr>
          <w:lang w:val="en-US"/>
        </w:rPr>
        <w:t>:  The source loading formula (and units) for unconnected sewers does not make sense.  If you are using population equivalents as the Activity Rate (AR), the Emissions rate (EF) should be given in a sewage-specific loading rate (e.g., in g/</w:t>
      </w:r>
      <w:proofErr w:type="spellStart"/>
      <w:r w:rsidRPr="0056296D">
        <w:rPr>
          <w:lang w:val="en-US"/>
        </w:rPr>
        <w:t>p.e.</w:t>
      </w:r>
      <w:proofErr w:type="spellEnd"/>
      <w:r w:rsidRPr="0056296D">
        <w:rPr>
          <w:lang w:val="en-US"/>
        </w:rPr>
        <w:t>/</w:t>
      </w:r>
      <w:commentRangeStart w:id="99"/>
      <w:proofErr w:type="spellStart"/>
      <w:r w:rsidRPr="0056296D">
        <w:rPr>
          <w:lang w:val="en-US"/>
        </w:rPr>
        <w:t>yr</w:t>
      </w:r>
      <w:commentRangeEnd w:id="99"/>
      <w:proofErr w:type="spellEnd"/>
      <w:r w:rsidR="001F15C4">
        <w:rPr>
          <w:rStyle w:val="CommentReference"/>
        </w:rPr>
        <w:commentReference w:id="99"/>
      </w:r>
      <w:r w:rsidRPr="0056296D">
        <w:rPr>
          <w:lang w:val="en-US"/>
        </w:rPr>
        <w:t>).</w:t>
      </w:r>
    </w:p>
    <w:p w14:paraId="1152A77A" w14:textId="77777777" w:rsidR="00606C26" w:rsidRPr="00D10E14" w:rsidRDefault="00606C26" w:rsidP="00606C26">
      <w:pPr>
        <w:rPr>
          <w:u w:val="single"/>
        </w:rPr>
      </w:pPr>
      <w:r w:rsidRPr="00D10E14">
        <w:rPr>
          <w:u w:val="single"/>
        </w:rPr>
        <w:t xml:space="preserve">P8:  Urban Waste Water </w:t>
      </w:r>
      <w:proofErr w:type="spellStart"/>
      <w:r w:rsidRPr="00D10E14">
        <w:rPr>
          <w:u w:val="single"/>
        </w:rPr>
        <w:t>Treated</w:t>
      </w:r>
      <w:proofErr w:type="spellEnd"/>
    </w:p>
    <w:p w14:paraId="2AEFA41A" w14:textId="77777777" w:rsidR="00606C26" w:rsidRPr="0056296D" w:rsidRDefault="00606C26" w:rsidP="009178BB">
      <w:pPr>
        <w:pStyle w:val="ListParagraph"/>
        <w:numPr>
          <w:ilvl w:val="0"/>
          <w:numId w:val="12"/>
        </w:numPr>
        <w:rPr>
          <w:lang w:val="en-US"/>
        </w:rPr>
      </w:pPr>
      <w:r w:rsidRPr="0056296D">
        <w:rPr>
          <w:lang w:val="en-US"/>
        </w:rPr>
        <w:t xml:space="preserve">For UWWTPS greater than 100 000 </w:t>
      </w:r>
      <w:proofErr w:type="spellStart"/>
      <w:r w:rsidRPr="0056296D">
        <w:rPr>
          <w:lang w:val="en-US"/>
        </w:rPr>
        <w:t>p.e.</w:t>
      </w:r>
      <w:proofErr w:type="spellEnd"/>
      <w:r w:rsidRPr="0056296D">
        <w:rPr>
          <w:lang w:val="en-US"/>
        </w:rPr>
        <w:t>:  Use E-PRTR reported loads.</w:t>
      </w:r>
    </w:p>
    <w:p w14:paraId="46773670" w14:textId="77777777" w:rsidR="00606C26" w:rsidRPr="0056296D" w:rsidRDefault="00606C26" w:rsidP="009178BB">
      <w:pPr>
        <w:pStyle w:val="ListParagraph"/>
        <w:numPr>
          <w:ilvl w:val="0"/>
          <w:numId w:val="12"/>
        </w:numPr>
        <w:rPr>
          <w:lang w:val="en-US"/>
        </w:rPr>
      </w:pPr>
      <w:r w:rsidRPr="0056296D">
        <w:rPr>
          <w:lang w:val="en-US"/>
        </w:rPr>
        <w:lastRenderedPageBreak/>
        <w:t xml:space="preserve">For UWWPTs less than 100 000 </w:t>
      </w:r>
      <w:proofErr w:type="spellStart"/>
      <w:r w:rsidRPr="0056296D">
        <w:rPr>
          <w:lang w:val="en-US"/>
        </w:rPr>
        <w:t>p.e.</w:t>
      </w:r>
      <w:proofErr w:type="spellEnd"/>
      <w:r w:rsidRPr="0056296D">
        <w:rPr>
          <w:lang w:val="en-US"/>
        </w:rPr>
        <w:t xml:space="preserve"> and for UWWTPs greater than 100 000 </w:t>
      </w:r>
      <w:proofErr w:type="spellStart"/>
      <w:r w:rsidRPr="0056296D">
        <w:rPr>
          <w:lang w:val="en-US"/>
        </w:rPr>
        <w:t>p.e.</w:t>
      </w:r>
      <w:proofErr w:type="spellEnd"/>
      <w:r w:rsidRPr="0056296D">
        <w:rPr>
          <w:lang w:val="en-US"/>
        </w:rPr>
        <w:t xml:space="preserve"> but missing information:  Source loading = Load entering the UWWTPs (</w:t>
      </w:r>
      <w:proofErr w:type="spellStart"/>
      <w:r w:rsidRPr="0056296D">
        <w:rPr>
          <w:lang w:val="en-US"/>
        </w:rPr>
        <w:t>p.e.</w:t>
      </w:r>
      <w:proofErr w:type="spellEnd"/>
      <w:r w:rsidRPr="0056296D">
        <w:rPr>
          <w:lang w:val="en-US"/>
        </w:rPr>
        <w:t xml:space="preserve">) </w:t>
      </w:r>
      <w:r>
        <w:sym w:font="Symbol" w:char="F0B4"/>
      </w:r>
      <w:r w:rsidRPr="0056296D">
        <w:rPr>
          <w:lang w:val="en-US"/>
        </w:rPr>
        <w:t xml:space="preserve"> Treatment-specific effluent load (g/</w:t>
      </w:r>
      <w:proofErr w:type="spellStart"/>
      <w:r w:rsidRPr="0056296D">
        <w:rPr>
          <w:lang w:val="en-US"/>
        </w:rPr>
        <w:t>p.e.</w:t>
      </w:r>
      <w:proofErr w:type="spellEnd"/>
      <w:r w:rsidRPr="0056296D">
        <w:rPr>
          <w:lang w:val="en-US"/>
        </w:rPr>
        <w:t>).  On the ‘EF’ tab, effluent loads are specified separately for primary, secondary and tertiary treatment.</w:t>
      </w:r>
    </w:p>
    <w:p w14:paraId="66703AFB" w14:textId="77777777" w:rsidR="00606C26" w:rsidRPr="0056296D" w:rsidRDefault="00606C26" w:rsidP="009178BB">
      <w:pPr>
        <w:pStyle w:val="ListParagraph"/>
        <w:numPr>
          <w:ilvl w:val="0"/>
          <w:numId w:val="12"/>
        </w:numPr>
        <w:rPr>
          <w:lang w:val="en-US"/>
        </w:rPr>
      </w:pPr>
      <w:r w:rsidRPr="0056296D">
        <w:rPr>
          <w:b/>
          <w:u w:val="single"/>
          <w:lang w:val="en-US"/>
        </w:rPr>
        <w:t>Comment</w:t>
      </w:r>
      <w:r w:rsidRPr="0056296D">
        <w:rPr>
          <w:lang w:val="en-US"/>
        </w:rPr>
        <w:t xml:space="preserve">:  For completeness, a row should be added for UWWTPS greater than 100 000 </w:t>
      </w:r>
      <w:proofErr w:type="spellStart"/>
      <w:r w:rsidRPr="0056296D">
        <w:rPr>
          <w:lang w:val="en-US"/>
        </w:rPr>
        <w:t>p.e.</w:t>
      </w:r>
      <w:proofErr w:type="spellEnd"/>
      <w:r w:rsidRPr="0056296D">
        <w:rPr>
          <w:lang w:val="en-US"/>
        </w:rPr>
        <w:t xml:space="preserve"> on the ‘Formula’ </w:t>
      </w:r>
      <w:commentRangeStart w:id="100"/>
      <w:r w:rsidRPr="0056296D">
        <w:rPr>
          <w:lang w:val="en-US"/>
        </w:rPr>
        <w:t>tab</w:t>
      </w:r>
      <w:commentRangeEnd w:id="100"/>
      <w:r w:rsidR="001F15C4">
        <w:rPr>
          <w:rStyle w:val="CommentReference"/>
        </w:rPr>
        <w:commentReference w:id="100"/>
      </w:r>
      <w:r w:rsidRPr="0056296D">
        <w:rPr>
          <w:lang w:val="en-US"/>
        </w:rPr>
        <w:t xml:space="preserve">. </w:t>
      </w:r>
    </w:p>
    <w:p w14:paraId="7A939648" w14:textId="77777777" w:rsidR="00606C26" w:rsidRPr="0056296D" w:rsidRDefault="00606C26" w:rsidP="009178BB">
      <w:pPr>
        <w:pStyle w:val="ListParagraph"/>
        <w:numPr>
          <w:ilvl w:val="0"/>
          <w:numId w:val="12"/>
        </w:numPr>
        <w:rPr>
          <w:lang w:val="en-US"/>
        </w:rPr>
      </w:pPr>
      <w:r w:rsidRPr="0056296D">
        <w:rPr>
          <w:b/>
          <w:lang w:val="en-US"/>
        </w:rPr>
        <w:t>Comment</w:t>
      </w:r>
      <w:r w:rsidRPr="0056296D">
        <w:rPr>
          <w:lang w:val="en-US"/>
        </w:rPr>
        <w:t xml:space="preserve">:  It may be appropriate to divided tertiary treatment into ‘Advanced N removal’ and ‘Advanced P </w:t>
      </w:r>
      <w:commentRangeStart w:id="101"/>
      <w:r w:rsidRPr="0056296D">
        <w:rPr>
          <w:lang w:val="en-US"/>
        </w:rPr>
        <w:t>removal</w:t>
      </w:r>
      <w:commentRangeEnd w:id="101"/>
      <w:r w:rsidR="001F15C4">
        <w:rPr>
          <w:rStyle w:val="CommentReference"/>
        </w:rPr>
        <w:commentReference w:id="101"/>
      </w:r>
      <w:r w:rsidRPr="0056296D">
        <w:rPr>
          <w:lang w:val="en-US"/>
        </w:rPr>
        <w:t>.</w:t>
      </w:r>
    </w:p>
    <w:p w14:paraId="0AF945F7" w14:textId="77777777" w:rsidR="00606C26" w:rsidRPr="0056296D" w:rsidRDefault="00606C26" w:rsidP="009178BB">
      <w:pPr>
        <w:pStyle w:val="ListParagraph"/>
        <w:numPr>
          <w:ilvl w:val="0"/>
          <w:numId w:val="12"/>
        </w:numPr>
        <w:rPr>
          <w:lang w:val="en-US"/>
        </w:rPr>
      </w:pPr>
      <w:r w:rsidRPr="0056296D">
        <w:rPr>
          <w:b/>
          <w:lang w:val="en-US"/>
        </w:rPr>
        <w:t>Comment</w:t>
      </w:r>
      <w:r w:rsidRPr="0056296D">
        <w:rPr>
          <w:lang w:val="en-US"/>
        </w:rPr>
        <w:t>:  We should compare the treatment-specific effluent loads (g/</w:t>
      </w:r>
      <w:proofErr w:type="spellStart"/>
      <w:r w:rsidRPr="0056296D">
        <w:rPr>
          <w:lang w:val="en-US"/>
        </w:rPr>
        <w:t>p.e.</w:t>
      </w:r>
      <w:proofErr w:type="spellEnd"/>
      <w:r w:rsidRPr="0056296D">
        <w:rPr>
          <w:lang w:val="en-US"/>
        </w:rPr>
        <w:t xml:space="preserve">) on the ‘EF’ tab to values that we derived from information in the 2019 ETAP IOC on ‘metal removal in </w:t>
      </w:r>
      <w:commentRangeStart w:id="102"/>
      <w:r w:rsidRPr="0056296D">
        <w:rPr>
          <w:lang w:val="en-US"/>
        </w:rPr>
        <w:t>STPs</w:t>
      </w:r>
      <w:commentRangeEnd w:id="102"/>
      <w:r w:rsidR="001F15C4">
        <w:rPr>
          <w:rStyle w:val="CommentReference"/>
        </w:rPr>
        <w:commentReference w:id="102"/>
      </w:r>
      <w:r w:rsidRPr="0056296D">
        <w:rPr>
          <w:lang w:val="en-US"/>
        </w:rPr>
        <w:t>’.</w:t>
      </w:r>
    </w:p>
    <w:p w14:paraId="17FDC74F" w14:textId="77777777" w:rsidR="00606C26" w:rsidRPr="0056296D" w:rsidRDefault="00606C26" w:rsidP="00606C26">
      <w:pPr>
        <w:rPr>
          <w:u w:val="single"/>
          <w:lang w:val="en-US"/>
        </w:rPr>
      </w:pPr>
      <w:r w:rsidRPr="0056296D">
        <w:rPr>
          <w:u w:val="single"/>
          <w:lang w:val="en-US"/>
        </w:rPr>
        <w:t>P9: Individual-treated and Untreated Household Discharges</w:t>
      </w:r>
    </w:p>
    <w:p w14:paraId="7DD3EC79" w14:textId="77777777" w:rsidR="00606C26" w:rsidRPr="0056296D" w:rsidRDefault="00606C26" w:rsidP="009178BB">
      <w:pPr>
        <w:pStyle w:val="ListParagraph"/>
        <w:numPr>
          <w:ilvl w:val="0"/>
          <w:numId w:val="13"/>
        </w:numPr>
        <w:rPr>
          <w:lang w:val="en-US"/>
        </w:rPr>
      </w:pPr>
      <w:r w:rsidRPr="0056296D">
        <w:rPr>
          <w:lang w:val="en-US"/>
        </w:rPr>
        <w:t xml:space="preserve">For domestic waste water that is not connected to a sewer system:  Source loading = inhabitants connected to IAS (inhabitants) </w:t>
      </w:r>
      <w:r>
        <w:sym w:font="Symbol" w:char="F0B4"/>
      </w:r>
      <w:r w:rsidRPr="0056296D">
        <w:rPr>
          <w:lang w:val="en-US"/>
        </w:rPr>
        <w:t xml:space="preserve"> emissions per inhabitant (g/inhabitant/</w:t>
      </w:r>
      <w:proofErr w:type="spellStart"/>
      <w:r w:rsidRPr="0056296D">
        <w:rPr>
          <w:lang w:val="en-US"/>
        </w:rPr>
        <w:t>yr</w:t>
      </w:r>
      <w:proofErr w:type="spellEnd"/>
      <w:r w:rsidRPr="0056296D">
        <w:rPr>
          <w:lang w:val="en-US"/>
        </w:rPr>
        <w:t xml:space="preserve">) </w:t>
      </w:r>
      <w:r>
        <w:sym w:font="Symbol" w:char="F0B4"/>
      </w:r>
      <w:r w:rsidRPr="0056296D">
        <w:rPr>
          <w:lang w:val="en-US"/>
        </w:rPr>
        <w:t xml:space="preserve"> % Removal in septic tanks (taken as 50% for pollutants) </w:t>
      </w:r>
      <w:r>
        <w:sym w:font="Symbol" w:char="F0B4"/>
      </w:r>
      <w:r w:rsidRPr="0056296D">
        <w:rPr>
          <w:lang w:val="en-US"/>
        </w:rPr>
        <w:t xml:space="preserve"> % of load to surface water (based on soil characteristics).</w:t>
      </w:r>
    </w:p>
    <w:p w14:paraId="4623E8CD" w14:textId="77777777" w:rsidR="00606C26" w:rsidRPr="0056296D" w:rsidRDefault="00606C26" w:rsidP="009178BB">
      <w:pPr>
        <w:pStyle w:val="ListParagraph"/>
        <w:numPr>
          <w:ilvl w:val="0"/>
          <w:numId w:val="13"/>
        </w:numPr>
        <w:rPr>
          <w:lang w:val="en-US"/>
        </w:rPr>
      </w:pPr>
      <w:r w:rsidRPr="0056296D">
        <w:rPr>
          <w:b/>
          <w:u w:val="single"/>
          <w:lang w:val="en-US"/>
        </w:rPr>
        <w:t>Comment</w:t>
      </w:r>
      <w:r w:rsidRPr="0056296D">
        <w:rPr>
          <w:lang w:val="en-US"/>
        </w:rPr>
        <w:t>:  The emissions per inhabitant is specified as g/inhabitant/</w:t>
      </w:r>
      <w:proofErr w:type="spellStart"/>
      <w:r w:rsidRPr="0056296D">
        <w:rPr>
          <w:lang w:val="en-US"/>
        </w:rPr>
        <w:t>yr</w:t>
      </w:r>
      <w:proofErr w:type="spellEnd"/>
      <w:r w:rsidRPr="0056296D">
        <w:rPr>
          <w:lang w:val="en-US"/>
        </w:rPr>
        <w:t xml:space="preserve"> on the ‘Formula’ </w:t>
      </w:r>
      <w:proofErr w:type="gramStart"/>
      <w:r w:rsidRPr="0056296D">
        <w:rPr>
          <w:lang w:val="en-US"/>
        </w:rPr>
        <w:t>tab, but</w:t>
      </w:r>
      <w:proofErr w:type="gramEnd"/>
      <w:r w:rsidRPr="0056296D">
        <w:rPr>
          <w:lang w:val="en-US"/>
        </w:rPr>
        <w:t xml:space="preserve"> is reported as ‘</w:t>
      </w:r>
      <w:r>
        <w:sym w:font="Symbol" w:char="F06D"/>
      </w:r>
      <w:r w:rsidRPr="0056296D">
        <w:rPr>
          <w:lang w:val="en-US"/>
        </w:rPr>
        <w:t xml:space="preserve">g/L’ on the ‘EF’ </w:t>
      </w:r>
      <w:commentRangeStart w:id="103"/>
      <w:r w:rsidRPr="0056296D">
        <w:rPr>
          <w:lang w:val="en-US"/>
        </w:rPr>
        <w:t>tab</w:t>
      </w:r>
      <w:commentRangeEnd w:id="103"/>
      <w:r w:rsidR="001F15C4">
        <w:rPr>
          <w:rStyle w:val="CommentReference"/>
        </w:rPr>
        <w:commentReference w:id="103"/>
      </w:r>
      <w:r w:rsidRPr="0056296D">
        <w:rPr>
          <w:lang w:val="en-US"/>
        </w:rPr>
        <w:t>.</w:t>
      </w:r>
    </w:p>
    <w:p w14:paraId="6AA6CA46" w14:textId="77777777" w:rsidR="00606C26" w:rsidRPr="0056296D" w:rsidRDefault="00606C26" w:rsidP="009178BB">
      <w:pPr>
        <w:pStyle w:val="ListParagraph"/>
        <w:numPr>
          <w:ilvl w:val="0"/>
          <w:numId w:val="13"/>
        </w:numPr>
        <w:rPr>
          <w:lang w:val="en-US"/>
        </w:rPr>
      </w:pPr>
      <w:r w:rsidRPr="0056296D">
        <w:rPr>
          <w:b/>
          <w:u w:val="single"/>
          <w:lang w:val="en-US"/>
        </w:rPr>
        <w:t>Comment</w:t>
      </w:r>
      <w:r w:rsidRPr="0056296D">
        <w:rPr>
          <w:lang w:val="en-US"/>
        </w:rPr>
        <w:t xml:space="preserve">:  No references are given to support the % removal of pollutants in septic </w:t>
      </w:r>
      <w:commentRangeStart w:id="104"/>
      <w:r w:rsidRPr="0056296D">
        <w:rPr>
          <w:lang w:val="en-US"/>
        </w:rPr>
        <w:t>tanks</w:t>
      </w:r>
      <w:commentRangeEnd w:id="104"/>
      <w:r w:rsidR="001F15C4">
        <w:rPr>
          <w:rStyle w:val="CommentReference"/>
        </w:rPr>
        <w:commentReference w:id="104"/>
      </w:r>
      <w:r w:rsidRPr="0056296D">
        <w:rPr>
          <w:lang w:val="en-US"/>
        </w:rPr>
        <w:t>.</w:t>
      </w:r>
    </w:p>
    <w:p w14:paraId="1BAADC6A" w14:textId="77777777" w:rsidR="00606C26" w:rsidRPr="0056296D" w:rsidRDefault="00606C26" w:rsidP="009178BB">
      <w:pPr>
        <w:pStyle w:val="ListParagraph"/>
        <w:numPr>
          <w:ilvl w:val="0"/>
          <w:numId w:val="13"/>
        </w:numPr>
        <w:rPr>
          <w:lang w:val="en-US"/>
        </w:rPr>
      </w:pPr>
      <w:r w:rsidRPr="0056296D">
        <w:rPr>
          <w:b/>
          <w:u w:val="single"/>
          <w:lang w:val="en-US"/>
        </w:rPr>
        <w:t>Comment</w:t>
      </w:r>
      <w:r w:rsidRPr="0056296D">
        <w:rPr>
          <w:lang w:val="en-US"/>
        </w:rPr>
        <w:t xml:space="preserve">:  Further work is needed on the % of load to surface </w:t>
      </w:r>
      <w:commentRangeStart w:id="105"/>
      <w:r w:rsidRPr="0056296D">
        <w:rPr>
          <w:lang w:val="en-US"/>
        </w:rPr>
        <w:t>waters</w:t>
      </w:r>
      <w:commentRangeEnd w:id="105"/>
      <w:r w:rsidR="001F15C4">
        <w:rPr>
          <w:rStyle w:val="CommentReference"/>
        </w:rPr>
        <w:commentReference w:id="105"/>
      </w:r>
      <w:r w:rsidRPr="0056296D">
        <w:rPr>
          <w:lang w:val="en-US"/>
        </w:rPr>
        <w:t>.</w:t>
      </w:r>
    </w:p>
    <w:p w14:paraId="04D68117" w14:textId="77777777" w:rsidR="00606C26" w:rsidRPr="00D10E14" w:rsidRDefault="00606C26" w:rsidP="00606C26">
      <w:pPr>
        <w:rPr>
          <w:u w:val="single"/>
        </w:rPr>
      </w:pPr>
      <w:r w:rsidRPr="00D10E14">
        <w:rPr>
          <w:u w:val="single"/>
        </w:rPr>
        <w:t xml:space="preserve">P10:  Industrial Waste Water </w:t>
      </w:r>
      <w:proofErr w:type="spellStart"/>
      <w:r w:rsidRPr="00D10E14">
        <w:rPr>
          <w:u w:val="single"/>
        </w:rPr>
        <w:t>Treated</w:t>
      </w:r>
      <w:proofErr w:type="spellEnd"/>
    </w:p>
    <w:p w14:paraId="3422F3C6" w14:textId="77777777" w:rsidR="00606C26" w:rsidRPr="0056296D" w:rsidRDefault="00606C26" w:rsidP="009178BB">
      <w:pPr>
        <w:pStyle w:val="ListParagraph"/>
        <w:numPr>
          <w:ilvl w:val="0"/>
          <w:numId w:val="14"/>
        </w:numPr>
        <w:rPr>
          <w:lang w:val="en-US"/>
        </w:rPr>
      </w:pPr>
      <w:r w:rsidRPr="0056296D">
        <w:rPr>
          <w:lang w:val="en-US"/>
        </w:rPr>
        <w:t>Source loading from E-PRTR reported loads.</w:t>
      </w:r>
    </w:p>
    <w:p w14:paraId="3BEEB10C" w14:textId="77777777" w:rsidR="00606C26" w:rsidRPr="0056296D" w:rsidRDefault="00606C26" w:rsidP="009178BB">
      <w:pPr>
        <w:pStyle w:val="ListParagraph"/>
        <w:numPr>
          <w:ilvl w:val="0"/>
          <w:numId w:val="14"/>
        </w:numPr>
        <w:rPr>
          <w:lang w:val="en-US"/>
        </w:rPr>
      </w:pPr>
      <w:r w:rsidRPr="0056296D">
        <w:rPr>
          <w:lang w:val="en-US"/>
        </w:rPr>
        <w:t>If information is not available through the E-PRTR reports, comparison have been made between expected pollutants per activity in the E-PRRT Guidance Document.</w:t>
      </w:r>
    </w:p>
    <w:p w14:paraId="4F0AE317" w14:textId="77777777" w:rsidR="00606C26" w:rsidRPr="0056296D" w:rsidRDefault="00606C26" w:rsidP="009178BB">
      <w:pPr>
        <w:pStyle w:val="ListParagraph"/>
        <w:numPr>
          <w:ilvl w:val="0"/>
          <w:numId w:val="14"/>
        </w:numPr>
        <w:rPr>
          <w:lang w:val="en-US"/>
        </w:rPr>
      </w:pPr>
      <w:r w:rsidRPr="0056296D">
        <w:rPr>
          <w:b/>
          <w:u w:val="single"/>
          <w:lang w:val="en-US"/>
        </w:rPr>
        <w:t>Comment</w:t>
      </w:r>
      <w:r w:rsidRPr="0056296D">
        <w:rPr>
          <w:lang w:val="en-US"/>
        </w:rPr>
        <w:t xml:space="preserve">:  Need to make sure that detection limits are appropriately set for all contaminants based on potential accumulation of contaminants (e.g., hydrophobic contaminants) in surface waters, sediments and </w:t>
      </w:r>
      <w:commentRangeStart w:id="106"/>
      <w:r w:rsidRPr="0056296D">
        <w:rPr>
          <w:lang w:val="en-US"/>
        </w:rPr>
        <w:t>biota</w:t>
      </w:r>
      <w:commentRangeEnd w:id="106"/>
      <w:r w:rsidR="001F15C4">
        <w:rPr>
          <w:rStyle w:val="CommentReference"/>
        </w:rPr>
        <w:commentReference w:id="106"/>
      </w:r>
      <w:r w:rsidRPr="0056296D">
        <w:rPr>
          <w:lang w:val="en-US"/>
        </w:rPr>
        <w:t>.</w:t>
      </w:r>
    </w:p>
    <w:p w14:paraId="6FB6B900" w14:textId="77777777" w:rsidR="00606C26" w:rsidRPr="00C27C1C" w:rsidRDefault="00606C26" w:rsidP="00606C26">
      <w:pPr>
        <w:rPr>
          <w:u w:val="single"/>
        </w:rPr>
      </w:pPr>
      <w:r w:rsidRPr="00C27C1C">
        <w:rPr>
          <w:u w:val="single"/>
        </w:rPr>
        <w:t xml:space="preserve">P11:  Direct Discharges </w:t>
      </w:r>
      <w:proofErr w:type="spellStart"/>
      <w:r w:rsidRPr="00C27C1C">
        <w:rPr>
          <w:u w:val="single"/>
        </w:rPr>
        <w:t>from</w:t>
      </w:r>
      <w:proofErr w:type="spellEnd"/>
      <w:r w:rsidRPr="00C27C1C">
        <w:rPr>
          <w:u w:val="single"/>
        </w:rPr>
        <w:t xml:space="preserve"> </w:t>
      </w:r>
      <w:proofErr w:type="spellStart"/>
      <w:r w:rsidRPr="00C27C1C">
        <w:rPr>
          <w:u w:val="single"/>
        </w:rPr>
        <w:t>Mining</w:t>
      </w:r>
      <w:proofErr w:type="spellEnd"/>
    </w:p>
    <w:p w14:paraId="4FE4386C" w14:textId="77777777" w:rsidR="00606C26" w:rsidRPr="0056296D" w:rsidRDefault="00606C26" w:rsidP="009178BB">
      <w:pPr>
        <w:pStyle w:val="ListParagraph"/>
        <w:numPr>
          <w:ilvl w:val="0"/>
          <w:numId w:val="15"/>
        </w:numPr>
        <w:rPr>
          <w:lang w:val="en-US"/>
        </w:rPr>
      </w:pPr>
      <w:r w:rsidRPr="0056296D">
        <w:rPr>
          <w:lang w:val="en-US"/>
        </w:rPr>
        <w:t>Direct discharges from operational mining sites are reported under E-PRTR (P10).</w:t>
      </w:r>
    </w:p>
    <w:p w14:paraId="01557828" w14:textId="77777777" w:rsidR="00606C26" w:rsidRPr="0056296D" w:rsidRDefault="00606C26" w:rsidP="009178BB">
      <w:pPr>
        <w:pStyle w:val="ListParagraph"/>
        <w:numPr>
          <w:ilvl w:val="0"/>
          <w:numId w:val="15"/>
        </w:numPr>
        <w:rPr>
          <w:lang w:val="en-US"/>
        </w:rPr>
      </w:pPr>
      <w:r w:rsidRPr="0056296D">
        <w:rPr>
          <w:lang w:val="en-US"/>
        </w:rPr>
        <w:t>It is not clear how to quantify emissions from abandoned mining sites.</w:t>
      </w:r>
    </w:p>
    <w:p w14:paraId="46EF3FBE" w14:textId="77777777" w:rsidR="00606C26" w:rsidRPr="00C27C1C" w:rsidRDefault="00606C26" w:rsidP="00606C26">
      <w:pPr>
        <w:rPr>
          <w:u w:val="single"/>
        </w:rPr>
      </w:pPr>
      <w:r w:rsidRPr="00C27C1C">
        <w:rPr>
          <w:u w:val="single"/>
        </w:rPr>
        <w:t xml:space="preserve">P12:  Direct Discharges </w:t>
      </w:r>
      <w:proofErr w:type="spellStart"/>
      <w:r w:rsidRPr="00C27C1C">
        <w:rPr>
          <w:u w:val="single"/>
        </w:rPr>
        <w:t>from</w:t>
      </w:r>
      <w:proofErr w:type="spellEnd"/>
      <w:r w:rsidRPr="00C27C1C">
        <w:rPr>
          <w:u w:val="single"/>
        </w:rPr>
        <w:t xml:space="preserve"> </w:t>
      </w:r>
      <w:proofErr w:type="spellStart"/>
      <w:r w:rsidRPr="00C27C1C">
        <w:rPr>
          <w:u w:val="single"/>
        </w:rPr>
        <w:t>Navigation</w:t>
      </w:r>
      <w:proofErr w:type="spellEnd"/>
    </w:p>
    <w:p w14:paraId="636D321E" w14:textId="77777777" w:rsidR="00606C26" w:rsidRPr="0056296D" w:rsidRDefault="00606C26" w:rsidP="009178BB">
      <w:pPr>
        <w:pStyle w:val="ListParagraph"/>
        <w:numPr>
          <w:ilvl w:val="0"/>
          <w:numId w:val="16"/>
        </w:numPr>
        <w:rPr>
          <w:lang w:val="en-US"/>
        </w:rPr>
      </w:pPr>
      <w:r w:rsidRPr="0056296D">
        <w:rPr>
          <w:lang w:val="en-US"/>
        </w:rPr>
        <w:t>Both inland and coastal navigation should be considered.</w:t>
      </w:r>
    </w:p>
    <w:p w14:paraId="6F2882E2" w14:textId="77777777" w:rsidR="00606C26" w:rsidRPr="00C27C1C" w:rsidRDefault="00606C26" w:rsidP="00606C26">
      <w:pPr>
        <w:rPr>
          <w:u w:val="single"/>
        </w:rPr>
      </w:pPr>
      <w:r w:rsidRPr="00C27C1C">
        <w:rPr>
          <w:u w:val="single"/>
        </w:rPr>
        <w:t>P13:  Natural Background</w:t>
      </w:r>
    </w:p>
    <w:p w14:paraId="00321E14" w14:textId="77777777" w:rsidR="00606C26" w:rsidRPr="0056296D" w:rsidRDefault="00606C26" w:rsidP="009178BB">
      <w:pPr>
        <w:pStyle w:val="ListParagraph"/>
        <w:numPr>
          <w:ilvl w:val="0"/>
          <w:numId w:val="17"/>
        </w:numPr>
        <w:rPr>
          <w:lang w:val="en-US"/>
        </w:rPr>
      </w:pPr>
      <w:r w:rsidRPr="0056296D">
        <w:rPr>
          <w:lang w:val="en-US"/>
        </w:rPr>
        <w:t>Source loading = Yearly mean river discharge (10</w:t>
      </w:r>
      <w:r w:rsidRPr="0056296D">
        <w:rPr>
          <w:vertAlign w:val="superscript"/>
          <w:lang w:val="en-US"/>
        </w:rPr>
        <w:t>6</w:t>
      </w:r>
      <w:r w:rsidRPr="0056296D">
        <w:rPr>
          <w:lang w:val="en-US"/>
        </w:rPr>
        <w:t xml:space="preserve"> m</w:t>
      </w:r>
      <w:r w:rsidRPr="0056296D">
        <w:rPr>
          <w:vertAlign w:val="superscript"/>
          <w:lang w:val="en-US"/>
        </w:rPr>
        <w:t>3</w:t>
      </w:r>
      <w:r w:rsidRPr="0056296D">
        <w:rPr>
          <w:lang w:val="en-US"/>
        </w:rPr>
        <w:t xml:space="preserve">/a) </w:t>
      </w:r>
      <w:r>
        <w:sym w:font="Symbol" w:char="F0B4"/>
      </w:r>
      <w:r w:rsidRPr="0056296D">
        <w:rPr>
          <w:lang w:val="en-US"/>
        </w:rPr>
        <w:t xml:space="preserve"> Concentration in surface waters (</w:t>
      </w:r>
      <w:r>
        <w:sym w:font="Symbol" w:char="F06D"/>
      </w:r>
      <w:r w:rsidRPr="0056296D">
        <w:rPr>
          <w:lang w:val="en-US"/>
        </w:rPr>
        <w:t>g/L).</w:t>
      </w:r>
    </w:p>
    <w:p w14:paraId="1DB8900D" w14:textId="77777777" w:rsidR="00606C26" w:rsidRPr="0056296D" w:rsidRDefault="00606C26" w:rsidP="009178BB">
      <w:pPr>
        <w:pStyle w:val="ListParagraph"/>
        <w:numPr>
          <w:ilvl w:val="0"/>
          <w:numId w:val="17"/>
        </w:numPr>
        <w:rPr>
          <w:lang w:val="en-US"/>
        </w:rPr>
      </w:pPr>
      <w:r w:rsidRPr="0056296D">
        <w:rPr>
          <w:b/>
          <w:u w:val="single"/>
          <w:lang w:val="en-US"/>
        </w:rPr>
        <w:t>Comment</w:t>
      </w:r>
      <w:r w:rsidRPr="0056296D">
        <w:rPr>
          <w:lang w:val="en-US"/>
        </w:rPr>
        <w:t xml:space="preserve">:  The approach suggested for estimating background concentrations is based on Mohaupt et al. (2001); i.e., subtraction of expected concentrations from anthropogenic loads from measured concentrations in surface waters.  This approach is likely to result in taking the difference between two large concentrations.  Measurement of surface waters concentrations in un-impacted areas should be considered.  We should review the 2019 ETAP IOC on ‘ambient background </w:t>
      </w:r>
      <w:commentRangeStart w:id="107"/>
      <w:r w:rsidRPr="0056296D">
        <w:rPr>
          <w:lang w:val="en-US"/>
        </w:rPr>
        <w:t>concentrations</w:t>
      </w:r>
      <w:commentRangeEnd w:id="107"/>
      <w:r w:rsidR="008211B1">
        <w:rPr>
          <w:rStyle w:val="CommentReference"/>
        </w:rPr>
        <w:commentReference w:id="107"/>
      </w:r>
      <w:r w:rsidRPr="0056296D">
        <w:rPr>
          <w:lang w:val="en-US"/>
        </w:rPr>
        <w:t>’.</w:t>
      </w:r>
    </w:p>
    <w:p w14:paraId="4C7B11B3" w14:textId="77777777" w:rsidR="00606C26" w:rsidRPr="0056296D" w:rsidRDefault="00606C26" w:rsidP="00606C26">
      <w:pPr>
        <w:rPr>
          <w:lang w:val="en-US"/>
        </w:rPr>
      </w:pPr>
      <w:r w:rsidRPr="0056296D">
        <w:rPr>
          <w:lang w:val="en-US"/>
        </w:rPr>
        <w:t xml:space="preserve"> </w:t>
      </w:r>
    </w:p>
    <w:p w14:paraId="060911CC" w14:textId="04DF25BC" w:rsidR="00606C26" w:rsidRDefault="00F83D00" w:rsidP="00F83D00">
      <w:pPr>
        <w:jc w:val="center"/>
        <w:rPr>
          <w:b/>
          <w:bCs/>
          <w:highlight w:val="yellow"/>
          <w:u w:val="single"/>
          <w:lang w:val="en-GB"/>
        </w:rPr>
      </w:pPr>
      <w:r w:rsidRPr="00606C26">
        <w:rPr>
          <w:b/>
          <w:bCs/>
          <w:highlight w:val="yellow"/>
          <w:u w:val="single"/>
          <w:lang w:val="en-GB"/>
        </w:rPr>
        <w:lastRenderedPageBreak/>
        <w:t>ANNEX</w:t>
      </w:r>
      <w:r>
        <w:rPr>
          <w:b/>
          <w:bCs/>
          <w:highlight w:val="yellow"/>
          <w:u w:val="single"/>
          <w:lang w:val="en-GB"/>
        </w:rPr>
        <w:t xml:space="preserve"> 2</w:t>
      </w:r>
    </w:p>
    <w:p w14:paraId="7FB73EDC" w14:textId="1791E3A3" w:rsidR="00F83D00" w:rsidRPr="00F83D00" w:rsidRDefault="00F83D00" w:rsidP="00F83D00">
      <w:pPr>
        <w:rPr>
          <w:highlight w:val="yellow"/>
          <w:lang w:val="en-GB"/>
        </w:rPr>
      </w:pPr>
      <w:r w:rsidRPr="00F83D00">
        <w:rPr>
          <w:noProof/>
        </w:rPr>
        <w:drawing>
          <wp:inline distT="0" distB="0" distL="0" distR="0" wp14:anchorId="52D697D7" wp14:editId="6F2908B5">
            <wp:extent cx="5731510" cy="1715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715135"/>
                    </a:xfrm>
                    <a:prstGeom prst="rect">
                      <a:avLst/>
                    </a:prstGeom>
                  </pic:spPr>
                </pic:pic>
              </a:graphicData>
            </a:graphic>
          </wp:inline>
        </w:drawing>
      </w:r>
    </w:p>
    <w:sectPr w:rsidR="00F83D00" w:rsidRPr="00F83D00" w:rsidSect="00CF5693">
      <w:headerReference w:type="default" r:id="rId19"/>
      <w:footerReference w:type="defaul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halie Kinga Kowalski" w:date="2020-04-10T14:02:00Z" w:initials="NKK">
    <w:p w14:paraId="2D8C035A" w14:textId="77777777" w:rsidR="0056296D" w:rsidRPr="001774F0" w:rsidRDefault="0056296D">
      <w:pPr>
        <w:pStyle w:val="CommentText"/>
        <w:rPr>
          <w:lang w:val="en-GB"/>
        </w:rPr>
      </w:pPr>
      <w:r>
        <w:rPr>
          <w:rStyle w:val="CommentReference"/>
        </w:rPr>
        <w:annotationRef/>
      </w:r>
      <w:proofErr w:type="spellStart"/>
      <w:r w:rsidRPr="001774F0">
        <w:rPr>
          <w:lang w:val="en-GB"/>
        </w:rPr>
        <w:t>Eurometaux</w:t>
      </w:r>
      <w:proofErr w:type="spellEnd"/>
      <w:r w:rsidRPr="001774F0">
        <w:rPr>
          <w:lang w:val="en-GB"/>
        </w:rPr>
        <w:t>:</w:t>
      </w:r>
    </w:p>
    <w:p w14:paraId="38124FAB" w14:textId="77777777" w:rsidR="0056296D" w:rsidRPr="001774F0" w:rsidRDefault="0056296D">
      <w:pPr>
        <w:pStyle w:val="CommentText"/>
        <w:rPr>
          <w:lang w:val="en-GB"/>
        </w:rPr>
      </w:pPr>
    </w:p>
    <w:p w14:paraId="2B5B9974" w14:textId="77777777" w:rsidR="0056296D" w:rsidRPr="001774F0" w:rsidRDefault="0056296D">
      <w:pPr>
        <w:pStyle w:val="CommentText"/>
        <w:rPr>
          <w:lang w:val="en-GB"/>
        </w:rPr>
      </w:pPr>
      <w:r w:rsidRPr="001774F0">
        <w:rPr>
          <w:lang w:val="en-GB"/>
        </w:rPr>
        <w:t xml:space="preserve">Thank you for giving us the opportunity to comment on the draft. </w:t>
      </w:r>
    </w:p>
    <w:p w14:paraId="403DE7FB" w14:textId="77777777" w:rsidR="0056296D" w:rsidRPr="001774F0" w:rsidRDefault="0056296D">
      <w:pPr>
        <w:pStyle w:val="CommentText"/>
        <w:rPr>
          <w:lang w:val="en-GB"/>
        </w:rPr>
      </w:pPr>
    </w:p>
    <w:p w14:paraId="61A48205" w14:textId="79F6D7FA" w:rsidR="0056296D" w:rsidRPr="0056296D" w:rsidRDefault="0056296D">
      <w:pPr>
        <w:pStyle w:val="CommentText"/>
        <w:rPr>
          <w:lang w:val="en-US"/>
        </w:rPr>
      </w:pPr>
      <w:r w:rsidRPr="001774F0">
        <w:rPr>
          <w:lang w:val="en-GB"/>
        </w:rPr>
        <w:t>In case we refer to other sources</w:t>
      </w:r>
      <w:r>
        <w:rPr>
          <w:lang w:val="en-GB"/>
        </w:rPr>
        <w:t>,</w:t>
      </w:r>
      <w:r w:rsidRPr="001774F0">
        <w:rPr>
          <w:lang w:val="en-GB"/>
        </w:rPr>
        <w:t xml:space="preserve"> we highlight these in </w:t>
      </w:r>
      <w:r w:rsidRPr="001774F0">
        <w:rPr>
          <w:highlight w:val="cyan"/>
          <w:lang w:val="en-GB"/>
        </w:rPr>
        <w:t>blue</w:t>
      </w:r>
      <w:r w:rsidRPr="001774F0">
        <w:rPr>
          <w:lang w:val="en-GB"/>
        </w:rPr>
        <w:t>, for you</w:t>
      </w:r>
      <w:r>
        <w:rPr>
          <w:lang w:val="en-GB"/>
        </w:rPr>
        <w:t>r</w:t>
      </w:r>
      <w:r w:rsidRPr="001774F0">
        <w:rPr>
          <w:lang w:val="en-GB"/>
        </w:rPr>
        <w:t xml:space="preserve"> convenience.</w:t>
      </w:r>
      <w:r w:rsidRPr="0056296D">
        <w:rPr>
          <w:lang w:val="en-US"/>
        </w:rPr>
        <w:t xml:space="preserve"> </w:t>
      </w:r>
    </w:p>
  </w:comment>
  <w:comment w:id="1" w:author="Joost van den Roovaart" w:date="2020-07-15T16:08:00Z" w:initials="JvdR">
    <w:p w14:paraId="04667861" w14:textId="336CF456" w:rsidR="0056296D" w:rsidRDefault="0056296D">
      <w:pPr>
        <w:pStyle w:val="CommentText"/>
      </w:pPr>
      <w:r>
        <w:rPr>
          <w:rStyle w:val="CommentReference"/>
        </w:rPr>
        <w:annotationRef/>
      </w:r>
      <w:r>
        <w:t>61c</w:t>
      </w:r>
    </w:p>
  </w:comment>
  <w:comment w:id="6" w:author="Nathalie Kinga Kowalski" w:date="2020-04-10T12:42:00Z" w:initials="NKK">
    <w:p w14:paraId="3DC7CE0D" w14:textId="521AAF99" w:rsidR="0056296D" w:rsidRDefault="0056296D" w:rsidP="008C5B92">
      <w:pPr>
        <w:pStyle w:val="CommentText"/>
        <w:rPr>
          <w:lang w:val="en-US"/>
        </w:rPr>
      </w:pPr>
      <w:r>
        <w:rPr>
          <w:rStyle w:val="CommentReference"/>
        </w:rPr>
        <w:annotationRef/>
      </w:r>
      <w:proofErr w:type="spellStart"/>
      <w:r>
        <w:rPr>
          <w:lang w:val="en-US"/>
        </w:rPr>
        <w:t>Eurometaux</w:t>
      </w:r>
      <w:proofErr w:type="spellEnd"/>
      <w:r>
        <w:rPr>
          <w:lang w:val="en-US"/>
        </w:rPr>
        <w:t>:</w:t>
      </w:r>
    </w:p>
    <w:p w14:paraId="51EC3E07" w14:textId="00F7CEDE" w:rsidR="0056296D" w:rsidRDefault="0056296D" w:rsidP="008C5B92">
      <w:pPr>
        <w:pStyle w:val="CommentText"/>
        <w:rPr>
          <w:lang w:val="en-US"/>
        </w:rPr>
      </w:pPr>
      <w:r w:rsidRPr="004D4AA6">
        <w:rPr>
          <w:lang w:val="en-US"/>
        </w:rPr>
        <w:t xml:space="preserve">Emission quantification and reporting must </w:t>
      </w:r>
      <w:r>
        <w:rPr>
          <w:lang w:val="en-US"/>
        </w:rPr>
        <w:t xml:space="preserve">be </w:t>
      </w:r>
      <w:r w:rsidRPr="004D4AA6">
        <w:rPr>
          <w:lang w:val="en-US"/>
        </w:rPr>
        <w:t>consistent and reliable between mem</w:t>
      </w:r>
      <w:r>
        <w:rPr>
          <w:lang w:val="en-US"/>
        </w:rPr>
        <w:t>b</w:t>
      </w:r>
      <w:r w:rsidRPr="004D4AA6">
        <w:rPr>
          <w:lang w:val="en-US"/>
        </w:rPr>
        <w:t>er states, otherwise more (inconsistent an incomparable) data would result in failing the objective of this project.</w:t>
      </w:r>
    </w:p>
    <w:p w14:paraId="6F1485B5" w14:textId="77777777" w:rsidR="0056296D" w:rsidRDefault="0056296D" w:rsidP="008C5B92">
      <w:pPr>
        <w:pStyle w:val="CommentText"/>
        <w:rPr>
          <w:lang w:val="en-US"/>
        </w:rPr>
      </w:pPr>
    </w:p>
    <w:p w14:paraId="6DB4A0B9" w14:textId="015A5191" w:rsidR="0056296D" w:rsidRPr="0056296D" w:rsidRDefault="0056296D" w:rsidP="008C5B92">
      <w:pPr>
        <w:pStyle w:val="CommentText"/>
        <w:rPr>
          <w:lang w:val="en-US"/>
        </w:rPr>
      </w:pPr>
      <w:r w:rsidRPr="00282ED1">
        <w:rPr>
          <w:lang w:val="en-US"/>
        </w:rPr>
        <w:t>While extrapolation ARs and EFs to other countries, care must be taken to check relevancy of the data, as influenced by e.g. use pattern</w:t>
      </w:r>
      <w:r>
        <w:rPr>
          <w:lang w:val="en-US"/>
        </w:rPr>
        <w:t>.</w:t>
      </w:r>
    </w:p>
  </w:comment>
  <w:comment w:id="7" w:author="Joost van den Roovaart" w:date="2020-07-15T16:08:00Z" w:initials="JvdR">
    <w:p w14:paraId="75E66101" w14:textId="1F3E965E" w:rsidR="0056296D" w:rsidRDefault="0056296D">
      <w:pPr>
        <w:pStyle w:val="CommentText"/>
      </w:pPr>
      <w:r>
        <w:rPr>
          <w:rStyle w:val="CommentReference"/>
        </w:rPr>
        <w:annotationRef/>
      </w:r>
      <w:r>
        <w:t>62d</w:t>
      </w:r>
    </w:p>
  </w:comment>
  <w:comment w:id="8" w:author="Nathalie Kinga Kowalski" w:date="2020-04-10T12:43:00Z" w:initials="NKK">
    <w:p w14:paraId="199FC84E" w14:textId="77777777" w:rsidR="0056296D" w:rsidRPr="00B0094D" w:rsidRDefault="0056296D"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1D41E05" w14:textId="013FC6BC" w:rsidR="0056296D" w:rsidRDefault="0056296D" w:rsidP="008739FA">
      <w:pPr>
        <w:pStyle w:val="CommentText"/>
        <w:rPr>
          <w:lang w:val="en-US"/>
        </w:rPr>
      </w:pPr>
      <w:r w:rsidRPr="00B0094D">
        <w:rPr>
          <w:lang w:val="en-US"/>
        </w:rPr>
        <w:t>With regards to ‘Natural Background’, we believe that this schematic is too simple.</w:t>
      </w:r>
    </w:p>
    <w:p w14:paraId="61907CCE" w14:textId="77777777" w:rsidR="0056296D" w:rsidRDefault="0056296D" w:rsidP="008739FA">
      <w:pPr>
        <w:pStyle w:val="CommentText"/>
        <w:rPr>
          <w:lang w:val="en-US"/>
        </w:rPr>
      </w:pPr>
    </w:p>
    <w:p w14:paraId="7F10E69D" w14:textId="66E29612" w:rsidR="0056296D" w:rsidRDefault="0056296D" w:rsidP="008739FA">
      <w:pPr>
        <w:pStyle w:val="CommentText"/>
        <w:rPr>
          <w:lang w:val="en-US"/>
        </w:rPr>
      </w:pPr>
      <w:proofErr w:type="gramStart"/>
      <w:r w:rsidRPr="00B0094D">
        <w:rPr>
          <w:lang w:val="en-US"/>
        </w:rPr>
        <w:t>In reality natural</w:t>
      </w:r>
      <w:proofErr w:type="gramEnd"/>
      <w:r w:rsidRPr="00B0094D">
        <w:rPr>
          <w:lang w:val="en-US"/>
        </w:rPr>
        <w:t xml:space="preserve"> background concentrations of metals are present in the soil, su</w:t>
      </w:r>
      <w:r>
        <w:rPr>
          <w:lang w:val="en-US"/>
        </w:rPr>
        <w:t xml:space="preserve">rface waters, air </w:t>
      </w:r>
      <w:r w:rsidRPr="00B0094D">
        <w:rPr>
          <w:lang w:val="en-US"/>
        </w:rPr>
        <w:t>and groundwater</w:t>
      </w:r>
      <w:r>
        <w:rPr>
          <w:lang w:val="en-US"/>
        </w:rPr>
        <w:t>, as well as in our diets. Therefore, b</w:t>
      </w:r>
      <w:r w:rsidRPr="00B0094D">
        <w:rPr>
          <w:lang w:val="en-US"/>
        </w:rPr>
        <w:t xml:space="preserve">ackground concentrations will </w:t>
      </w:r>
      <w:r>
        <w:rPr>
          <w:lang w:val="en-US"/>
        </w:rPr>
        <w:t xml:space="preserve">notably </w:t>
      </w:r>
      <w:r w:rsidRPr="00B0094D">
        <w:rPr>
          <w:lang w:val="en-US"/>
        </w:rPr>
        <w:t>feed into UWWTP via the sewer system and potenti</w:t>
      </w:r>
      <w:r>
        <w:rPr>
          <w:lang w:val="en-US"/>
        </w:rPr>
        <w:t>a</w:t>
      </w:r>
      <w:r w:rsidRPr="00B0094D">
        <w:rPr>
          <w:lang w:val="en-US"/>
        </w:rPr>
        <w:t>lly into Industrial WWTP.</w:t>
      </w:r>
    </w:p>
    <w:p w14:paraId="466C17EF" w14:textId="77777777" w:rsidR="0056296D" w:rsidRDefault="0056296D" w:rsidP="008739FA">
      <w:pPr>
        <w:pStyle w:val="CommentText"/>
        <w:rPr>
          <w:lang w:val="en-US"/>
        </w:rPr>
      </w:pPr>
    </w:p>
    <w:p w14:paraId="3BDF1240" w14:textId="77777777" w:rsidR="0056296D" w:rsidRDefault="0056296D" w:rsidP="008739FA">
      <w:pPr>
        <w:pStyle w:val="CommentText"/>
        <w:rPr>
          <w:lang w:val="en-US"/>
        </w:rPr>
      </w:pPr>
      <w:r w:rsidRPr="004D4AA6">
        <w:rPr>
          <w:lang w:val="en-US"/>
        </w:rPr>
        <w:t xml:space="preserve">Natural background also plays a role in erosion processes (agriculture). Additionally, contributions from historic contamination of e.g. streambed sediment or groundwater are not considered in the scheme. This may be critical for some substances including phosphate.  </w:t>
      </w:r>
    </w:p>
    <w:p w14:paraId="77CC06B3" w14:textId="77777777" w:rsidR="0056296D" w:rsidRDefault="0056296D" w:rsidP="008739FA">
      <w:pPr>
        <w:pStyle w:val="CommentText"/>
        <w:rPr>
          <w:lang w:val="en-US"/>
        </w:rPr>
      </w:pPr>
    </w:p>
    <w:p w14:paraId="665CC50C" w14:textId="77777777" w:rsidR="0056296D" w:rsidRDefault="0056296D" w:rsidP="008739FA">
      <w:pPr>
        <w:pStyle w:val="CommentText"/>
        <w:rPr>
          <w:lang w:val="en-US"/>
        </w:rPr>
      </w:pPr>
      <w:proofErr w:type="gramStart"/>
      <w:r>
        <w:rPr>
          <w:lang w:val="en-US"/>
        </w:rPr>
        <w:t>Another concern,</w:t>
      </w:r>
      <w:proofErr w:type="gramEnd"/>
      <w:r>
        <w:rPr>
          <w:lang w:val="en-US"/>
        </w:rPr>
        <w:t xml:space="preserve"> is the potential for double counting in this scheme; particularly through the</w:t>
      </w:r>
      <w:r w:rsidRPr="004D4AA6">
        <w:rPr>
          <w:lang w:val="en-US"/>
        </w:rPr>
        <w:t xml:space="preserve"> double counting of metals cycled through air emissions. As reported in the </w:t>
      </w:r>
      <w:r w:rsidRPr="004D4AA6">
        <w:rPr>
          <w:highlight w:val="cyan"/>
          <w:lang w:val="en-US"/>
        </w:rPr>
        <w:t>Richardson (2001) review</w:t>
      </w:r>
      <w:r w:rsidRPr="004D4AA6">
        <w:rPr>
          <w:lang w:val="en-US"/>
        </w:rPr>
        <w:t>, the entrainment of soil dust particles into the air is a predominant source of natural emissions to the atmosphere for Cd, Cu, Pb, Ni and Zn.</w:t>
      </w:r>
      <w:r>
        <w:rPr>
          <w:lang w:val="en-US"/>
        </w:rPr>
        <w:t xml:space="preserve"> </w:t>
      </w:r>
    </w:p>
    <w:p w14:paraId="07F6C54A" w14:textId="3DF596B8" w:rsidR="0056296D" w:rsidRDefault="0056296D" w:rsidP="008739FA">
      <w:pPr>
        <w:pStyle w:val="CommentText"/>
        <w:rPr>
          <w:lang w:val="en-US"/>
        </w:rPr>
      </w:pPr>
      <w:bookmarkStart w:id="10" w:name="_Hlk37421243"/>
      <w:r>
        <w:rPr>
          <w:lang w:val="en-US"/>
        </w:rPr>
        <w:t>Therefore, in this scheme, a connection from Soil to Air needs to be added.</w:t>
      </w:r>
      <w:r w:rsidRPr="004D4AA6">
        <w:rPr>
          <w:lang w:val="en-US"/>
        </w:rPr>
        <w:t xml:space="preserve"> </w:t>
      </w:r>
      <w:bookmarkEnd w:id="10"/>
    </w:p>
    <w:p w14:paraId="6929FEFB" w14:textId="65910842" w:rsidR="0056296D" w:rsidRDefault="0056296D" w:rsidP="008739FA">
      <w:pPr>
        <w:pStyle w:val="CommentText"/>
        <w:rPr>
          <w:lang w:val="en-US"/>
        </w:rPr>
      </w:pPr>
      <w:r w:rsidRPr="004D4AA6">
        <w:rPr>
          <w:lang w:val="en-US"/>
        </w:rPr>
        <w:t>“Natural Background” if not connected would as well contribute to this over-estimating factor.</w:t>
      </w:r>
    </w:p>
    <w:p w14:paraId="0B27CA10" w14:textId="77777777" w:rsidR="0056296D" w:rsidRPr="004D4AA6" w:rsidRDefault="0056296D" w:rsidP="008739FA">
      <w:pPr>
        <w:pStyle w:val="CommentText"/>
        <w:rPr>
          <w:lang w:val="en-US"/>
        </w:rPr>
      </w:pPr>
    </w:p>
    <w:p w14:paraId="107F8A5A" w14:textId="77777777" w:rsidR="0056296D" w:rsidRPr="004D4AA6" w:rsidRDefault="0056296D" w:rsidP="008739FA">
      <w:pPr>
        <w:pStyle w:val="CommentText"/>
        <w:rPr>
          <w:lang w:val="en-US"/>
        </w:rPr>
      </w:pPr>
      <w:r>
        <w:rPr>
          <w:lang w:val="en-US"/>
        </w:rPr>
        <w:t>Finally,</w:t>
      </w:r>
      <w:r w:rsidRPr="00AF53B7">
        <w:rPr>
          <w:lang w:val="en-US"/>
        </w:rPr>
        <w:t xml:space="preserve"> sources </w:t>
      </w:r>
      <w:r>
        <w:rPr>
          <w:lang w:val="en-US"/>
        </w:rPr>
        <w:t>from</w:t>
      </w:r>
      <w:r w:rsidRPr="00AF53B7">
        <w:rPr>
          <w:lang w:val="en-US"/>
        </w:rPr>
        <w:t xml:space="preserve"> </w:t>
      </w:r>
      <w:proofErr w:type="spellStart"/>
      <w:r w:rsidRPr="00AF53B7">
        <w:rPr>
          <w:lang w:val="en-US"/>
        </w:rPr>
        <w:t>seasalt</w:t>
      </w:r>
      <w:proofErr w:type="spellEnd"/>
      <w:r w:rsidRPr="00AF53B7">
        <w:rPr>
          <w:lang w:val="en-US"/>
        </w:rPr>
        <w:t xml:space="preserve"> spray </w:t>
      </w:r>
      <w:r>
        <w:rPr>
          <w:lang w:val="en-US"/>
        </w:rPr>
        <w:t>and</w:t>
      </w:r>
      <w:r w:rsidRPr="00AF53B7">
        <w:rPr>
          <w:lang w:val="en-US"/>
        </w:rPr>
        <w:t xml:space="preserve"> volcanic eruption i</w:t>
      </w:r>
      <w:r>
        <w:rPr>
          <w:lang w:val="en-US"/>
        </w:rPr>
        <w:t>s</w:t>
      </w:r>
      <w:r w:rsidRPr="00AF53B7">
        <w:rPr>
          <w:lang w:val="en-US"/>
        </w:rPr>
        <w:t xml:space="preserve"> applicable for Europe</w:t>
      </w:r>
      <w:r>
        <w:rPr>
          <w:lang w:val="en-US"/>
        </w:rPr>
        <w:t xml:space="preserve"> (part of the natural cycling).</w:t>
      </w:r>
    </w:p>
    <w:p w14:paraId="14AF8058" w14:textId="2BDB5D87" w:rsidR="0056296D" w:rsidRPr="008739FA" w:rsidRDefault="0056296D">
      <w:pPr>
        <w:pStyle w:val="CommentText"/>
        <w:rPr>
          <w:lang w:val="en-US"/>
        </w:rPr>
      </w:pPr>
    </w:p>
  </w:comment>
  <w:comment w:id="9" w:author="Joost van den Roovaart" w:date="2020-07-15T16:11:00Z" w:initials="JvdR">
    <w:p w14:paraId="3F1B4EBE" w14:textId="591B1461" w:rsidR="0056296D" w:rsidRDefault="0056296D">
      <w:pPr>
        <w:pStyle w:val="CommentText"/>
      </w:pPr>
      <w:r>
        <w:rPr>
          <w:rStyle w:val="CommentReference"/>
        </w:rPr>
        <w:annotationRef/>
      </w:r>
      <w:r>
        <w:t>63d</w:t>
      </w:r>
    </w:p>
  </w:comment>
  <w:comment w:id="13" w:author="Nathalie Kinga Kowalski" w:date="2020-04-10T12:44:00Z" w:initials="NKK">
    <w:p w14:paraId="3084D8A7" w14:textId="77777777" w:rsidR="0056296D" w:rsidRDefault="0056296D" w:rsidP="008739FA">
      <w:pPr>
        <w:pStyle w:val="CommentText"/>
        <w:rPr>
          <w:lang w:val="en-US"/>
        </w:rPr>
      </w:pPr>
      <w:r>
        <w:rPr>
          <w:rStyle w:val="CommentReference"/>
        </w:rPr>
        <w:annotationRef/>
      </w:r>
      <w:proofErr w:type="spellStart"/>
      <w:r>
        <w:rPr>
          <w:lang w:val="en-US"/>
        </w:rPr>
        <w:t>Eurometaux</w:t>
      </w:r>
      <w:proofErr w:type="spellEnd"/>
      <w:r>
        <w:rPr>
          <w:lang w:val="en-US"/>
        </w:rPr>
        <w:t>:</w:t>
      </w:r>
    </w:p>
    <w:p w14:paraId="6DE56CCD" w14:textId="73785B47" w:rsidR="0056296D" w:rsidRPr="0056296D" w:rsidRDefault="0056296D" w:rsidP="008739FA">
      <w:pPr>
        <w:pStyle w:val="CommentText"/>
        <w:rPr>
          <w:lang w:val="en-US"/>
        </w:rPr>
      </w:pPr>
      <w:r w:rsidRPr="00026AE6">
        <w:rPr>
          <w:lang w:val="en-US"/>
        </w:rPr>
        <w:t>As indicated above, n</w:t>
      </w:r>
      <w:r>
        <w:rPr>
          <w:lang w:val="en-US"/>
        </w:rPr>
        <w:t>atural background cycling is important for the metals.</w:t>
      </w:r>
    </w:p>
  </w:comment>
  <w:comment w:id="14" w:author="Joost van den Roovaart" w:date="2020-07-15T16:12:00Z" w:initials="JvdR">
    <w:p w14:paraId="7EE9AF3E" w14:textId="4C90DF49" w:rsidR="0056296D" w:rsidRDefault="0056296D">
      <w:pPr>
        <w:pStyle w:val="CommentText"/>
      </w:pPr>
      <w:r>
        <w:rPr>
          <w:rStyle w:val="CommentReference"/>
        </w:rPr>
        <w:annotationRef/>
      </w:r>
      <w:r>
        <w:t>64d</w:t>
      </w:r>
    </w:p>
  </w:comment>
  <w:comment w:id="16" w:author="Nathalie Kinga Kowalski" w:date="2020-04-10T12:44:00Z" w:initials="NKK">
    <w:p w14:paraId="5A299EA4" w14:textId="77777777" w:rsidR="0056296D" w:rsidRPr="00B0094D" w:rsidRDefault="0056296D"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178BD728" w14:textId="09B7D3B8" w:rsidR="0056296D" w:rsidRPr="0056296D" w:rsidRDefault="0056296D" w:rsidP="008739FA">
      <w:pPr>
        <w:pStyle w:val="CommentText"/>
        <w:rPr>
          <w:lang w:val="en-US"/>
        </w:rPr>
      </w:pPr>
      <w:r w:rsidRPr="00B0094D">
        <w:rPr>
          <w:lang w:val="en-US"/>
        </w:rPr>
        <w:t>Agreed.</w:t>
      </w:r>
    </w:p>
  </w:comment>
  <w:comment w:id="17" w:author="Joost van den Roovaart" w:date="2020-07-15T16:12:00Z" w:initials="JvdR">
    <w:p w14:paraId="6CD2DF44" w14:textId="610055C2" w:rsidR="0056296D" w:rsidRDefault="0056296D">
      <w:pPr>
        <w:pStyle w:val="CommentText"/>
      </w:pPr>
      <w:r>
        <w:rPr>
          <w:rStyle w:val="CommentReference"/>
        </w:rPr>
        <w:annotationRef/>
      </w:r>
      <w:r>
        <w:t>65c</w:t>
      </w:r>
    </w:p>
  </w:comment>
  <w:comment w:id="18" w:author="Nathalie Kinga Kowalski" w:date="2020-04-10T12:44:00Z" w:initials="NKK">
    <w:p w14:paraId="29B1C5D2" w14:textId="77777777" w:rsidR="0056296D" w:rsidRPr="00B0094D" w:rsidRDefault="0056296D" w:rsidP="008739FA">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3FECEAD" w14:textId="77777777" w:rsidR="0056296D" w:rsidRPr="00B0094D" w:rsidRDefault="0056296D" w:rsidP="008739FA">
      <w:pPr>
        <w:pStyle w:val="CommentText"/>
        <w:rPr>
          <w:lang w:val="en-US"/>
        </w:rPr>
      </w:pPr>
      <w:r w:rsidRPr="00B0094D">
        <w:rPr>
          <w:lang w:val="en-US"/>
        </w:rPr>
        <w:t xml:space="preserve">As mentioned during our meeting in February, the metals association are funding a project, led by </w:t>
      </w:r>
      <w:r w:rsidRPr="00020E85">
        <w:rPr>
          <w:b/>
          <w:bCs/>
          <w:color w:val="C00000"/>
          <w:lang w:val="en-US"/>
        </w:rPr>
        <w:t>Sean Comber</w:t>
      </w:r>
      <w:r w:rsidRPr="00020E85">
        <w:rPr>
          <w:color w:val="C00000"/>
          <w:lang w:val="en-US"/>
        </w:rPr>
        <w:t xml:space="preserve"> </w:t>
      </w:r>
      <w:r w:rsidRPr="00B0094D">
        <w:rPr>
          <w:lang w:val="en-US"/>
        </w:rPr>
        <w:t>(University of Plymouth), investigating the source apportionment of metals into UWWTPs.</w:t>
      </w:r>
    </w:p>
    <w:p w14:paraId="014B7DF8" w14:textId="77777777" w:rsidR="0056296D" w:rsidRPr="00B0094D" w:rsidRDefault="0056296D" w:rsidP="008739FA">
      <w:pPr>
        <w:pStyle w:val="CommentText"/>
        <w:rPr>
          <w:lang w:val="en-US"/>
        </w:rPr>
      </w:pPr>
    </w:p>
    <w:p w14:paraId="3CBFCDE2" w14:textId="482C52A2" w:rsidR="0056296D" w:rsidRPr="0056296D" w:rsidRDefault="0056296D" w:rsidP="008739FA">
      <w:pPr>
        <w:pStyle w:val="CommentText"/>
        <w:rPr>
          <w:lang w:val="en-US"/>
        </w:rPr>
      </w:pPr>
      <w:r w:rsidRPr="00B0094D">
        <w:rPr>
          <w:lang w:val="en-US"/>
        </w:rPr>
        <w:t>We will be happy to share these findings with you</w:t>
      </w:r>
      <w:r>
        <w:rPr>
          <w:lang w:val="en-US"/>
        </w:rPr>
        <w:t xml:space="preserve"> when available</w:t>
      </w:r>
      <w:r w:rsidRPr="00B0094D">
        <w:rPr>
          <w:lang w:val="en-US"/>
        </w:rPr>
        <w:t>.</w:t>
      </w:r>
    </w:p>
  </w:comment>
  <w:comment w:id="19" w:author="Joost van den Roovaart" w:date="2020-07-15T16:13:00Z" w:initials="JvdR">
    <w:p w14:paraId="64E6D3E8" w14:textId="0F478D4D" w:rsidR="0056296D" w:rsidRDefault="0056296D">
      <w:pPr>
        <w:pStyle w:val="CommentText"/>
      </w:pPr>
      <w:r>
        <w:rPr>
          <w:rStyle w:val="CommentReference"/>
        </w:rPr>
        <w:annotationRef/>
      </w:r>
      <w:r>
        <w:t>66e</w:t>
      </w:r>
    </w:p>
  </w:comment>
  <w:comment w:id="21" w:author="Nathalie Kinga Kowalski" w:date="2020-04-10T12:48:00Z" w:initials="NKK">
    <w:p w14:paraId="36AFDD8D" w14:textId="77777777" w:rsidR="0056296D" w:rsidRPr="004D4AA6" w:rsidRDefault="0056296D" w:rsidP="004F1DA4">
      <w:pPr>
        <w:pStyle w:val="CommentText"/>
        <w:rPr>
          <w:lang w:val="en-US"/>
        </w:rPr>
      </w:pPr>
      <w:r>
        <w:rPr>
          <w:rStyle w:val="CommentReference"/>
        </w:rPr>
        <w:annotationRef/>
      </w:r>
      <w:proofErr w:type="spellStart"/>
      <w:r w:rsidRPr="004D4AA6">
        <w:rPr>
          <w:lang w:val="en-US"/>
        </w:rPr>
        <w:t>Eurometaux</w:t>
      </w:r>
      <w:proofErr w:type="spellEnd"/>
      <w:r w:rsidRPr="004D4AA6">
        <w:rPr>
          <w:lang w:val="en-US"/>
        </w:rPr>
        <w:t>:</w:t>
      </w:r>
    </w:p>
    <w:p w14:paraId="13D33A66" w14:textId="77777777" w:rsidR="0056296D" w:rsidRPr="004D4AA6" w:rsidRDefault="0056296D" w:rsidP="004F1DA4">
      <w:pPr>
        <w:pStyle w:val="CommentText"/>
        <w:rPr>
          <w:lang w:val="en-US"/>
        </w:rPr>
      </w:pPr>
      <w:r>
        <w:rPr>
          <w:lang w:val="en-US"/>
        </w:rPr>
        <w:t xml:space="preserve">Please note, </w:t>
      </w:r>
      <w:r w:rsidRPr="00AF53B7">
        <w:rPr>
          <w:lang w:val="en-US"/>
        </w:rPr>
        <w:t>“</w:t>
      </w:r>
      <w:r>
        <w:rPr>
          <w:lang w:val="en-US"/>
        </w:rPr>
        <w:t>h</w:t>
      </w:r>
      <w:r w:rsidRPr="00AF53B7">
        <w:rPr>
          <w:lang w:val="en-US"/>
        </w:rPr>
        <w:t>eavy” metal is a scientifically inappropriate term</w:t>
      </w:r>
      <w:r>
        <w:rPr>
          <w:lang w:val="en-US"/>
        </w:rPr>
        <w:t xml:space="preserve"> </w:t>
      </w:r>
      <w:r w:rsidRPr="00A670CF">
        <w:rPr>
          <w:highlight w:val="cyan"/>
          <w:lang w:val="en-US"/>
        </w:rPr>
        <w:t>(</w:t>
      </w:r>
      <w:proofErr w:type="spellStart"/>
      <w:r>
        <w:rPr>
          <w:highlight w:val="cyan"/>
          <w:lang w:val="en-US"/>
        </w:rPr>
        <w:t>Pourret</w:t>
      </w:r>
      <w:proofErr w:type="spellEnd"/>
      <w:r>
        <w:rPr>
          <w:highlight w:val="cyan"/>
          <w:lang w:val="en-US"/>
        </w:rPr>
        <w:t xml:space="preserve"> 2018</w:t>
      </w:r>
      <w:r w:rsidRPr="00A670CF">
        <w:rPr>
          <w:highlight w:val="cyan"/>
          <w:lang w:val="en-US"/>
        </w:rPr>
        <w:t>)</w:t>
      </w:r>
      <w:r w:rsidRPr="00AF53B7">
        <w:rPr>
          <w:lang w:val="en-US"/>
        </w:rPr>
        <w:t>; “metals” will do ...</w:t>
      </w:r>
      <w:r>
        <w:rPr>
          <w:lang w:val="en-US"/>
        </w:rPr>
        <w:t xml:space="preserve"> </w:t>
      </w:r>
      <w:r w:rsidRPr="00A670CF">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41AF7DB0" w14:textId="04758DBA" w:rsidR="0056296D" w:rsidRPr="0056296D" w:rsidRDefault="0056296D">
      <w:pPr>
        <w:pStyle w:val="CommentText"/>
        <w:rPr>
          <w:lang w:val="en-US"/>
        </w:rPr>
      </w:pPr>
    </w:p>
  </w:comment>
  <w:comment w:id="22" w:author="Joost van den Roovaart" w:date="2020-07-15T16:13:00Z" w:initials="JvdR">
    <w:p w14:paraId="470484C2" w14:textId="2881F711" w:rsidR="0056296D" w:rsidRDefault="0056296D">
      <w:pPr>
        <w:pStyle w:val="CommentText"/>
      </w:pPr>
      <w:r>
        <w:rPr>
          <w:rStyle w:val="CommentReference"/>
        </w:rPr>
        <w:annotationRef/>
      </w:r>
      <w:r>
        <w:t>67a</w:t>
      </w:r>
    </w:p>
  </w:comment>
  <w:comment w:id="23" w:author="Nathalie Kinga Kowalski" w:date="2020-04-10T12:49:00Z" w:initials="NKK">
    <w:p w14:paraId="3546010A" w14:textId="77777777" w:rsidR="0056296D" w:rsidRPr="004D4AA6" w:rsidRDefault="0056296D" w:rsidP="004F1DA4">
      <w:pPr>
        <w:pStyle w:val="CommentText"/>
        <w:rPr>
          <w:lang w:val="en-US"/>
        </w:rPr>
      </w:pPr>
      <w:r>
        <w:rPr>
          <w:rStyle w:val="CommentReference"/>
        </w:rPr>
        <w:annotationRef/>
      </w:r>
      <w:proofErr w:type="spellStart"/>
      <w:r w:rsidRPr="00A670CF">
        <w:rPr>
          <w:lang w:val="en-US"/>
        </w:rPr>
        <w:t>Eurometaux</w:t>
      </w:r>
      <w:proofErr w:type="spellEnd"/>
      <w:r w:rsidRPr="00A670CF">
        <w:rPr>
          <w:lang w:val="en-US"/>
        </w:rPr>
        <w:t>:</w:t>
      </w:r>
    </w:p>
    <w:p w14:paraId="7635A5C1" w14:textId="59A299A0" w:rsidR="0056296D" w:rsidRPr="0056296D" w:rsidRDefault="0056296D" w:rsidP="004F1DA4">
      <w:pPr>
        <w:pStyle w:val="CommentText"/>
        <w:rPr>
          <w:lang w:val="en-US"/>
        </w:rPr>
      </w:pPr>
      <w:r w:rsidRPr="004D4AA6">
        <w:rPr>
          <w:lang w:val="en-US"/>
        </w:rPr>
        <w:t xml:space="preserve">Please could you define, </w:t>
      </w:r>
      <w:r w:rsidRPr="00AF53B7">
        <w:rPr>
          <w:lang w:val="en-US"/>
        </w:rPr>
        <w:t>or explain</w:t>
      </w:r>
      <w:r w:rsidRPr="004D4AA6">
        <w:rPr>
          <w:lang w:val="en-US"/>
        </w:rPr>
        <w:t xml:space="preserve"> exactly what you consider as “sufficient”?  </w:t>
      </w:r>
    </w:p>
  </w:comment>
  <w:comment w:id="24" w:author="Joost van den Roovaart" w:date="2020-07-15T16:14:00Z" w:initials="JvdR">
    <w:p w14:paraId="1CEFFC9A" w14:textId="4ACF01A2" w:rsidR="0056296D" w:rsidRDefault="0056296D">
      <w:pPr>
        <w:pStyle w:val="CommentText"/>
      </w:pPr>
      <w:r>
        <w:rPr>
          <w:rStyle w:val="CommentReference"/>
        </w:rPr>
        <w:annotationRef/>
      </w:r>
      <w:r>
        <w:t>68f</w:t>
      </w:r>
    </w:p>
  </w:comment>
  <w:comment w:id="25" w:author="Nathalie Kinga Kowalski" w:date="2020-04-10T13:09:00Z" w:initials="NKK">
    <w:p w14:paraId="326C0444" w14:textId="77777777" w:rsidR="0056296D" w:rsidRPr="00B0094D" w:rsidRDefault="0056296D"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74EC7267" w14:textId="77777777" w:rsidR="0056296D" w:rsidRDefault="0056296D" w:rsidP="000973A0">
      <w:pPr>
        <w:pStyle w:val="CommentText"/>
        <w:rPr>
          <w:lang w:val="en-US"/>
        </w:rPr>
      </w:pPr>
      <w:r>
        <w:rPr>
          <w:lang w:val="en-US"/>
        </w:rPr>
        <w:t>Some regional specification of e.g. AR (use) and EF (e.g. rural versus urban) may be necessary, surely for bigger countries/RBD.</w:t>
      </w:r>
    </w:p>
    <w:p w14:paraId="2DEDC11F" w14:textId="77777777" w:rsidR="0056296D" w:rsidRDefault="0056296D" w:rsidP="000973A0">
      <w:pPr>
        <w:pStyle w:val="CommentText"/>
        <w:rPr>
          <w:lang w:val="en-US"/>
        </w:rPr>
      </w:pPr>
    </w:p>
    <w:p w14:paraId="1716C009" w14:textId="151684BA" w:rsidR="0056296D" w:rsidRPr="0056296D" w:rsidRDefault="0056296D" w:rsidP="000973A0">
      <w:pPr>
        <w:pStyle w:val="CommentText"/>
        <w:rPr>
          <w:lang w:val="en-US"/>
        </w:rPr>
      </w:pPr>
      <w:r>
        <w:rPr>
          <w:lang w:val="en-US"/>
        </w:rPr>
        <w:t xml:space="preserve">Either way, </w:t>
      </w:r>
      <w:r w:rsidRPr="004D4AA6">
        <w:rPr>
          <w:lang w:val="en-US"/>
        </w:rPr>
        <w:t>reporting quality and quantity must be consistent among countries, otherwise additional variables come into play.</w:t>
      </w:r>
    </w:p>
  </w:comment>
  <w:comment w:id="26" w:author="Joost van den Roovaart" w:date="2020-07-15T16:15:00Z" w:initials="JvdR">
    <w:p w14:paraId="027E712F" w14:textId="65511CE0" w:rsidR="0056296D" w:rsidRDefault="0056296D">
      <w:pPr>
        <w:pStyle w:val="CommentText"/>
      </w:pPr>
      <w:r>
        <w:rPr>
          <w:rStyle w:val="CommentReference"/>
        </w:rPr>
        <w:annotationRef/>
      </w:r>
      <w:r>
        <w:t>69d</w:t>
      </w:r>
    </w:p>
  </w:comment>
  <w:comment w:id="28" w:author="Nathalie Kinga Kowalski" w:date="2020-04-10T13:09:00Z" w:initials="NKK">
    <w:p w14:paraId="6A153697" w14:textId="77777777" w:rsidR="0056296D" w:rsidRDefault="0056296D" w:rsidP="000973A0">
      <w:pPr>
        <w:pStyle w:val="CommentText"/>
        <w:rPr>
          <w:lang w:val="en-US"/>
        </w:rPr>
      </w:pPr>
      <w:r>
        <w:rPr>
          <w:rStyle w:val="CommentReference"/>
        </w:rPr>
        <w:annotationRef/>
      </w:r>
      <w:proofErr w:type="spellStart"/>
      <w:r w:rsidRPr="00920CDA">
        <w:rPr>
          <w:lang w:val="en-US"/>
        </w:rPr>
        <w:t>Eurometaux</w:t>
      </w:r>
      <w:proofErr w:type="spellEnd"/>
      <w:r w:rsidRPr="00920CDA">
        <w:rPr>
          <w:lang w:val="en-US"/>
        </w:rPr>
        <w:t>:</w:t>
      </w:r>
    </w:p>
    <w:p w14:paraId="5CD1BACC" w14:textId="4ADC419B" w:rsidR="0056296D" w:rsidRPr="0056296D" w:rsidRDefault="0056296D" w:rsidP="000973A0">
      <w:pPr>
        <w:pStyle w:val="CommentText"/>
        <w:rPr>
          <w:lang w:val="en-US"/>
        </w:rPr>
      </w:pPr>
      <w:r w:rsidRPr="004D4AA6">
        <w:rPr>
          <w:lang w:val="en-US"/>
        </w:rPr>
        <w:t>For practical reasons it would make sense to work from case studies</w:t>
      </w:r>
      <w:r>
        <w:rPr>
          <w:lang w:val="en-US"/>
        </w:rPr>
        <w:t xml:space="preserve"> on both organics and inorganics</w:t>
      </w:r>
      <w:r w:rsidRPr="004D4AA6">
        <w:rPr>
          <w:lang w:val="en-US"/>
        </w:rPr>
        <w:t>. I</w:t>
      </w:r>
      <w:r>
        <w:rPr>
          <w:lang w:val="en-US"/>
        </w:rPr>
        <w:t>.e. i</w:t>
      </w:r>
      <w:r w:rsidRPr="004D4AA6">
        <w:rPr>
          <w:lang w:val="en-US"/>
        </w:rPr>
        <w:t>nclud</w:t>
      </w:r>
      <w:r>
        <w:rPr>
          <w:lang w:val="en-US"/>
        </w:rPr>
        <w:t>e</w:t>
      </w:r>
      <w:r w:rsidRPr="004D4AA6">
        <w:rPr>
          <w:lang w:val="en-US"/>
        </w:rPr>
        <w:t xml:space="preserve"> case studies of substances with different source profiles </w:t>
      </w:r>
      <w:r>
        <w:rPr>
          <w:lang w:val="en-US"/>
        </w:rPr>
        <w:t xml:space="preserve">and use patterns </w:t>
      </w:r>
      <w:r w:rsidRPr="004D4AA6">
        <w:rPr>
          <w:lang w:val="en-US"/>
        </w:rPr>
        <w:t>would be important to make sure that conclusions from any one case are not blindly applied to other substances</w:t>
      </w:r>
      <w:r>
        <w:rPr>
          <w:lang w:val="en-US"/>
        </w:rPr>
        <w:t xml:space="preserve">. </w:t>
      </w:r>
      <w:r w:rsidRPr="004D4AA6">
        <w:rPr>
          <w:lang w:val="en-US"/>
        </w:rPr>
        <w:t xml:space="preserve">It may turn out that each substance will require an in-depth </w:t>
      </w:r>
      <w:r>
        <w:rPr>
          <w:lang w:val="en-US"/>
        </w:rPr>
        <w:t xml:space="preserve">compound-specific </w:t>
      </w:r>
      <w:r w:rsidRPr="004D4AA6">
        <w:rPr>
          <w:lang w:val="en-US"/>
        </w:rPr>
        <w:t>analysis</w:t>
      </w:r>
    </w:p>
  </w:comment>
  <w:comment w:id="29" w:author="Joost van den Roovaart" w:date="2020-07-15T16:16:00Z" w:initials="JvdR">
    <w:p w14:paraId="73CDA4FF" w14:textId="2D8B8347" w:rsidR="0056296D" w:rsidRDefault="0056296D">
      <w:pPr>
        <w:pStyle w:val="CommentText"/>
      </w:pPr>
      <w:r>
        <w:rPr>
          <w:rStyle w:val="CommentReference"/>
        </w:rPr>
        <w:annotationRef/>
      </w:r>
      <w:r>
        <w:t>70d</w:t>
      </w:r>
    </w:p>
  </w:comment>
  <w:comment w:id="30" w:author="Nathalie Kinga Kowalski" w:date="2020-04-10T13:10:00Z" w:initials="NKK">
    <w:p w14:paraId="5D223625" w14:textId="77777777" w:rsidR="0056296D" w:rsidRPr="00B0094D" w:rsidRDefault="0056296D"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204F7D4D" w14:textId="048419B0" w:rsidR="0056296D" w:rsidRPr="0056296D" w:rsidRDefault="0056296D" w:rsidP="000973A0">
      <w:pPr>
        <w:pStyle w:val="CommentText"/>
        <w:rPr>
          <w:lang w:val="en-US"/>
        </w:rPr>
      </w:pPr>
      <w:r w:rsidRPr="00B0094D">
        <w:rPr>
          <w:lang w:val="en-US"/>
        </w:rPr>
        <w:t>Yes.</w:t>
      </w:r>
    </w:p>
  </w:comment>
  <w:comment w:id="31" w:author="Joost van den Roovaart" w:date="2020-07-15T16:16:00Z" w:initials="JvdR">
    <w:p w14:paraId="5C380E1D" w14:textId="4F06E398" w:rsidR="0056296D" w:rsidRDefault="0056296D">
      <w:pPr>
        <w:pStyle w:val="CommentText"/>
      </w:pPr>
      <w:r>
        <w:rPr>
          <w:rStyle w:val="CommentReference"/>
        </w:rPr>
        <w:annotationRef/>
      </w:r>
      <w:r>
        <w:t>71d</w:t>
      </w:r>
    </w:p>
  </w:comment>
  <w:comment w:id="32" w:author="Nathalie Kinga Kowalski" w:date="2020-04-10T13:10:00Z" w:initials="NKK">
    <w:p w14:paraId="234F924C" w14:textId="77777777" w:rsidR="0056296D" w:rsidRPr="004D4AA6" w:rsidRDefault="0056296D" w:rsidP="000973A0">
      <w:pPr>
        <w:pStyle w:val="CommentText"/>
        <w:rPr>
          <w:lang w:val="en-US"/>
        </w:rPr>
      </w:pPr>
      <w:r>
        <w:rPr>
          <w:rStyle w:val="CommentReference"/>
        </w:rPr>
        <w:annotationRef/>
      </w:r>
      <w:proofErr w:type="spellStart"/>
      <w:r w:rsidRPr="004D4AA6">
        <w:rPr>
          <w:lang w:val="en-US"/>
        </w:rPr>
        <w:t>Eurometaux</w:t>
      </w:r>
      <w:proofErr w:type="spellEnd"/>
      <w:r w:rsidRPr="004D4AA6">
        <w:rPr>
          <w:lang w:val="en-US"/>
        </w:rPr>
        <w:t>:</w:t>
      </w:r>
    </w:p>
    <w:p w14:paraId="3EAC3C49" w14:textId="77777777" w:rsidR="0056296D" w:rsidRPr="004D4AA6" w:rsidRDefault="0056296D" w:rsidP="000973A0">
      <w:pPr>
        <w:pStyle w:val="CommentText"/>
        <w:rPr>
          <w:lang w:val="en-US"/>
        </w:rPr>
      </w:pPr>
      <w:r w:rsidRPr="004D4AA6">
        <w:rPr>
          <w:lang w:val="en-US"/>
        </w:rPr>
        <w:t xml:space="preserve">This indicates that the significance of natural sources for PAHs is uncertain. PAH’s occur naturally...   </w:t>
      </w:r>
    </w:p>
    <w:p w14:paraId="78487FE1" w14:textId="105EE3A3" w:rsidR="0056296D" w:rsidRPr="0056296D" w:rsidRDefault="0056296D">
      <w:pPr>
        <w:pStyle w:val="CommentText"/>
        <w:rPr>
          <w:lang w:val="en-US"/>
        </w:rPr>
      </w:pPr>
    </w:p>
  </w:comment>
  <w:comment w:id="33" w:author="Joost van den Roovaart" w:date="2020-07-15T16:16:00Z" w:initials="JvdR">
    <w:p w14:paraId="56561E0D" w14:textId="29BB5DB0" w:rsidR="0056296D" w:rsidRDefault="0056296D">
      <w:pPr>
        <w:pStyle w:val="CommentText"/>
      </w:pPr>
      <w:r>
        <w:rPr>
          <w:rStyle w:val="CommentReference"/>
        </w:rPr>
        <w:annotationRef/>
      </w:r>
      <w:r w:rsidR="00EE4DE1">
        <w:t>72d</w:t>
      </w:r>
    </w:p>
  </w:comment>
  <w:comment w:id="34" w:author="Nathalie Kinga Kowalski" w:date="2020-04-10T13:10:00Z" w:initials="NKK">
    <w:p w14:paraId="06F79D6A" w14:textId="77777777" w:rsidR="0056296D" w:rsidRPr="00B0094D" w:rsidRDefault="0056296D"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03BACAA3" w14:textId="645E9B76" w:rsidR="0056296D" w:rsidRPr="0056296D" w:rsidRDefault="0056296D" w:rsidP="000973A0">
      <w:pPr>
        <w:pStyle w:val="CommentText"/>
        <w:rPr>
          <w:lang w:val="en-US"/>
        </w:rPr>
      </w:pPr>
      <w:r w:rsidRPr="004D4AA6">
        <w:rPr>
          <w:lang w:val="en-US"/>
        </w:rPr>
        <w:t xml:space="preserve">For general discussion. We recall that P12 – inland navigation – was at least noted in the </w:t>
      </w:r>
      <w:r w:rsidRPr="0003026C">
        <w:rPr>
          <w:highlight w:val="cyan"/>
          <w:lang w:val="en-US"/>
        </w:rPr>
        <w:t>EU RA for Ni</w:t>
      </w:r>
      <w:r w:rsidRPr="004D4AA6">
        <w:rPr>
          <w:lang w:val="en-US"/>
        </w:rPr>
        <w:t xml:space="preserve"> as a quantifiable source.  It probably would be for other substances associated with fossil fuel combustion as well.  </w:t>
      </w:r>
    </w:p>
  </w:comment>
  <w:comment w:id="35" w:author="Joost van den Roovaart" w:date="2020-07-15T16:18:00Z" w:initials="JvdR">
    <w:p w14:paraId="1405E209" w14:textId="24A8751F" w:rsidR="00EE4DE1" w:rsidRDefault="00EE4DE1">
      <w:pPr>
        <w:pStyle w:val="CommentText"/>
      </w:pPr>
      <w:r>
        <w:rPr>
          <w:rStyle w:val="CommentReference"/>
        </w:rPr>
        <w:annotationRef/>
      </w:r>
      <w:r>
        <w:t>73de</w:t>
      </w:r>
    </w:p>
  </w:comment>
  <w:comment w:id="36" w:author="Nathalie Kinga Kowalski" w:date="2020-04-10T13:10:00Z" w:initials="NKK">
    <w:p w14:paraId="2A5A0799" w14:textId="77777777" w:rsidR="0056296D" w:rsidRPr="00524557" w:rsidRDefault="0056296D" w:rsidP="000973A0">
      <w:pPr>
        <w:pStyle w:val="CommentText"/>
        <w:rPr>
          <w:lang w:val="en-US"/>
        </w:rPr>
      </w:pPr>
      <w:r>
        <w:rPr>
          <w:rStyle w:val="CommentReference"/>
        </w:rPr>
        <w:annotationRef/>
      </w:r>
      <w:r w:rsidRPr="00524557">
        <w:rPr>
          <w:rStyle w:val="CommentReference"/>
        </w:rPr>
        <w:annotationRef/>
      </w:r>
      <w:proofErr w:type="spellStart"/>
      <w:r w:rsidRPr="00524557">
        <w:rPr>
          <w:lang w:val="en-US"/>
        </w:rPr>
        <w:t>Eurometaux</w:t>
      </w:r>
      <w:proofErr w:type="spellEnd"/>
      <w:r w:rsidRPr="00524557">
        <w:rPr>
          <w:lang w:val="en-US"/>
        </w:rPr>
        <w:t>:</w:t>
      </w:r>
    </w:p>
    <w:p w14:paraId="5AE23CB1" w14:textId="76E3649D" w:rsidR="0056296D" w:rsidRPr="004D4AA6" w:rsidRDefault="0056296D" w:rsidP="000973A0">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(P1)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p w14:paraId="6983F416" w14:textId="0637EBB4" w:rsidR="0056296D" w:rsidRPr="000973A0" w:rsidRDefault="0056296D">
      <w:pPr>
        <w:pStyle w:val="CommentText"/>
        <w:rPr>
          <w:lang w:val="en-US"/>
        </w:rPr>
      </w:pPr>
    </w:p>
  </w:comment>
  <w:comment w:id="37" w:author="Joost van den Roovaart" w:date="2020-07-15T16:19:00Z" w:initials="JvdR">
    <w:p w14:paraId="6DA1FA41" w14:textId="78A44BFF" w:rsidR="00EE4DE1" w:rsidRDefault="00EE4DE1">
      <w:pPr>
        <w:pStyle w:val="CommentText"/>
      </w:pPr>
      <w:r>
        <w:rPr>
          <w:rStyle w:val="CommentReference"/>
        </w:rPr>
        <w:annotationRef/>
      </w:r>
      <w:r>
        <w:t>See Annex 1</w:t>
      </w:r>
    </w:p>
  </w:comment>
  <w:comment w:id="38" w:author="Nathalie Kinga Kowalski" w:date="2020-04-10T13:11:00Z" w:initials="NKK">
    <w:p w14:paraId="0360BCCD" w14:textId="77777777" w:rsidR="0056296D" w:rsidRPr="00B0094D" w:rsidRDefault="0056296D" w:rsidP="000973A0">
      <w:pPr>
        <w:pStyle w:val="CommentText"/>
        <w:rPr>
          <w:lang w:val="en-US"/>
        </w:rPr>
      </w:pPr>
      <w:r>
        <w:rPr>
          <w:rStyle w:val="CommentReference"/>
        </w:rPr>
        <w:annotationRef/>
      </w:r>
      <w:proofErr w:type="spellStart"/>
      <w:r w:rsidRPr="00920CDA">
        <w:rPr>
          <w:lang w:val="en-US"/>
        </w:rPr>
        <w:t>Eurometaux</w:t>
      </w:r>
      <w:proofErr w:type="spellEnd"/>
      <w:r w:rsidRPr="00920CDA">
        <w:rPr>
          <w:lang w:val="en-US"/>
        </w:rPr>
        <w:t>:</w:t>
      </w:r>
    </w:p>
    <w:p w14:paraId="3137C73C" w14:textId="77777777" w:rsidR="0056296D" w:rsidRDefault="0056296D" w:rsidP="000973A0">
      <w:pPr>
        <w:pStyle w:val="CommentText"/>
        <w:rPr>
          <w:lang w:val="en-US"/>
        </w:rPr>
      </w:pPr>
      <w:r w:rsidRPr="002B6E86">
        <w:rPr>
          <w:lang w:val="en-US"/>
        </w:rPr>
        <w:t>Data sources like E</w:t>
      </w:r>
      <w:r>
        <w:rPr>
          <w:lang w:val="en-US"/>
        </w:rPr>
        <w:t xml:space="preserve">MEP are useful here, but we could also engage to provide data we have available. For example, for some metals we have data </w:t>
      </w:r>
      <w:r w:rsidRPr="00B0094D">
        <w:rPr>
          <w:lang w:val="en-US"/>
        </w:rPr>
        <w:t>for deposition rates into soil</w:t>
      </w:r>
      <w:r>
        <w:rPr>
          <w:lang w:val="en-US"/>
        </w:rPr>
        <w:t xml:space="preserve">, from which deposition rates into water can also be calculated. </w:t>
      </w:r>
    </w:p>
    <w:p w14:paraId="43E31C91" w14:textId="77777777" w:rsidR="0056296D" w:rsidRDefault="0056296D" w:rsidP="000973A0">
      <w:pPr>
        <w:pStyle w:val="CommentText"/>
        <w:rPr>
          <w:lang w:val="en-US"/>
        </w:rPr>
      </w:pPr>
    </w:p>
    <w:p w14:paraId="4903975B" w14:textId="7ACBC35C" w:rsidR="0056296D" w:rsidRPr="0056296D" w:rsidRDefault="0056296D" w:rsidP="000973A0">
      <w:pPr>
        <w:pStyle w:val="CommentText"/>
        <w:rPr>
          <w:lang w:val="en-US"/>
        </w:rPr>
      </w:pPr>
      <w:r>
        <w:rPr>
          <w:lang w:val="en-US"/>
        </w:rPr>
        <w:t xml:space="preserve">It is important to note, that </w:t>
      </w:r>
      <w:r w:rsidRPr="004D4AA6">
        <w:rPr>
          <w:lang w:val="en-US"/>
        </w:rPr>
        <w:t>using recent atmospheric deposition data is critical for Pb.</w:t>
      </w:r>
    </w:p>
  </w:comment>
  <w:comment w:id="39" w:author="Joost van den Roovaart" w:date="2020-07-15T16:19:00Z" w:initials="JvdR">
    <w:p w14:paraId="4B411767" w14:textId="0E9FBCA6" w:rsidR="00EE4DE1" w:rsidRDefault="00EE4DE1">
      <w:pPr>
        <w:pStyle w:val="CommentText"/>
      </w:pPr>
      <w:r>
        <w:rPr>
          <w:rStyle w:val="CommentReference"/>
        </w:rPr>
        <w:annotationRef/>
      </w:r>
      <w:r>
        <w:t>74de</w:t>
      </w:r>
    </w:p>
  </w:comment>
  <w:comment w:id="40" w:author="Nathalie Kinga Kowalski" w:date="2020-04-10T13:11:00Z" w:initials="NKK">
    <w:p w14:paraId="3318EB36" w14:textId="77777777" w:rsidR="0056296D" w:rsidRPr="00524557" w:rsidRDefault="0056296D" w:rsidP="000973A0">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9846E5C" w14:textId="4B64DA94" w:rsidR="0056296D" w:rsidRPr="0056296D" w:rsidRDefault="0056296D" w:rsidP="000973A0">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(P2)</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41" w:author="Joost van den Roovaart" w:date="2020-07-15T16:20:00Z" w:initials="JvdR">
    <w:p w14:paraId="3A848510" w14:textId="7AD507FD" w:rsidR="00EE4DE1" w:rsidRDefault="00EE4DE1">
      <w:pPr>
        <w:pStyle w:val="CommentText"/>
      </w:pPr>
      <w:r>
        <w:rPr>
          <w:rStyle w:val="CommentReference"/>
        </w:rPr>
        <w:annotationRef/>
      </w:r>
      <w:r>
        <w:t>See Annex 1</w:t>
      </w:r>
    </w:p>
  </w:comment>
  <w:comment w:id="42" w:author="Nathalie Kinga Kowalski" w:date="2020-04-10T13:11:00Z" w:initials="NKK">
    <w:p w14:paraId="4F3EFA7B" w14:textId="77777777" w:rsidR="0056296D" w:rsidRDefault="0056296D" w:rsidP="000973A0">
      <w:pPr>
        <w:pStyle w:val="CommentText"/>
        <w:rPr>
          <w:lang w:val="en-US"/>
        </w:rPr>
      </w:pPr>
      <w:r>
        <w:rPr>
          <w:rStyle w:val="CommentReference"/>
        </w:rPr>
        <w:annotationRef/>
      </w:r>
      <w:r>
        <w:rPr>
          <w:rStyle w:val="CommentReference"/>
        </w:rPr>
        <w:annotationRef/>
      </w:r>
      <w:proofErr w:type="spellStart"/>
      <w:r>
        <w:rPr>
          <w:lang w:val="en-US"/>
        </w:rPr>
        <w:t>Eurometaux</w:t>
      </w:r>
      <w:proofErr w:type="spellEnd"/>
      <w:r>
        <w:rPr>
          <w:lang w:val="en-US"/>
        </w:rPr>
        <w:t>:</w:t>
      </w:r>
    </w:p>
    <w:p w14:paraId="76091F55" w14:textId="7C70060F" w:rsidR="0056296D" w:rsidRPr="000973A0" w:rsidRDefault="0056296D">
      <w:pPr>
        <w:pStyle w:val="CommentText"/>
        <w:rPr>
          <w:lang w:val="en-US"/>
        </w:rPr>
      </w:pPr>
      <w:proofErr w:type="spellStart"/>
      <w:r>
        <w:rPr>
          <w:lang w:val="en-US"/>
        </w:rPr>
        <w:t>E</w:t>
      </w:r>
      <w:r w:rsidRPr="00D437E9">
        <w:rPr>
          <w:lang w:val="en-US"/>
        </w:rPr>
        <w:t>mphasi</w:t>
      </w:r>
      <w:r>
        <w:rPr>
          <w:lang w:val="en-US"/>
        </w:rPr>
        <w:t>s</w:t>
      </w:r>
      <w:r w:rsidRPr="00D437E9">
        <w:rPr>
          <w:lang w:val="en-US"/>
        </w:rPr>
        <w:t>ed</w:t>
      </w:r>
      <w:proofErr w:type="spellEnd"/>
      <w:r w:rsidRPr="00D437E9">
        <w:rPr>
          <w:lang w:val="en-US"/>
        </w:rPr>
        <w:t xml:space="preserve"> t</w:t>
      </w:r>
      <w:r>
        <w:rPr>
          <w:lang w:val="en-US"/>
        </w:rPr>
        <w:t>hat this is partly a natural component for metals.</w:t>
      </w:r>
    </w:p>
  </w:comment>
  <w:comment w:id="43" w:author="Joost van den Roovaart" w:date="2020-07-15T16:24:00Z" w:initials="JvdR">
    <w:p w14:paraId="59A064F7" w14:textId="72D37274" w:rsidR="00EE4DE1" w:rsidRDefault="00EE4DE1">
      <w:pPr>
        <w:pStyle w:val="CommentText"/>
      </w:pPr>
      <w:r>
        <w:rPr>
          <w:rStyle w:val="CommentReference"/>
        </w:rPr>
        <w:annotationRef/>
      </w:r>
      <w:r>
        <w:t>75a</w:t>
      </w:r>
    </w:p>
  </w:comment>
  <w:comment w:id="44" w:author="Nathalie Kinga Kowalski" w:date="2020-04-10T13:11:00Z" w:initials="NKK">
    <w:p w14:paraId="716C039C" w14:textId="77777777" w:rsidR="0056296D" w:rsidRPr="00B0094D" w:rsidRDefault="0056296D" w:rsidP="000973A0">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57D37699" w14:textId="5CA0E2E1" w:rsidR="0056296D" w:rsidRPr="00B0094D" w:rsidRDefault="0056296D" w:rsidP="000973A0">
      <w:pPr>
        <w:pStyle w:val="CommentText"/>
        <w:rPr>
          <w:lang w:val="en-US"/>
        </w:rPr>
      </w:pPr>
      <w:bookmarkStart w:id="46" w:name="_Hlk37421462"/>
      <w:r w:rsidRPr="00B0094D">
        <w:rPr>
          <w:lang w:val="en-US"/>
        </w:rPr>
        <w:t xml:space="preserve">The soil is a very complex system and we </w:t>
      </w:r>
      <w:r>
        <w:rPr>
          <w:lang w:val="en-US"/>
        </w:rPr>
        <w:t>think it is here oversimplified</w:t>
      </w:r>
      <w:r w:rsidRPr="00B0094D">
        <w:rPr>
          <w:lang w:val="en-US"/>
        </w:rPr>
        <w:t xml:space="preserve">. </w:t>
      </w:r>
      <w:bookmarkEnd w:id="46"/>
    </w:p>
    <w:p w14:paraId="6679C065" w14:textId="77777777" w:rsidR="0056296D" w:rsidRPr="00B0094D" w:rsidRDefault="0056296D" w:rsidP="000973A0">
      <w:pPr>
        <w:pStyle w:val="CommentText"/>
        <w:rPr>
          <w:lang w:val="en-US"/>
        </w:rPr>
      </w:pPr>
    </w:p>
    <w:p w14:paraId="67D6C359" w14:textId="77777777" w:rsidR="0056296D" w:rsidRDefault="0056296D" w:rsidP="000973A0">
      <w:pPr>
        <w:pStyle w:val="CommentText"/>
        <w:rPr>
          <w:lang w:val="en-US"/>
        </w:rPr>
      </w:pPr>
      <w:r w:rsidRPr="00B0094D">
        <w:rPr>
          <w:lang w:val="en-US"/>
        </w:rPr>
        <w:t>It is well established that soil type (sand, clay etc.,), soil characteristics (</w:t>
      </w:r>
      <w:proofErr w:type="spellStart"/>
      <w:r w:rsidRPr="00B0094D">
        <w:rPr>
          <w:lang w:val="en-US"/>
        </w:rPr>
        <w:t>inc.</w:t>
      </w:r>
      <w:proofErr w:type="spellEnd"/>
      <w:r w:rsidRPr="00B0094D">
        <w:rPr>
          <w:lang w:val="en-US"/>
        </w:rPr>
        <w:t xml:space="preserve"> pH</w:t>
      </w:r>
      <w:r>
        <w:rPr>
          <w:lang w:val="en-US"/>
        </w:rPr>
        <w:t>, minerology</w:t>
      </w:r>
      <w:r w:rsidRPr="00B0094D">
        <w:rPr>
          <w:lang w:val="en-US"/>
        </w:rPr>
        <w:t xml:space="preserve">), soil age </w:t>
      </w:r>
      <w:r>
        <w:rPr>
          <w:lang w:val="en-US"/>
        </w:rPr>
        <w:t xml:space="preserve">and topology (type of crop, plant cover) </w:t>
      </w:r>
      <w:r w:rsidRPr="00B0094D">
        <w:rPr>
          <w:lang w:val="en-US"/>
        </w:rPr>
        <w:t>can all influence the availability/binding of metals within the soil matrix.</w:t>
      </w:r>
    </w:p>
    <w:p w14:paraId="3511134F" w14:textId="77777777" w:rsidR="0056296D" w:rsidRDefault="0056296D" w:rsidP="000973A0">
      <w:pPr>
        <w:pStyle w:val="CommentText"/>
        <w:rPr>
          <w:lang w:val="en-US"/>
        </w:rPr>
      </w:pPr>
    </w:p>
    <w:p w14:paraId="6B1E9FB4" w14:textId="77777777" w:rsidR="0056296D" w:rsidRPr="004D4AA6" w:rsidRDefault="0056296D" w:rsidP="000973A0">
      <w:pPr>
        <w:pStyle w:val="CommentText"/>
        <w:rPr>
          <w:lang w:val="en-US"/>
        </w:rPr>
      </w:pPr>
      <w:r>
        <w:rPr>
          <w:lang w:val="en-US"/>
        </w:rPr>
        <w:t xml:space="preserve">A good repository for soil data is the </w:t>
      </w:r>
      <w:r w:rsidRPr="000B4095">
        <w:rPr>
          <w:highlight w:val="cyan"/>
          <w:lang w:val="en-US"/>
        </w:rPr>
        <w:t>GEMAS database</w:t>
      </w:r>
      <w:r w:rsidRPr="004D4AA6">
        <w:rPr>
          <w:lang w:val="en-US"/>
        </w:rPr>
        <w:t xml:space="preserve">, which includes a wealth of data on metals in agricultural soils throughout EU. </w:t>
      </w:r>
      <w:hyperlink r:id="rId1" w:history="1">
        <w:r w:rsidRPr="004D4AA6">
          <w:rPr>
            <w:rStyle w:val="Hyperlink"/>
            <w:lang w:val="en-US"/>
          </w:rPr>
          <w:t>https://www.eurogeosurveys.org/projects/gemas/</w:t>
        </w:r>
      </w:hyperlink>
      <w:r w:rsidRPr="004D4AA6">
        <w:rPr>
          <w:lang w:val="en-US"/>
        </w:rPr>
        <w:t>; This allows for a refined assessment at least on a per-country basis. Although data are on whole soil, not in “fine soil”, this database should nevertheless be a more accurate source than the single numbers used in Table 3.</w:t>
      </w:r>
    </w:p>
    <w:p w14:paraId="10E1ACB6" w14:textId="77777777" w:rsidR="0056296D" w:rsidRPr="004D4AA6" w:rsidRDefault="0056296D" w:rsidP="000973A0">
      <w:pPr>
        <w:pStyle w:val="CommentText"/>
        <w:rPr>
          <w:lang w:val="en-US"/>
        </w:rPr>
      </w:pPr>
    </w:p>
    <w:p w14:paraId="3CAB8062" w14:textId="77777777" w:rsidR="0056296D" w:rsidRPr="004D4AA6" w:rsidRDefault="0056296D" w:rsidP="000973A0">
      <w:pPr>
        <w:pStyle w:val="CommentText"/>
        <w:rPr>
          <w:lang w:val="en-US"/>
        </w:rPr>
      </w:pPr>
      <w:r w:rsidRPr="004D4AA6">
        <w:rPr>
          <w:lang w:val="en-US"/>
        </w:rPr>
        <w:t>Additionally, of note, for metals, only part of the total metal is released to the water, the remainder binds to the sediment.</w:t>
      </w:r>
    </w:p>
    <w:p w14:paraId="4BE99D11" w14:textId="5C3B7E60" w:rsidR="0056296D" w:rsidRPr="000973A0" w:rsidRDefault="0056296D">
      <w:pPr>
        <w:pStyle w:val="CommentText"/>
        <w:rPr>
          <w:lang w:val="en-US"/>
        </w:rPr>
      </w:pPr>
    </w:p>
  </w:comment>
  <w:comment w:id="45" w:author="Joost van den Roovaart" w:date="2020-07-15T16:25:00Z" w:initials="JvdR">
    <w:p w14:paraId="34DAC633" w14:textId="0BAB2B85" w:rsidR="00EE4DE1" w:rsidRDefault="00EE4DE1">
      <w:pPr>
        <w:pStyle w:val="CommentText"/>
      </w:pPr>
      <w:r>
        <w:rPr>
          <w:rStyle w:val="CommentReference"/>
        </w:rPr>
        <w:annotationRef/>
      </w:r>
      <w:r>
        <w:t>76de</w:t>
      </w:r>
    </w:p>
  </w:comment>
  <w:comment w:id="47" w:author="Nathalie Kinga Kowalski" w:date="2020-04-10T13:12:00Z" w:initials="NKK">
    <w:p w14:paraId="31491541" w14:textId="77777777" w:rsidR="0056296D" w:rsidRPr="00524557" w:rsidRDefault="0056296D" w:rsidP="000973A0">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09A64C4" w14:textId="2A4B5A8A" w:rsidR="0056296D" w:rsidRPr="0056296D" w:rsidRDefault="0056296D" w:rsidP="000973A0">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(P3)</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48" w:author="Joost van den Roovaart" w:date="2020-07-15T16:25:00Z" w:initials="JvdR">
    <w:p w14:paraId="40B13315" w14:textId="4855624B" w:rsidR="00EE4DE1" w:rsidRDefault="00EE4DE1">
      <w:pPr>
        <w:pStyle w:val="CommentText"/>
      </w:pPr>
      <w:r>
        <w:rPr>
          <w:rStyle w:val="CommentReference"/>
        </w:rPr>
        <w:annotationRef/>
      </w:r>
      <w:r>
        <w:t>See Annex 1</w:t>
      </w:r>
    </w:p>
  </w:comment>
  <w:comment w:id="49" w:author="Nathalie Kinga Kowalski" w:date="2020-04-10T13:12:00Z" w:initials="NKK">
    <w:p w14:paraId="1B01ED3D" w14:textId="77777777" w:rsidR="0056296D" w:rsidRPr="00B0094D" w:rsidRDefault="0056296D" w:rsidP="000973A0">
      <w:pPr>
        <w:pStyle w:val="CommentText"/>
        <w:rPr>
          <w:lang w:val="en-US"/>
        </w:rPr>
      </w:pPr>
      <w:r>
        <w:rPr>
          <w:rStyle w:val="CommentReference"/>
        </w:rPr>
        <w:annotationRef/>
      </w:r>
      <w:r>
        <w:rPr>
          <w:rStyle w:val="CommentReference"/>
        </w:rPr>
        <w:annotationRef/>
      </w:r>
      <w:proofErr w:type="spellStart"/>
      <w:r w:rsidRPr="000338D2">
        <w:rPr>
          <w:lang w:val="en-US"/>
        </w:rPr>
        <w:t>Eurometaux</w:t>
      </w:r>
      <w:proofErr w:type="spellEnd"/>
      <w:r w:rsidRPr="000338D2">
        <w:rPr>
          <w:lang w:val="en-US"/>
        </w:rPr>
        <w:t>:</w:t>
      </w:r>
    </w:p>
    <w:p w14:paraId="33F6EDCA" w14:textId="77777777" w:rsidR="0056296D" w:rsidRDefault="0056296D" w:rsidP="000973A0">
      <w:pPr>
        <w:pStyle w:val="CommentText"/>
        <w:rPr>
          <w:lang w:val="en-US"/>
        </w:rPr>
      </w:pPr>
      <w:r w:rsidRPr="00E43753">
        <w:rPr>
          <w:lang w:val="en-US"/>
        </w:rPr>
        <w:t>This is a</w:t>
      </w:r>
      <w:r>
        <w:rPr>
          <w:lang w:val="en-US"/>
        </w:rPr>
        <w:t>n important issue for the metals. Updated assessments have been made. For example, i</w:t>
      </w:r>
      <w:r w:rsidRPr="009F421F">
        <w:rPr>
          <w:lang w:val="en-US"/>
        </w:rPr>
        <w:t xml:space="preserve">n depth analyses are available for Ni from the </w:t>
      </w:r>
      <w:r w:rsidRPr="000B4095">
        <w:rPr>
          <w:highlight w:val="cyan"/>
          <w:lang w:val="en-US"/>
        </w:rPr>
        <w:t>EU RA</w:t>
      </w:r>
      <w:r w:rsidRPr="009F421F">
        <w:rPr>
          <w:lang w:val="en-US"/>
        </w:rPr>
        <w:t>, including metal content in phosphate based fertilizers</w:t>
      </w:r>
      <w:r>
        <w:rPr>
          <w:lang w:val="en-US"/>
        </w:rPr>
        <w:t xml:space="preserve"> (</w:t>
      </w:r>
      <w:hyperlink r:id="rId2" w:history="1">
        <w:r w:rsidRPr="000B4095">
          <w:rPr>
            <w:rStyle w:val="Hyperlink"/>
            <w:highlight w:val="cyan"/>
            <w:lang w:val="en-US"/>
          </w:rPr>
          <w:t>Inputs of trace elements in agricultural soils via phosphate fertilizers in European countries</w:t>
        </w:r>
      </w:hyperlink>
      <w:r w:rsidRPr="000B4095">
        <w:rPr>
          <w:highlight w:val="cyan"/>
          <w:lang w:val="en-US"/>
        </w:rPr>
        <w:t>. Sci Total Environ. 2008 Feb 1;390(1):53-7</w:t>
      </w:r>
      <w:r>
        <w:rPr>
          <w:lang w:val="en-US"/>
        </w:rPr>
        <w:t>).</w:t>
      </w:r>
    </w:p>
    <w:p w14:paraId="230D33CE" w14:textId="77777777" w:rsidR="0056296D" w:rsidRDefault="0056296D" w:rsidP="000973A0">
      <w:pPr>
        <w:pStyle w:val="CommentText"/>
        <w:rPr>
          <w:lang w:val="en-US"/>
        </w:rPr>
      </w:pPr>
    </w:p>
    <w:p w14:paraId="4C891C02" w14:textId="77777777" w:rsidR="0056296D" w:rsidRDefault="0056296D" w:rsidP="000973A0">
      <w:pPr>
        <w:pStyle w:val="CommentText"/>
        <w:rPr>
          <w:lang w:val="en-US"/>
        </w:rPr>
      </w:pPr>
      <w:r w:rsidRPr="004D4AA6">
        <w:rPr>
          <w:lang w:val="en-US"/>
        </w:rPr>
        <w:t xml:space="preserve">As for ‘run-off’, this </w:t>
      </w:r>
      <w:r>
        <w:rPr>
          <w:lang w:val="en-US"/>
        </w:rPr>
        <w:t>will likely</w:t>
      </w:r>
      <w:r w:rsidRPr="0053281D">
        <w:rPr>
          <w:lang w:val="en-US"/>
        </w:rPr>
        <w:t xml:space="preserve"> be r</w:t>
      </w:r>
      <w:r>
        <w:rPr>
          <w:lang w:val="en-US"/>
        </w:rPr>
        <w:t>egion-specific, and quite different in various areas. Perhaps common factors are not useful and an over-</w:t>
      </w:r>
      <w:proofErr w:type="spellStart"/>
      <w:r>
        <w:rPr>
          <w:lang w:val="en-US"/>
        </w:rPr>
        <w:t>generalisation</w:t>
      </w:r>
      <w:proofErr w:type="spellEnd"/>
      <w:r>
        <w:rPr>
          <w:lang w:val="en-US"/>
        </w:rPr>
        <w:t>?</w:t>
      </w:r>
    </w:p>
    <w:p w14:paraId="43045F14" w14:textId="77777777" w:rsidR="0056296D" w:rsidRDefault="0056296D" w:rsidP="000973A0">
      <w:pPr>
        <w:pStyle w:val="CommentText"/>
        <w:rPr>
          <w:lang w:val="en-US"/>
        </w:rPr>
      </w:pPr>
    </w:p>
    <w:p w14:paraId="19C060C1" w14:textId="77777777" w:rsidR="0056296D" w:rsidRPr="00B0094D" w:rsidRDefault="0056296D" w:rsidP="000973A0">
      <w:pPr>
        <w:pStyle w:val="CommentText"/>
        <w:rPr>
          <w:lang w:val="en-US"/>
        </w:rPr>
      </w:pPr>
      <w:r>
        <w:rPr>
          <w:lang w:val="en-US"/>
        </w:rPr>
        <w:t>Although somewhat outdated, we also include for your information the</w:t>
      </w:r>
      <w:r w:rsidRPr="00B0094D">
        <w:rPr>
          <w:lang w:val="en-US"/>
        </w:rPr>
        <w:t xml:space="preserve"> 2 relevant EU Directives/regulations. </w:t>
      </w:r>
      <w:r w:rsidRPr="000B4095">
        <w:rPr>
          <w:highlight w:val="cyan"/>
          <w:lang w:val="en-US"/>
        </w:rPr>
        <w:t xml:space="preserve">The </w:t>
      </w:r>
      <w:proofErr w:type="spellStart"/>
      <w:r w:rsidRPr="000B4095">
        <w:rPr>
          <w:highlight w:val="cyan"/>
          <w:lang w:val="en-US"/>
        </w:rPr>
        <w:t>Fertiliser</w:t>
      </w:r>
      <w:proofErr w:type="spellEnd"/>
      <w:r w:rsidRPr="000B4095">
        <w:rPr>
          <w:highlight w:val="cyan"/>
          <w:lang w:val="en-US"/>
        </w:rPr>
        <w:t xml:space="preserve"> Regulation and the Sludge Directive:</w:t>
      </w:r>
    </w:p>
    <w:p w14:paraId="044C8177" w14:textId="77777777" w:rsidR="0056296D" w:rsidRPr="00B0094D" w:rsidRDefault="0056296D" w:rsidP="000973A0">
      <w:pPr>
        <w:pStyle w:val="CommentText"/>
        <w:rPr>
          <w:lang w:val="en-US"/>
        </w:rPr>
      </w:pPr>
      <w:hyperlink r:id="rId3" w:history="1">
        <w:r w:rsidRPr="00471B9A">
          <w:rPr>
            <w:rStyle w:val="Hyperlink"/>
            <w:lang w:val="en-US"/>
          </w:rPr>
          <w:t xml:space="preserve">The </w:t>
        </w:r>
        <w:proofErr w:type="spellStart"/>
        <w:r w:rsidRPr="00471B9A">
          <w:rPr>
            <w:rStyle w:val="Hyperlink"/>
            <w:lang w:val="en-US"/>
          </w:rPr>
          <w:t>Fertiliser</w:t>
        </w:r>
        <w:proofErr w:type="spellEnd"/>
        <w:r w:rsidRPr="00471B9A">
          <w:rPr>
            <w:rStyle w:val="Hyperlink"/>
            <w:lang w:val="en-US"/>
          </w:rPr>
          <w:t xml:space="preserve"> Regulation (2003)</w:t>
        </w:r>
      </w:hyperlink>
      <w:r w:rsidRPr="00B0094D">
        <w:rPr>
          <w:lang w:val="en-US"/>
        </w:rPr>
        <w:t>, section 1.6</w:t>
      </w:r>
      <w:r>
        <w:rPr>
          <w:lang w:val="en-US"/>
        </w:rPr>
        <w:t xml:space="preserve">, Annex III, </w:t>
      </w:r>
      <w:r w:rsidRPr="00B0094D">
        <w:rPr>
          <w:lang w:val="en-US"/>
        </w:rPr>
        <w:t xml:space="preserve">has no limits for metals, except Cu (10 mg/kg). However, a </w:t>
      </w:r>
      <w:r w:rsidRPr="000B4095">
        <w:rPr>
          <w:highlight w:val="cyan"/>
          <w:lang w:val="en-US"/>
        </w:rPr>
        <w:t>recent revision</w:t>
      </w:r>
      <w:r w:rsidRPr="00B0094D">
        <w:rPr>
          <w:lang w:val="en-US"/>
        </w:rPr>
        <w:t xml:space="preserve"> concludes that Cd should not exceed 60 mg/kg (see =&gt; ‘</w:t>
      </w:r>
      <w:hyperlink r:id="rId4" w:history="1">
        <w:r w:rsidRPr="00471B9A">
          <w:rPr>
            <w:rStyle w:val="Hyperlink"/>
            <w:lang w:val="en-US"/>
          </w:rPr>
          <w:t>link</w:t>
        </w:r>
      </w:hyperlink>
      <w:r w:rsidRPr="00B0094D">
        <w:rPr>
          <w:lang w:val="en-US"/>
        </w:rPr>
        <w:t>’).</w:t>
      </w:r>
    </w:p>
    <w:p w14:paraId="060F724C" w14:textId="77777777" w:rsidR="0056296D" w:rsidRPr="00856992" w:rsidRDefault="0056296D" w:rsidP="000973A0">
      <w:pPr>
        <w:pStyle w:val="CommentText"/>
        <w:rPr>
          <w:lang w:val="en-US"/>
        </w:rPr>
      </w:pPr>
      <w:hyperlink r:id="rId5" w:history="1">
        <w:r w:rsidRPr="009F421F">
          <w:rPr>
            <w:rStyle w:val="Hyperlink"/>
            <w:lang w:val="en-US"/>
          </w:rPr>
          <w:t>The Sludge Directive (1986)</w:t>
        </w:r>
      </w:hyperlink>
      <w:r w:rsidRPr="00B0094D">
        <w:rPr>
          <w:lang w:val="en-US"/>
        </w:rPr>
        <w:t xml:space="preserve"> has limit values for sludge added to agricultural land for a no. of metals (Cd, Ni, Pb, Hg). </w:t>
      </w:r>
    </w:p>
    <w:p w14:paraId="5DAA763B" w14:textId="6F86A201" w:rsidR="0056296D" w:rsidRPr="000973A0" w:rsidRDefault="0056296D">
      <w:pPr>
        <w:pStyle w:val="CommentText"/>
        <w:rPr>
          <w:lang w:val="en-US"/>
        </w:rPr>
      </w:pPr>
    </w:p>
  </w:comment>
  <w:comment w:id="50" w:author="Joost van den Roovaart" w:date="2020-07-15T16:26:00Z" w:initials="JvdR">
    <w:p w14:paraId="0EA8B882" w14:textId="4413EE1C" w:rsidR="00EE4DE1" w:rsidRDefault="00EE4DE1">
      <w:pPr>
        <w:pStyle w:val="CommentText"/>
      </w:pPr>
      <w:r>
        <w:rPr>
          <w:rStyle w:val="CommentReference"/>
        </w:rPr>
        <w:annotationRef/>
      </w:r>
      <w:r>
        <w:t>77de</w:t>
      </w:r>
    </w:p>
  </w:comment>
  <w:comment w:id="51" w:author="Nathalie Kinga Kowalski" w:date="2020-04-10T13:13:00Z" w:initials="NKK">
    <w:p w14:paraId="545E092B" w14:textId="77777777" w:rsidR="0056296D" w:rsidRPr="00524557" w:rsidRDefault="0056296D"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3966ED8B" w14:textId="7ABA0BD6" w:rsidR="0056296D" w:rsidRPr="0056296D" w:rsidRDefault="0056296D" w:rsidP="00286261">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(P4)</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52" w:author="Joost van den Roovaart" w:date="2020-07-15T16:27:00Z" w:initials="JvdR">
    <w:p w14:paraId="4BA282AF" w14:textId="22645E69" w:rsidR="00EE4DE1" w:rsidRDefault="00EE4DE1">
      <w:pPr>
        <w:pStyle w:val="CommentText"/>
      </w:pPr>
      <w:r>
        <w:rPr>
          <w:rStyle w:val="CommentReference"/>
        </w:rPr>
        <w:annotationRef/>
      </w:r>
      <w:r>
        <w:t>See Annex 1</w:t>
      </w:r>
    </w:p>
  </w:comment>
  <w:comment w:id="53" w:author="Nathalie Kinga Kowalski" w:date="2020-04-10T13:13:00Z" w:initials="NKK">
    <w:p w14:paraId="0D37190B" w14:textId="77777777" w:rsidR="0056296D" w:rsidRPr="00524557" w:rsidRDefault="0056296D"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4AAC626" w14:textId="4682CE32" w:rsidR="0056296D" w:rsidRPr="0056296D" w:rsidRDefault="0056296D" w:rsidP="00286261">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(P5)</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54" w:author="Joost van den Roovaart" w:date="2020-07-15T16:27:00Z" w:initials="JvdR">
    <w:p w14:paraId="72CDD39D" w14:textId="0482EA72" w:rsidR="000D0402" w:rsidRDefault="000D0402">
      <w:pPr>
        <w:pStyle w:val="CommentText"/>
      </w:pPr>
      <w:r>
        <w:rPr>
          <w:rStyle w:val="CommentReference"/>
        </w:rPr>
        <w:annotationRef/>
      </w:r>
      <w:r>
        <w:t>See Annex 1</w:t>
      </w:r>
    </w:p>
  </w:comment>
  <w:comment w:id="55" w:author="Nathalie Kinga Kowalski" w:date="2020-04-10T13:13:00Z" w:initials="NKK">
    <w:p w14:paraId="15A76B95" w14:textId="77777777" w:rsidR="0056296D" w:rsidRPr="00524557" w:rsidRDefault="0056296D" w:rsidP="00286261">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5FB2148F" w14:textId="0F4D5E08" w:rsidR="0056296D" w:rsidRPr="0056296D" w:rsidRDefault="0056296D" w:rsidP="00286261">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(P6)</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p>
  </w:comment>
  <w:comment w:id="56" w:author="Joost van den Roovaart" w:date="2020-07-15T16:28:00Z" w:initials="JvdR">
    <w:p w14:paraId="2D68C160" w14:textId="30791810" w:rsidR="000D0402" w:rsidRDefault="000D0402">
      <w:pPr>
        <w:pStyle w:val="CommentText"/>
      </w:pPr>
      <w:r>
        <w:rPr>
          <w:rStyle w:val="CommentReference"/>
        </w:rPr>
        <w:annotationRef/>
      </w:r>
      <w:r>
        <w:t>See Annex 1</w:t>
      </w:r>
    </w:p>
  </w:comment>
  <w:comment w:id="58" w:author="Nathalie Kinga Kowalski" w:date="2020-04-10T13:13:00Z" w:initials="NKK">
    <w:p w14:paraId="4C48BB6D" w14:textId="77777777" w:rsidR="0056296D" w:rsidRDefault="0056296D" w:rsidP="00286261">
      <w:pPr>
        <w:pStyle w:val="CommentText"/>
        <w:rPr>
          <w:lang w:val="en-US"/>
        </w:rPr>
      </w:pPr>
      <w:r>
        <w:rPr>
          <w:rStyle w:val="CommentReference"/>
        </w:rPr>
        <w:annotationRef/>
      </w:r>
      <w:r>
        <w:rPr>
          <w:rStyle w:val="CommentReference"/>
        </w:rPr>
        <w:annotationRef/>
      </w:r>
      <w:proofErr w:type="spellStart"/>
      <w:r w:rsidRPr="000338D2">
        <w:rPr>
          <w:lang w:val="en-US"/>
        </w:rPr>
        <w:t>Eurometaux</w:t>
      </w:r>
      <w:proofErr w:type="spellEnd"/>
      <w:r w:rsidRPr="000338D2">
        <w:rPr>
          <w:lang w:val="en-US"/>
        </w:rPr>
        <w:t>:</w:t>
      </w:r>
    </w:p>
    <w:p w14:paraId="1D4B21BC" w14:textId="77777777" w:rsidR="0056296D" w:rsidRPr="00AF53B7" w:rsidRDefault="0056296D" w:rsidP="00286261">
      <w:pPr>
        <w:pStyle w:val="CommentText"/>
        <w:rPr>
          <w:lang w:val="en-US"/>
        </w:rPr>
      </w:pPr>
      <w:r w:rsidRPr="00AF53B7">
        <w:rPr>
          <w:lang w:val="en-US"/>
        </w:rPr>
        <w:t>We acknowledge that emissions of metals occur via this pathway, from road traffic or construction material. Some quantifications have been performed in the past, e.g. by member states, and the contribution of this pathway has been deemed insignificant when compared to other sources.</w:t>
      </w:r>
    </w:p>
    <w:p w14:paraId="6659FAAB" w14:textId="77777777" w:rsidR="0056296D" w:rsidRPr="00AF53B7" w:rsidRDefault="0056296D" w:rsidP="00286261">
      <w:pPr>
        <w:pStyle w:val="CommentText"/>
        <w:rPr>
          <w:lang w:val="en-US"/>
        </w:rPr>
      </w:pPr>
    </w:p>
    <w:p w14:paraId="6D8C3C5E" w14:textId="77777777" w:rsidR="0056296D" w:rsidRDefault="0056296D" w:rsidP="00286261">
      <w:pPr>
        <w:pStyle w:val="CommentText"/>
        <w:rPr>
          <w:lang w:val="en-US"/>
        </w:rPr>
      </w:pPr>
      <w:r w:rsidRPr="00AF53B7">
        <w:rPr>
          <w:lang w:val="en-US"/>
        </w:rPr>
        <w:t xml:space="preserve">Another aspect to consider may be the </w:t>
      </w:r>
      <w:r w:rsidRPr="000338D2">
        <w:rPr>
          <w:u w:val="single"/>
          <w:lang w:val="en-US"/>
        </w:rPr>
        <w:t>retention</w:t>
      </w:r>
      <w:r w:rsidRPr="00AF53B7">
        <w:rPr>
          <w:lang w:val="en-US"/>
        </w:rPr>
        <w:t xml:space="preserve"> of metals by the materials used for sealed surface, e.g. pavements, concrete.</w:t>
      </w:r>
    </w:p>
    <w:p w14:paraId="37F4E2A7" w14:textId="77777777" w:rsidR="0056296D" w:rsidRPr="004D4AA6" w:rsidRDefault="0056296D" w:rsidP="00286261">
      <w:pPr>
        <w:pStyle w:val="CommentText"/>
        <w:rPr>
          <w:lang w:val="en-US"/>
        </w:rPr>
      </w:pPr>
    </w:p>
    <w:p w14:paraId="0D7D8255" w14:textId="77777777" w:rsidR="0056296D" w:rsidRDefault="0056296D">
      <w:pPr>
        <w:pStyle w:val="CommentText"/>
        <w:rPr>
          <w:lang w:val="en-US"/>
        </w:rPr>
      </w:pPr>
      <w:r w:rsidRPr="004D4AA6">
        <w:rPr>
          <w:lang w:val="en-US"/>
        </w:rPr>
        <w:t xml:space="preserve">There is a </w:t>
      </w:r>
      <w:r w:rsidRPr="000B4095">
        <w:rPr>
          <w:highlight w:val="cyan"/>
          <w:lang w:val="en-US"/>
        </w:rPr>
        <w:t>relevant report</w:t>
      </w:r>
      <w:r w:rsidRPr="004D4AA6">
        <w:rPr>
          <w:lang w:val="en-US"/>
        </w:rPr>
        <w:t xml:space="preserve"> from </w:t>
      </w:r>
      <w:hyperlink r:id="rId6" w:history="1">
        <w:r w:rsidRPr="004D4AA6">
          <w:rPr>
            <w:rStyle w:val="Hyperlink"/>
            <w:lang w:val="en-US"/>
          </w:rPr>
          <w:t>UBA (2005)</w:t>
        </w:r>
      </w:hyperlink>
      <w:r w:rsidRPr="004D4AA6">
        <w:rPr>
          <w:lang w:val="en-US"/>
        </w:rPr>
        <w:t xml:space="preserve"> covering Cu, Zn, Pb. Regarding Pb</w:t>
      </w:r>
      <w:r>
        <w:rPr>
          <w:lang w:val="en-US"/>
        </w:rPr>
        <w:t>,</w:t>
      </w:r>
      <w:r w:rsidRPr="004D4AA6">
        <w:rPr>
          <w:lang w:val="en-US"/>
        </w:rPr>
        <w:t xml:space="preserve"> it can be concluded (page 108) that emissions from construction materials and vehicles to water is much lower than the emissions from other sources.</w:t>
      </w:r>
    </w:p>
    <w:p w14:paraId="76582F6E" w14:textId="77777777" w:rsidR="0056296D" w:rsidRDefault="0056296D">
      <w:pPr>
        <w:pStyle w:val="CommentText"/>
        <w:rPr>
          <w:lang w:val="en-US"/>
        </w:rPr>
      </w:pPr>
    </w:p>
    <w:p w14:paraId="6866DE09" w14:textId="77777777" w:rsidR="0056296D" w:rsidRDefault="0056296D">
      <w:pPr>
        <w:pStyle w:val="CommentText"/>
        <w:rPr>
          <w:b/>
          <w:bCs/>
          <w:color w:val="C00000"/>
          <w:lang w:val="en-US"/>
        </w:rPr>
      </w:pPr>
      <w:r w:rsidRPr="00AF53B7">
        <w:rPr>
          <w:b/>
          <w:bCs/>
          <w:color w:val="C00000"/>
          <w:lang w:val="en-US"/>
        </w:rPr>
        <w:t>Sean Comber</w:t>
      </w:r>
      <w:r>
        <w:rPr>
          <w:b/>
          <w:bCs/>
          <w:color w:val="C00000"/>
          <w:lang w:val="en-US"/>
        </w:rPr>
        <w:t>:</w:t>
      </w:r>
    </w:p>
    <w:p w14:paraId="589DFE58" w14:textId="77777777" w:rsidR="0056296D" w:rsidRDefault="0056296D">
      <w:pPr>
        <w:pStyle w:val="CommentText"/>
        <w:rPr>
          <w:lang w:val="en-GB"/>
        </w:rPr>
      </w:pPr>
      <w:r w:rsidRPr="00601390">
        <w:rPr>
          <w:lang w:val="en-GB"/>
        </w:rPr>
        <w:t xml:space="preserve">We’ve </w:t>
      </w:r>
      <w:proofErr w:type="gramStart"/>
      <w:r w:rsidRPr="00601390">
        <w:rPr>
          <w:lang w:val="en-GB"/>
        </w:rPr>
        <w:t>looked into</w:t>
      </w:r>
      <w:proofErr w:type="gramEnd"/>
      <w:r w:rsidRPr="00601390">
        <w:rPr>
          <w:lang w:val="en-GB"/>
        </w:rPr>
        <w:t xml:space="preserve"> this quite a bit in the UK</w:t>
      </w:r>
      <w:r>
        <w:rPr>
          <w:lang w:val="en-GB"/>
        </w:rPr>
        <w:t>. M</w:t>
      </w:r>
      <w:r w:rsidRPr="00601390">
        <w:rPr>
          <w:lang w:val="en-GB"/>
        </w:rPr>
        <w:t xml:space="preserve">ostly it is a relatively minor source, but for large urban areas, then it becomes more relevant obviously, </w:t>
      </w:r>
      <w:r w:rsidRPr="00601390">
        <w:rPr>
          <w:u w:val="single"/>
          <w:lang w:val="en-GB"/>
        </w:rPr>
        <w:t>so it is proportional to population density</w:t>
      </w:r>
      <w:r w:rsidRPr="00601390">
        <w:rPr>
          <w:lang w:val="en-GB"/>
        </w:rPr>
        <w:t xml:space="preserve">. </w:t>
      </w:r>
    </w:p>
    <w:p w14:paraId="0F831C18" w14:textId="77777777" w:rsidR="0056296D" w:rsidRDefault="0056296D">
      <w:pPr>
        <w:pStyle w:val="CommentText"/>
        <w:rPr>
          <w:lang w:val="en-GB"/>
        </w:rPr>
      </w:pPr>
    </w:p>
    <w:p w14:paraId="3D2DD18E" w14:textId="2650D905" w:rsidR="0056296D" w:rsidRDefault="0056296D">
      <w:pPr>
        <w:pStyle w:val="CommentText"/>
        <w:rPr>
          <w:lang w:val="en-GB"/>
        </w:rPr>
      </w:pPr>
      <w:r w:rsidRPr="00601390">
        <w:rPr>
          <w:lang w:val="en-GB"/>
        </w:rPr>
        <w:t xml:space="preserve">The proportion that goes to sewer vs surface water (possibly via a </w:t>
      </w:r>
      <w:proofErr w:type="spellStart"/>
      <w:r w:rsidRPr="00601390">
        <w:rPr>
          <w:lang w:val="en-GB"/>
        </w:rPr>
        <w:t>SuDs</w:t>
      </w:r>
      <w:proofErr w:type="spellEnd"/>
      <w:r w:rsidRPr="00601390">
        <w:rPr>
          <w:lang w:val="en-GB"/>
        </w:rPr>
        <w:t xml:space="preserve"> system) is </w:t>
      </w:r>
      <w:r w:rsidRPr="00601390">
        <w:rPr>
          <w:u w:val="single"/>
          <w:lang w:val="en-GB"/>
        </w:rPr>
        <w:t>difficult to judge – it varies between country and within country city by city.</w:t>
      </w:r>
      <w:r w:rsidRPr="00601390">
        <w:rPr>
          <w:lang w:val="en-GB"/>
        </w:rPr>
        <w:t xml:space="preserve"> Newer builds tend to separate runoff, but old cities have combined systems. We use a 50:50 split for the UK based on water industry discussions. Typically, you have the old city centre’s with combined sewer and peripheral new build separated. </w:t>
      </w:r>
    </w:p>
    <w:p w14:paraId="51F185CE" w14:textId="77777777" w:rsidR="0056296D" w:rsidRDefault="0056296D">
      <w:pPr>
        <w:pStyle w:val="CommentText"/>
        <w:rPr>
          <w:lang w:val="en-GB"/>
        </w:rPr>
      </w:pPr>
    </w:p>
    <w:p w14:paraId="31C1D8A2" w14:textId="41EA2CAF" w:rsidR="0056296D" w:rsidRPr="00601390" w:rsidRDefault="0056296D">
      <w:pPr>
        <w:pStyle w:val="CommentText"/>
        <w:rPr>
          <w:lang w:val="en-GB"/>
        </w:rPr>
      </w:pPr>
      <w:r>
        <w:rPr>
          <w:lang w:val="en-GB"/>
        </w:rPr>
        <w:t>As for c</w:t>
      </w:r>
      <w:r w:rsidRPr="00601390">
        <w:rPr>
          <w:lang w:val="en-GB"/>
        </w:rPr>
        <w:t>onstruction products</w:t>
      </w:r>
      <w:r>
        <w:rPr>
          <w:lang w:val="en-GB"/>
        </w:rPr>
        <w:t xml:space="preserve">, with regards to </w:t>
      </w:r>
      <w:r w:rsidRPr="00601390">
        <w:rPr>
          <w:lang w:val="en-GB"/>
        </w:rPr>
        <w:t>houses, roofs etc. then no</w:t>
      </w:r>
      <w:r>
        <w:rPr>
          <w:lang w:val="en-GB"/>
        </w:rPr>
        <w:t>,</w:t>
      </w:r>
      <w:r w:rsidRPr="00601390">
        <w:rPr>
          <w:lang w:val="en-GB"/>
        </w:rPr>
        <w:t xml:space="preserve"> you cannot assume all to sewer. </w:t>
      </w:r>
      <w:r>
        <w:rPr>
          <w:lang w:val="en-GB"/>
        </w:rPr>
        <w:t>Whereas, t</w:t>
      </w:r>
      <w:r w:rsidRPr="00601390">
        <w:rPr>
          <w:lang w:val="en-GB"/>
        </w:rPr>
        <w:t xml:space="preserve">raffic </w:t>
      </w:r>
      <w:r>
        <w:rPr>
          <w:lang w:val="en-GB"/>
        </w:rPr>
        <w:t>is</w:t>
      </w:r>
      <w:r w:rsidRPr="00601390">
        <w:rPr>
          <w:lang w:val="en-GB"/>
        </w:rPr>
        <w:t xml:space="preserve"> likely to be split – There</w:t>
      </w:r>
      <w:r>
        <w:rPr>
          <w:lang w:val="en-GB"/>
        </w:rPr>
        <w:t xml:space="preserve"> is a useful </w:t>
      </w:r>
      <w:r w:rsidRPr="00601390">
        <w:rPr>
          <w:lang w:val="en-GB"/>
        </w:rPr>
        <w:t>paper</w:t>
      </w:r>
      <w:r>
        <w:rPr>
          <w:lang w:val="en-GB"/>
        </w:rPr>
        <w:t xml:space="preserve"> </w:t>
      </w:r>
      <w:r w:rsidRPr="00601390">
        <w:rPr>
          <w:lang w:val="en-GB"/>
        </w:rPr>
        <w:t>attached (</w:t>
      </w:r>
      <w:r>
        <w:rPr>
          <w:lang w:val="en-GB"/>
        </w:rPr>
        <w:t xml:space="preserve">Sola et al. 2018, </w:t>
      </w:r>
      <w:r w:rsidRPr="00601390">
        <w:rPr>
          <w:lang w:val="en-GB"/>
        </w:rPr>
        <w:t>‘</w:t>
      </w:r>
      <w:bookmarkStart w:id="60" w:name="_Hlk37846036"/>
      <w:r w:rsidRPr="00601390">
        <w:rPr>
          <w:highlight w:val="cyan"/>
          <w:lang w:val="en-GB"/>
        </w:rPr>
        <w:t xml:space="preserve">Scandinavian </w:t>
      </w:r>
      <w:r>
        <w:rPr>
          <w:highlight w:val="cyan"/>
          <w:lang w:val="en-GB"/>
        </w:rPr>
        <w:t xml:space="preserve">wastewater </w:t>
      </w:r>
      <w:r w:rsidRPr="00601390">
        <w:rPr>
          <w:highlight w:val="cyan"/>
          <w:lang w:val="en-GB"/>
        </w:rPr>
        <w:t>data.pdf</w:t>
      </w:r>
      <w:bookmarkEnd w:id="60"/>
      <w:r w:rsidRPr="00601390">
        <w:rPr>
          <w:lang w:val="en-GB"/>
        </w:rPr>
        <w:t>’).</w:t>
      </w:r>
    </w:p>
  </w:comment>
  <w:comment w:id="59" w:author="Joost van den Roovaart" w:date="2020-07-15T16:28:00Z" w:initials="JvdR">
    <w:p w14:paraId="309CE85E" w14:textId="2D908DB3" w:rsidR="000D0402" w:rsidRDefault="000D0402">
      <w:pPr>
        <w:pStyle w:val="CommentText"/>
      </w:pPr>
      <w:r>
        <w:rPr>
          <w:rStyle w:val="CommentReference"/>
        </w:rPr>
        <w:annotationRef/>
      </w:r>
      <w:r>
        <w:t>78de</w:t>
      </w:r>
    </w:p>
  </w:comment>
  <w:comment w:id="62" w:author="Nathalie Kinga Kowalski" w:date="2020-04-10T13:14:00Z" w:initials="NKK">
    <w:p w14:paraId="0AED275B" w14:textId="77777777" w:rsidR="0056296D" w:rsidRPr="00B0094D" w:rsidRDefault="0056296D" w:rsidP="00286261">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470B79F7" w14:textId="77777777" w:rsidR="0056296D" w:rsidRDefault="0056296D" w:rsidP="00286261">
      <w:pPr>
        <w:pStyle w:val="CommentText"/>
        <w:rPr>
          <w:lang w:val="en-US"/>
        </w:rPr>
      </w:pPr>
      <w:r w:rsidRPr="00B0094D">
        <w:rPr>
          <w:lang w:val="en-US"/>
        </w:rPr>
        <w:t xml:space="preserve">As mentioned </w:t>
      </w:r>
      <w:r>
        <w:rPr>
          <w:lang w:val="en-US"/>
        </w:rPr>
        <w:t xml:space="preserve">above, the </w:t>
      </w:r>
      <w:r w:rsidRPr="00B0094D">
        <w:rPr>
          <w:lang w:val="en-US"/>
        </w:rPr>
        <w:t xml:space="preserve">project, led by </w:t>
      </w:r>
      <w:r w:rsidRPr="00020E85">
        <w:rPr>
          <w:b/>
          <w:bCs/>
          <w:color w:val="C00000"/>
          <w:lang w:val="en-US"/>
        </w:rPr>
        <w:t>Sean Comber</w:t>
      </w:r>
      <w:r w:rsidRPr="00020E85">
        <w:rPr>
          <w:color w:val="C00000"/>
          <w:lang w:val="en-US"/>
        </w:rPr>
        <w:t xml:space="preserve"> </w:t>
      </w:r>
      <w:r w:rsidRPr="00B0094D">
        <w:rPr>
          <w:lang w:val="en-US"/>
        </w:rPr>
        <w:t xml:space="preserve">(University of Plymouth), </w:t>
      </w:r>
      <w:r>
        <w:rPr>
          <w:lang w:val="en-US"/>
        </w:rPr>
        <w:t>may shed some light on this</w:t>
      </w:r>
      <w:r w:rsidRPr="00B0094D">
        <w:rPr>
          <w:lang w:val="en-US"/>
        </w:rPr>
        <w:t>.</w:t>
      </w:r>
      <w:r>
        <w:rPr>
          <w:lang w:val="en-US"/>
        </w:rPr>
        <w:t xml:space="preserve"> Again, we’ll share results.</w:t>
      </w:r>
    </w:p>
    <w:p w14:paraId="1E52E381" w14:textId="77777777" w:rsidR="0056296D" w:rsidRDefault="0056296D" w:rsidP="00286261">
      <w:pPr>
        <w:pStyle w:val="CommentText"/>
        <w:rPr>
          <w:lang w:val="en-US"/>
        </w:rPr>
      </w:pPr>
    </w:p>
    <w:p w14:paraId="5529CE27" w14:textId="76F253AE" w:rsidR="0056296D" w:rsidRDefault="0056296D" w:rsidP="00286261">
      <w:pPr>
        <w:pStyle w:val="CommentText"/>
        <w:rPr>
          <w:b/>
          <w:bCs/>
          <w:i/>
          <w:iCs/>
          <w:lang w:val="en-US"/>
        </w:rPr>
      </w:pPr>
      <w:r w:rsidRPr="00524557">
        <w:rPr>
          <w:i/>
          <w:iCs/>
          <w:lang w:val="en-US"/>
        </w:rPr>
        <w:t>Additionally,</w:t>
      </w:r>
      <w:r>
        <w:rPr>
          <w:lang w:val="en-US"/>
        </w:rPr>
        <w:t xml:space="preserve"> p</w:t>
      </w:r>
      <w:r w:rsidRPr="00524557">
        <w:rPr>
          <w:i/>
          <w:iCs/>
          <w:lang w:val="en-US"/>
        </w:rPr>
        <w:t>refer to comments made by our colleague, Kevin Farley</w:t>
      </w:r>
      <w:r>
        <w:rPr>
          <w:i/>
          <w:iCs/>
          <w:lang w:val="en-US"/>
        </w:rPr>
        <w:t xml:space="preserve"> (P7)</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p w14:paraId="24E75DFF" w14:textId="77777777" w:rsidR="0056296D" w:rsidRDefault="0056296D" w:rsidP="00286261">
      <w:pPr>
        <w:pStyle w:val="CommentText"/>
        <w:rPr>
          <w:b/>
          <w:bCs/>
          <w:i/>
          <w:iCs/>
          <w:lang w:val="en-US"/>
        </w:rPr>
      </w:pPr>
    </w:p>
    <w:p w14:paraId="582C53C6" w14:textId="77777777" w:rsidR="0056296D" w:rsidRDefault="0056296D" w:rsidP="00286261">
      <w:pPr>
        <w:pStyle w:val="CommentText"/>
        <w:rPr>
          <w:b/>
          <w:bCs/>
          <w:color w:val="C00000"/>
          <w:lang w:val="en-US"/>
        </w:rPr>
      </w:pPr>
      <w:r w:rsidRPr="00020E85">
        <w:rPr>
          <w:b/>
          <w:bCs/>
          <w:color w:val="C00000"/>
          <w:lang w:val="en-US"/>
        </w:rPr>
        <w:t>Sean Comber</w:t>
      </w:r>
      <w:r>
        <w:rPr>
          <w:b/>
          <w:bCs/>
          <w:color w:val="C00000"/>
          <w:lang w:val="en-US"/>
        </w:rPr>
        <w:t>:</w:t>
      </w:r>
    </w:p>
    <w:p w14:paraId="30780672" w14:textId="77777777" w:rsidR="0056296D" w:rsidRDefault="0056296D" w:rsidP="00601390">
      <w:pPr>
        <w:pStyle w:val="CommentText"/>
        <w:rPr>
          <w:lang w:val="en-US"/>
        </w:rPr>
      </w:pPr>
      <w:r w:rsidRPr="00601390">
        <w:rPr>
          <w:u w:val="single"/>
          <w:lang w:val="en-US"/>
        </w:rPr>
        <w:t>The contribution of metals to surface water via storm water outlets is very difficult to predict/model!</w:t>
      </w:r>
      <w:r w:rsidRPr="00601390">
        <w:rPr>
          <w:lang w:val="en-US"/>
        </w:rPr>
        <w:t xml:space="preserve"> </w:t>
      </w:r>
    </w:p>
    <w:p w14:paraId="0885F609" w14:textId="77777777" w:rsidR="0056296D" w:rsidRDefault="0056296D" w:rsidP="00601390">
      <w:pPr>
        <w:pStyle w:val="CommentText"/>
        <w:rPr>
          <w:lang w:val="en-US"/>
        </w:rPr>
      </w:pPr>
    </w:p>
    <w:p w14:paraId="726D529A" w14:textId="5FBE3DAF" w:rsidR="0056296D" w:rsidRPr="00601390" w:rsidRDefault="0056296D" w:rsidP="00601390">
      <w:pPr>
        <w:pStyle w:val="CommentText"/>
        <w:rPr>
          <w:u w:val="single"/>
          <w:lang w:val="en-US"/>
        </w:rPr>
      </w:pPr>
      <w:r w:rsidRPr="00601390">
        <w:rPr>
          <w:lang w:val="en-US"/>
        </w:rPr>
        <w:t xml:space="preserve">Assumptions </w:t>
      </w:r>
      <w:proofErr w:type="gramStart"/>
      <w:r w:rsidRPr="00601390">
        <w:rPr>
          <w:lang w:val="en-US"/>
        </w:rPr>
        <w:t>have to</w:t>
      </w:r>
      <w:proofErr w:type="gramEnd"/>
      <w:r w:rsidRPr="00601390">
        <w:rPr>
          <w:lang w:val="en-US"/>
        </w:rPr>
        <w:t xml:space="preserve"> be made and are driven by rainfall patterns and combined sewer capacity. </w:t>
      </w:r>
      <w:r w:rsidRPr="00F83D00">
        <w:rPr>
          <w:u w:val="single"/>
          <w:lang w:val="en-US"/>
        </w:rPr>
        <w:t>It is possible to model individual urban catchments but not on any wider spatial basis very easily</w:t>
      </w:r>
      <w:r w:rsidRPr="00601390">
        <w:rPr>
          <w:lang w:val="en-US"/>
        </w:rPr>
        <w:t xml:space="preserve">. In the UK, </w:t>
      </w:r>
      <w:r>
        <w:rPr>
          <w:lang w:val="en-US"/>
        </w:rPr>
        <w:t>combined sewer overflows (</w:t>
      </w:r>
      <w:r w:rsidRPr="00601390">
        <w:rPr>
          <w:lang w:val="en-US"/>
        </w:rPr>
        <w:t>CSOs</w:t>
      </w:r>
      <w:r>
        <w:rPr>
          <w:lang w:val="en-US"/>
        </w:rPr>
        <w:t>)</w:t>
      </w:r>
      <w:r w:rsidRPr="00601390">
        <w:rPr>
          <w:lang w:val="en-US"/>
        </w:rPr>
        <w:t xml:space="preserve"> are permitted on </w:t>
      </w:r>
      <w:proofErr w:type="gramStart"/>
      <w:r w:rsidRPr="00601390">
        <w:rPr>
          <w:lang w:val="en-US"/>
        </w:rPr>
        <w:t>a number of</w:t>
      </w:r>
      <w:proofErr w:type="gramEnd"/>
      <w:r w:rsidRPr="00601390">
        <w:rPr>
          <w:lang w:val="en-US"/>
        </w:rPr>
        <w:t xml:space="preserve"> times they flow</w:t>
      </w:r>
      <w:r>
        <w:rPr>
          <w:lang w:val="en-US"/>
        </w:rPr>
        <w:t>, b</w:t>
      </w:r>
      <w:r w:rsidRPr="00601390">
        <w:rPr>
          <w:lang w:val="en-US"/>
        </w:rPr>
        <w:t>ut not the volume of wastewater released</w:t>
      </w:r>
      <w:r>
        <w:rPr>
          <w:lang w:val="en-US"/>
        </w:rPr>
        <w:t>…</w:t>
      </w:r>
      <w:r w:rsidRPr="00601390">
        <w:rPr>
          <w:lang w:val="en-US"/>
        </w:rPr>
        <w:t xml:space="preserve"> We used the design capacity</w:t>
      </w:r>
      <w:r>
        <w:rPr>
          <w:lang w:val="en-US"/>
        </w:rPr>
        <w:t xml:space="preserve"> (</w:t>
      </w:r>
      <w:r w:rsidRPr="00601390">
        <w:rPr>
          <w:lang w:val="en-US"/>
        </w:rPr>
        <w:t>6 times dry weather flow and regional rainfall events</w:t>
      </w:r>
      <w:r>
        <w:rPr>
          <w:lang w:val="en-US"/>
        </w:rPr>
        <w:t xml:space="preserve">) </w:t>
      </w:r>
      <w:r w:rsidRPr="00601390">
        <w:rPr>
          <w:lang w:val="en-US"/>
        </w:rPr>
        <w:t xml:space="preserve">to predict a </w:t>
      </w:r>
      <w:r>
        <w:rPr>
          <w:lang w:val="en-US"/>
        </w:rPr>
        <w:t>flow from CSOs</w:t>
      </w:r>
      <w:r w:rsidRPr="00601390">
        <w:rPr>
          <w:lang w:val="en-US"/>
        </w:rPr>
        <w:t xml:space="preserve"> and storm tanks. I think for the UK we reckoned 15mm of rain in 24 hours would lead to the CSO </w:t>
      </w:r>
      <w:r>
        <w:rPr>
          <w:lang w:val="en-US"/>
        </w:rPr>
        <w:t>be used</w:t>
      </w:r>
      <w:r w:rsidRPr="00601390">
        <w:rPr>
          <w:lang w:val="en-US"/>
        </w:rPr>
        <w:t>.</w:t>
      </w:r>
      <w:r w:rsidRPr="00601390">
        <w:rPr>
          <w:i/>
          <w:iCs/>
          <w:lang w:val="en-US"/>
        </w:rPr>
        <w:t xml:space="preserve">  </w:t>
      </w:r>
    </w:p>
  </w:comment>
  <w:comment w:id="63" w:author="Joost van den Roovaart" w:date="2020-07-15T16:29:00Z" w:initials="JvdR">
    <w:p w14:paraId="1D98C80C" w14:textId="059C2AF3" w:rsidR="000D0402" w:rsidRPr="000D0402" w:rsidRDefault="000D0402">
      <w:pPr>
        <w:pStyle w:val="CommentText"/>
        <w:rPr>
          <w:lang w:val="en-US"/>
        </w:rPr>
      </w:pPr>
      <w:r>
        <w:rPr>
          <w:rStyle w:val="CommentReference"/>
        </w:rPr>
        <w:annotationRef/>
      </w:r>
      <w:r w:rsidRPr="000D0402">
        <w:rPr>
          <w:lang w:val="en-US"/>
        </w:rPr>
        <w:t>See Annex 1 and 79d</w:t>
      </w:r>
    </w:p>
  </w:comment>
  <w:comment w:id="65" w:author="Nathalie Kinga Kowalski" w:date="2020-04-10T13:26:00Z" w:initials="NKK">
    <w:p w14:paraId="72883DF9" w14:textId="77777777" w:rsidR="0056296D" w:rsidRPr="00524557" w:rsidRDefault="0056296D" w:rsidP="00D4636D">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79C8ACDE" w14:textId="3CE80FC3" w:rsidR="0056296D" w:rsidRPr="0056296D" w:rsidRDefault="0056296D" w:rsidP="00D4636D">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(P8)</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66" w:author="Joost van den Roovaart" w:date="2020-07-15T16:30:00Z" w:initials="JvdR">
    <w:p w14:paraId="53285184" w14:textId="4E54616D" w:rsidR="000D0402" w:rsidRDefault="000D0402">
      <w:pPr>
        <w:pStyle w:val="CommentText"/>
      </w:pPr>
      <w:r>
        <w:rPr>
          <w:rStyle w:val="CommentReference"/>
        </w:rPr>
        <w:annotationRef/>
      </w:r>
      <w:r>
        <w:t>See Annex 1</w:t>
      </w:r>
    </w:p>
  </w:comment>
  <w:comment w:id="68" w:author="Nathalie Kinga Kowalski" w:date="2020-04-10T13:26:00Z" w:initials="NKK">
    <w:p w14:paraId="0294B764" w14:textId="77777777" w:rsidR="0056296D" w:rsidRPr="00B0094D" w:rsidRDefault="0056296D"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69B5D2D3" w14:textId="1E4C2E1A" w:rsidR="0056296D" w:rsidRPr="0056296D" w:rsidRDefault="0056296D" w:rsidP="00E9704F">
      <w:pPr>
        <w:pStyle w:val="CommentText"/>
        <w:rPr>
          <w:lang w:val="en-US"/>
        </w:rPr>
      </w:pPr>
      <w:r w:rsidRPr="00B0094D">
        <w:rPr>
          <w:lang w:val="en-US"/>
        </w:rPr>
        <w:t>For MS’s to decide.</w:t>
      </w:r>
    </w:p>
  </w:comment>
  <w:comment w:id="69" w:author="Joost van den Roovaart" w:date="2020-07-15T16:30:00Z" w:initials="JvdR">
    <w:p w14:paraId="48A25509" w14:textId="4356DAD7" w:rsidR="000D0402" w:rsidRDefault="000D0402">
      <w:pPr>
        <w:pStyle w:val="CommentText"/>
      </w:pPr>
      <w:r>
        <w:rPr>
          <w:rStyle w:val="CommentReference"/>
        </w:rPr>
        <w:annotationRef/>
      </w:r>
      <w:r>
        <w:t>80c</w:t>
      </w:r>
    </w:p>
  </w:comment>
  <w:comment w:id="70" w:author="Nathalie Kinga Kowalski" w:date="2020-04-10T13:27:00Z" w:initials="NKK">
    <w:p w14:paraId="5AC0C8AF" w14:textId="77777777" w:rsidR="0056296D" w:rsidRDefault="0056296D" w:rsidP="00E9704F">
      <w:pPr>
        <w:pStyle w:val="CommentText"/>
        <w:rPr>
          <w:lang w:val="en-US"/>
        </w:rPr>
      </w:pPr>
      <w:r>
        <w:rPr>
          <w:rStyle w:val="CommentReference"/>
        </w:rPr>
        <w:annotationRef/>
      </w:r>
      <w:proofErr w:type="spellStart"/>
      <w:r w:rsidRPr="006232B7">
        <w:rPr>
          <w:lang w:val="en-US"/>
        </w:rPr>
        <w:t>Eurometaux</w:t>
      </w:r>
      <w:proofErr w:type="spellEnd"/>
      <w:r w:rsidRPr="006232B7">
        <w:rPr>
          <w:lang w:val="en-US"/>
        </w:rPr>
        <w:t>:</w:t>
      </w:r>
    </w:p>
    <w:p w14:paraId="663400B3" w14:textId="3A7F36E5" w:rsidR="0056296D" w:rsidRDefault="0056296D" w:rsidP="00E9704F">
      <w:pPr>
        <w:pStyle w:val="CommentText"/>
        <w:rPr>
          <w:lang w:val="en-US"/>
        </w:rPr>
      </w:pPr>
      <w:r>
        <w:rPr>
          <w:lang w:val="en-US"/>
        </w:rPr>
        <w:t xml:space="preserve">At first glance, the EF in Table 3 for Ni seems extremely high. We would refer you to the </w:t>
      </w:r>
      <w:r w:rsidRPr="000B4095">
        <w:rPr>
          <w:highlight w:val="cyan"/>
          <w:lang w:val="en-US"/>
        </w:rPr>
        <w:t>Ni Risk Assessment report</w:t>
      </w:r>
      <w:r>
        <w:rPr>
          <w:lang w:val="en-US"/>
        </w:rPr>
        <w:t xml:space="preserve"> =&gt; ‘</w:t>
      </w:r>
      <w:hyperlink r:id="rId7" w:history="1">
        <w:r w:rsidRPr="006232B7">
          <w:rPr>
            <w:rStyle w:val="Hyperlink"/>
            <w:lang w:val="en-US"/>
          </w:rPr>
          <w:t>link</w:t>
        </w:r>
      </w:hyperlink>
      <w:r>
        <w:rPr>
          <w:lang w:val="en-US"/>
        </w:rPr>
        <w:t xml:space="preserve">’. </w:t>
      </w:r>
      <w:r w:rsidRPr="006232B7">
        <w:rPr>
          <w:lang w:val="en-US"/>
        </w:rPr>
        <w:t>This is a meticulously researched document that has consensus support from EU Member State</w:t>
      </w:r>
      <w:r>
        <w:rPr>
          <w:lang w:val="en-US"/>
        </w:rPr>
        <w:t>; so, we hope you find it of use.</w:t>
      </w:r>
    </w:p>
    <w:p w14:paraId="3D69C1D6" w14:textId="3C25F061" w:rsidR="0056296D" w:rsidRDefault="0056296D" w:rsidP="00E9704F">
      <w:pPr>
        <w:pStyle w:val="CommentText"/>
        <w:rPr>
          <w:lang w:val="en-US"/>
        </w:rPr>
      </w:pPr>
    </w:p>
    <w:p w14:paraId="168381EC" w14:textId="0B55BC06" w:rsidR="0056296D" w:rsidRDefault="0056296D" w:rsidP="00E9704F">
      <w:pPr>
        <w:pStyle w:val="CommentText"/>
        <w:rPr>
          <w:lang w:val="en-US"/>
        </w:rPr>
      </w:pPr>
      <w:r>
        <w:rPr>
          <w:lang w:val="en-US"/>
        </w:rPr>
        <w:t xml:space="preserve">The removal efficiencies appear to be high for Ni and low for Pb. We, therefore, again refer to the </w:t>
      </w:r>
      <w:r>
        <w:rPr>
          <w:lang w:val="en-GB"/>
        </w:rPr>
        <w:t>‘</w:t>
      </w:r>
      <w:r w:rsidRPr="00904E6C">
        <w:rPr>
          <w:highlight w:val="cyan"/>
          <w:lang w:val="en-GB"/>
        </w:rPr>
        <w:t>Hargreaves et al. 2018</w:t>
      </w:r>
      <w:r>
        <w:rPr>
          <w:lang w:val="en-GB"/>
        </w:rPr>
        <w:t>’.</w:t>
      </w:r>
    </w:p>
    <w:p w14:paraId="740BB315" w14:textId="77777777" w:rsidR="0056296D" w:rsidRDefault="0056296D" w:rsidP="00E9704F">
      <w:pPr>
        <w:pStyle w:val="CommentText"/>
        <w:rPr>
          <w:lang w:val="en-US"/>
        </w:rPr>
      </w:pPr>
    </w:p>
    <w:p w14:paraId="08BF51CA" w14:textId="77777777" w:rsidR="0056296D" w:rsidRDefault="0056296D" w:rsidP="00E9704F">
      <w:pPr>
        <w:pStyle w:val="CommentText"/>
        <w:rPr>
          <w:lang w:val="en-US"/>
        </w:rPr>
      </w:pPr>
      <w:r w:rsidRPr="004D4AA6">
        <w:rPr>
          <w:lang w:val="en-US"/>
        </w:rPr>
        <w:t>Also, natural background has not been delineated here.</w:t>
      </w:r>
    </w:p>
    <w:p w14:paraId="695ADB09" w14:textId="77777777" w:rsidR="0056296D" w:rsidRDefault="0056296D" w:rsidP="00E9704F">
      <w:pPr>
        <w:pStyle w:val="CommentText"/>
        <w:rPr>
          <w:lang w:val="en-US"/>
        </w:rPr>
      </w:pPr>
    </w:p>
    <w:p w14:paraId="776496D8" w14:textId="77777777" w:rsidR="0056296D" w:rsidRDefault="0056296D" w:rsidP="00E9704F">
      <w:pPr>
        <w:pStyle w:val="CommentText"/>
        <w:rPr>
          <w:b/>
          <w:bCs/>
          <w:color w:val="C00000"/>
          <w:lang w:val="en-US"/>
        </w:rPr>
      </w:pPr>
      <w:r w:rsidRPr="00807AD7">
        <w:rPr>
          <w:b/>
          <w:bCs/>
          <w:color w:val="C00000"/>
          <w:lang w:val="en-US"/>
        </w:rPr>
        <w:t>Sean Comber</w:t>
      </w:r>
      <w:r>
        <w:rPr>
          <w:b/>
          <w:bCs/>
          <w:color w:val="C00000"/>
          <w:lang w:val="en-US"/>
        </w:rPr>
        <w:t>:</w:t>
      </w:r>
    </w:p>
    <w:p w14:paraId="4A7F7A52" w14:textId="364643B0" w:rsidR="0056296D" w:rsidRPr="0056296D" w:rsidRDefault="0056296D" w:rsidP="00E9704F">
      <w:pPr>
        <w:pStyle w:val="CommentText"/>
        <w:rPr>
          <w:lang w:val="en-US"/>
        </w:rPr>
      </w:pPr>
      <w:r w:rsidRPr="0056296D">
        <w:rPr>
          <w:lang w:val="en-US"/>
        </w:rPr>
        <w:t>Looking at P8 ‘Urban Waste Water treated’ - How has ‘g/</w:t>
      </w:r>
      <w:proofErr w:type="spellStart"/>
      <w:proofErr w:type="gramStart"/>
      <w:r w:rsidRPr="0056296D">
        <w:rPr>
          <w:lang w:val="en-US"/>
        </w:rPr>
        <w:t>p.e</w:t>
      </w:r>
      <w:proofErr w:type="spellEnd"/>
      <w:proofErr w:type="gramEnd"/>
      <w:r w:rsidRPr="0056296D">
        <w:rPr>
          <w:lang w:val="en-US"/>
        </w:rPr>
        <w:t xml:space="preserve">’ been calculated? This needs to be clarified (I’d need to look it up). Removal rates for UK provided below – </w:t>
      </w:r>
      <w:r w:rsidRPr="0056296D">
        <w:rPr>
          <w:u w:val="single"/>
          <w:lang w:val="en-US"/>
        </w:rPr>
        <w:t>for total metal</w:t>
      </w:r>
      <w:r w:rsidRPr="0056296D">
        <w:rPr>
          <w:lang w:val="en-US"/>
        </w:rPr>
        <w:t xml:space="preserve"> – an important distinction…. (</w:t>
      </w:r>
      <w:r w:rsidRPr="0056296D">
        <w:rPr>
          <w:b/>
          <w:bCs/>
          <w:i/>
          <w:iCs/>
          <w:lang w:val="en-US"/>
        </w:rPr>
        <w:t>See Annex 2 starting page 18)</w:t>
      </w:r>
      <w:r w:rsidRPr="0056296D">
        <w:rPr>
          <w:lang w:val="en-US"/>
        </w:rPr>
        <w:t>.</w:t>
      </w:r>
    </w:p>
    <w:p w14:paraId="055C5062" w14:textId="77777777" w:rsidR="0056296D" w:rsidRPr="0056296D" w:rsidRDefault="0056296D" w:rsidP="00E9704F">
      <w:pPr>
        <w:pStyle w:val="CommentText"/>
        <w:rPr>
          <w:lang w:val="en-US"/>
        </w:rPr>
      </w:pPr>
    </w:p>
    <w:p w14:paraId="256CA2B5" w14:textId="723B4B2F" w:rsidR="0056296D" w:rsidRPr="0056296D" w:rsidRDefault="0056296D" w:rsidP="00E9704F">
      <w:pPr>
        <w:pStyle w:val="CommentText"/>
        <w:rPr>
          <w:lang w:val="en-US"/>
        </w:rPr>
      </w:pPr>
      <w:r w:rsidRPr="0056296D">
        <w:rPr>
          <w:lang w:val="en-US"/>
        </w:rPr>
        <w:t>In my opinion, P8 overplays Cd removal, underplays Pb and massively over estimates Ni removal. Ni is very soluble and poorly partitions, so I’m surprised at that number. Also, why does DEHP go up with treatment?</w:t>
      </w:r>
    </w:p>
  </w:comment>
  <w:comment w:id="71" w:author="Joost van den Roovaart" w:date="2020-07-15T16:31:00Z" w:initials="JvdR">
    <w:p w14:paraId="23B5B42F" w14:textId="4755706F" w:rsidR="000D0402" w:rsidRPr="000D0402" w:rsidRDefault="000D0402">
      <w:pPr>
        <w:pStyle w:val="CommentText"/>
        <w:rPr>
          <w:lang w:val="en-US"/>
        </w:rPr>
      </w:pPr>
      <w:r>
        <w:rPr>
          <w:rStyle w:val="CommentReference"/>
        </w:rPr>
        <w:annotationRef/>
      </w:r>
      <w:r w:rsidRPr="000D0402">
        <w:rPr>
          <w:lang w:val="en-US"/>
        </w:rPr>
        <w:t>See Annex 1 and 81d</w:t>
      </w:r>
      <w:r>
        <w:rPr>
          <w:lang w:val="en-US"/>
        </w:rPr>
        <w:t>e</w:t>
      </w:r>
    </w:p>
  </w:comment>
  <w:comment w:id="72" w:author="Nathalie Kinga Kowalski" w:date="2020-04-10T13:27:00Z" w:initials="NKK">
    <w:p w14:paraId="1B5CE862" w14:textId="77777777" w:rsidR="0056296D" w:rsidRPr="00524557" w:rsidRDefault="0056296D"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2215822E" w14:textId="4F345FC3" w:rsidR="0056296D" w:rsidRPr="0056296D" w:rsidRDefault="0056296D" w:rsidP="00E9704F">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(P9)</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73" w:author="Joost van den Roovaart" w:date="2020-07-15T16:32:00Z" w:initials="JvdR">
    <w:p w14:paraId="33C72F63" w14:textId="22232712" w:rsidR="000D0402" w:rsidRDefault="000D0402">
      <w:pPr>
        <w:pStyle w:val="CommentText"/>
      </w:pPr>
      <w:r>
        <w:rPr>
          <w:rStyle w:val="CommentReference"/>
        </w:rPr>
        <w:annotationRef/>
      </w:r>
      <w:r>
        <w:t>See Annex 1</w:t>
      </w:r>
    </w:p>
  </w:comment>
  <w:comment w:id="74" w:author="Nathalie Kinga Kowalski" w:date="2020-04-10T13:27:00Z" w:initials="NKK">
    <w:p w14:paraId="5C283E40" w14:textId="77777777" w:rsidR="0056296D" w:rsidRPr="00524557" w:rsidRDefault="0056296D"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37C9412" w14:textId="01BE2F0E" w:rsidR="0056296D" w:rsidRPr="0056296D" w:rsidRDefault="0056296D" w:rsidP="00E9704F">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(P10)</w:t>
      </w:r>
      <w:r w:rsidRPr="00606C26">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75" w:author="Joost van den Roovaart" w:date="2020-07-15T16:32:00Z" w:initials="JvdR">
    <w:p w14:paraId="399E997B" w14:textId="5C36ABE6" w:rsidR="000D0402" w:rsidRDefault="000D0402">
      <w:pPr>
        <w:pStyle w:val="CommentText"/>
      </w:pPr>
      <w:r>
        <w:rPr>
          <w:rStyle w:val="CommentReference"/>
        </w:rPr>
        <w:annotationRef/>
      </w:r>
      <w:r>
        <w:t>See Annex 1</w:t>
      </w:r>
    </w:p>
  </w:comment>
  <w:comment w:id="78" w:author="Nathalie Kinga Kowalski" w:date="2020-04-10T13:27:00Z" w:initials="NKK">
    <w:p w14:paraId="0E31D77E" w14:textId="77777777" w:rsidR="0056296D" w:rsidRPr="00B0094D" w:rsidRDefault="0056296D"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7CFE0DEC" w14:textId="2924AD2E" w:rsidR="0056296D" w:rsidRPr="0056296D" w:rsidRDefault="0056296D" w:rsidP="00E9704F">
      <w:pPr>
        <w:pStyle w:val="CommentText"/>
        <w:rPr>
          <w:lang w:val="en-US"/>
        </w:rPr>
      </w:pPr>
      <w:r w:rsidRPr="00B0094D">
        <w:rPr>
          <w:lang w:val="en-US"/>
        </w:rPr>
        <w:t>For MS’s to decide.</w:t>
      </w:r>
    </w:p>
  </w:comment>
  <w:comment w:id="79" w:author="Joost van den Roovaart" w:date="2020-07-15T16:32:00Z" w:initials="JvdR">
    <w:p w14:paraId="386D774A" w14:textId="52D31A1A" w:rsidR="000D0402" w:rsidRDefault="000D0402">
      <w:pPr>
        <w:pStyle w:val="CommentText"/>
      </w:pPr>
      <w:r>
        <w:rPr>
          <w:rStyle w:val="CommentReference"/>
        </w:rPr>
        <w:annotationRef/>
      </w:r>
      <w:r>
        <w:t>82c</w:t>
      </w:r>
    </w:p>
  </w:comment>
  <w:comment w:id="80" w:author="Nathalie Kinga Kowalski" w:date="2020-04-10T13:28:00Z" w:initials="NKK">
    <w:p w14:paraId="2EC313D6" w14:textId="000F84D5" w:rsidR="0056296D" w:rsidRDefault="0056296D"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0FF8233D" w14:textId="3793ECA3" w:rsidR="0056296D" w:rsidRDefault="0056296D" w:rsidP="00E9704F">
      <w:pPr>
        <w:pStyle w:val="CommentText"/>
        <w:rPr>
          <w:lang w:val="en-US"/>
        </w:rPr>
      </w:pPr>
      <w:r>
        <w:rPr>
          <w:lang w:val="en-US"/>
        </w:rPr>
        <w:t xml:space="preserve">We recommend specifying for Abandoned and Historic Mining only. </w:t>
      </w:r>
    </w:p>
    <w:p w14:paraId="0B971323" w14:textId="77777777" w:rsidR="0056296D" w:rsidRPr="00524557" w:rsidRDefault="0056296D" w:rsidP="00E9704F">
      <w:pPr>
        <w:pStyle w:val="CommentText"/>
        <w:rPr>
          <w:lang w:val="en-US"/>
        </w:rPr>
      </w:pPr>
    </w:p>
    <w:p w14:paraId="6232CEF6" w14:textId="16A2136F" w:rsidR="0056296D" w:rsidRPr="0056296D" w:rsidRDefault="0056296D" w:rsidP="00E9704F">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(P11)</w:t>
      </w:r>
      <w:r w:rsidRPr="00435D34">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81" w:author="Joost van den Roovaart" w:date="2020-07-15T16:33:00Z" w:initials="JvdR">
    <w:p w14:paraId="3CFF8119" w14:textId="3F6CE357" w:rsidR="000D0402" w:rsidRPr="000D0402" w:rsidRDefault="000D0402">
      <w:pPr>
        <w:pStyle w:val="CommentText"/>
        <w:rPr>
          <w:lang w:val="en-US"/>
        </w:rPr>
      </w:pPr>
      <w:r>
        <w:rPr>
          <w:rStyle w:val="CommentReference"/>
        </w:rPr>
        <w:annotationRef/>
      </w:r>
      <w:r w:rsidRPr="000D0402">
        <w:rPr>
          <w:lang w:val="en-US"/>
        </w:rPr>
        <w:t>83d and see A</w:t>
      </w:r>
      <w:r>
        <w:rPr>
          <w:lang w:val="en-US"/>
        </w:rPr>
        <w:t>nnex 1</w:t>
      </w:r>
    </w:p>
  </w:comment>
  <w:comment w:id="83" w:author="Nathalie Kinga Kowalski" w:date="2020-04-10T13:28:00Z" w:initials="NKK">
    <w:p w14:paraId="626455F6" w14:textId="77777777" w:rsidR="0056296D" w:rsidRPr="00B0094D" w:rsidRDefault="0056296D" w:rsidP="00E9704F">
      <w:pPr>
        <w:pStyle w:val="CommentText"/>
        <w:rPr>
          <w:lang w:val="en-US"/>
        </w:rPr>
      </w:pPr>
      <w:r>
        <w:rPr>
          <w:rStyle w:val="CommentReference"/>
        </w:rPr>
        <w:annotationRef/>
      </w:r>
      <w:proofErr w:type="spellStart"/>
      <w:r w:rsidRPr="000338D2">
        <w:rPr>
          <w:lang w:val="en-US"/>
        </w:rPr>
        <w:t>Eurometaux</w:t>
      </w:r>
      <w:proofErr w:type="spellEnd"/>
      <w:r w:rsidRPr="000338D2">
        <w:rPr>
          <w:lang w:val="en-US"/>
        </w:rPr>
        <w:t>:</w:t>
      </w:r>
    </w:p>
    <w:p w14:paraId="3E429702" w14:textId="65605586" w:rsidR="0056296D" w:rsidRDefault="0056296D" w:rsidP="00E9704F">
      <w:pPr>
        <w:pStyle w:val="CommentText"/>
        <w:rPr>
          <w:lang w:val="en-US"/>
        </w:rPr>
      </w:pPr>
      <w:r>
        <w:rPr>
          <w:lang w:val="en-US"/>
        </w:rPr>
        <w:t xml:space="preserve">We have evidence from monitoring data that old, abandoned mining sites may have significant influence on local metal concentrations in surface water. There are many of such sites across Europe. An EU study on these sites would be quite relevant! </w:t>
      </w:r>
    </w:p>
    <w:p w14:paraId="1BA7FCFF" w14:textId="77777777" w:rsidR="0056296D" w:rsidRDefault="0056296D" w:rsidP="00E9704F">
      <w:pPr>
        <w:pStyle w:val="CommentText"/>
        <w:rPr>
          <w:lang w:val="en-US"/>
        </w:rPr>
      </w:pPr>
    </w:p>
    <w:p w14:paraId="2049E881" w14:textId="77777777" w:rsidR="0056296D" w:rsidRDefault="0056296D" w:rsidP="00E9704F">
      <w:pPr>
        <w:pStyle w:val="CommentText"/>
        <w:rPr>
          <w:lang w:val="en-US"/>
        </w:rPr>
      </w:pPr>
      <w:r w:rsidRPr="000B4095">
        <w:rPr>
          <w:u w:val="single"/>
          <w:lang w:val="en-US"/>
        </w:rPr>
        <w:t xml:space="preserve">Furthermore, we attach a </w:t>
      </w:r>
      <w:r w:rsidRPr="000B4095">
        <w:rPr>
          <w:highlight w:val="cyan"/>
          <w:u w:val="single"/>
          <w:lang w:val="en-US"/>
        </w:rPr>
        <w:t>presentation from a colleague, Will Mayes,</w:t>
      </w:r>
      <w:r w:rsidRPr="000B4095">
        <w:rPr>
          <w:u w:val="single"/>
          <w:lang w:val="en-US"/>
        </w:rPr>
        <w:t xml:space="preserve"> for your information</w:t>
      </w:r>
      <w:r w:rsidRPr="000B4095">
        <w:rPr>
          <w:lang w:val="en-US"/>
        </w:rPr>
        <w:t>.</w:t>
      </w:r>
    </w:p>
    <w:p w14:paraId="541E6352" w14:textId="77777777" w:rsidR="0056296D" w:rsidRDefault="0056296D" w:rsidP="00E9704F">
      <w:pPr>
        <w:pStyle w:val="CommentText"/>
        <w:rPr>
          <w:lang w:val="en-US"/>
        </w:rPr>
      </w:pPr>
    </w:p>
    <w:p w14:paraId="5135B286" w14:textId="77777777" w:rsidR="0056296D" w:rsidRPr="0033694A" w:rsidRDefault="0056296D" w:rsidP="00E9704F">
      <w:pPr>
        <w:pStyle w:val="CommentText"/>
        <w:rPr>
          <w:b/>
          <w:bCs/>
          <w:lang w:val="en-US"/>
        </w:rPr>
      </w:pPr>
      <w:r w:rsidRPr="0033694A">
        <w:rPr>
          <w:b/>
          <w:bCs/>
          <w:color w:val="C00000"/>
          <w:lang w:val="en-US"/>
        </w:rPr>
        <w:t>Sean Comber:</w:t>
      </w:r>
    </w:p>
    <w:p w14:paraId="41A02299" w14:textId="461FC9A9" w:rsidR="0056296D" w:rsidRPr="00F52816" w:rsidRDefault="0056296D" w:rsidP="00E9704F">
      <w:pPr>
        <w:pStyle w:val="CommentText"/>
        <w:rPr>
          <w:lang w:val="en-GB"/>
        </w:rPr>
      </w:pPr>
      <w:r w:rsidRPr="00F52816">
        <w:rPr>
          <w:lang w:val="en-GB"/>
        </w:rPr>
        <w:t>The UK Environment Agency generated a point source (</w:t>
      </w:r>
      <w:proofErr w:type="spellStart"/>
      <w:r w:rsidRPr="00F52816">
        <w:rPr>
          <w:lang w:val="en-GB"/>
        </w:rPr>
        <w:t>adit</w:t>
      </w:r>
      <w:proofErr w:type="spellEnd"/>
      <w:r w:rsidRPr="00F52816">
        <w:rPr>
          <w:lang w:val="en-GB"/>
        </w:rPr>
        <w:t>) load for the biggest dischargers. It does not account for diffuse loads from slag heaps etc., which we have estimated as a similar amount. So yes</w:t>
      </w:r>
      <w:r>
        <w:rPr>
          <w:lang w:val="en-GB"/>
        </w:rPr>
        <w:t>,</w:t>
      </w:r>
      <w:r w:rsidRPr="00F52816">
        <w:rPr>
          <w:lang w:val="en-GB"/>
        </w:rPr>
        <w:t xml:space="preserve"> UK has data</w:t>
      </w:r>
      <w:r>
        <w:rPr>
          <w:lang w:val="en-GB"/>
        </w:rPr>
        <w:t xml:space="preserve">. </w:t>
      </w:r>
      <w:r w:rsidRPr="00F52816">
        <w:rPr>
          <w:lang w:val="en-GB"/>
        </w:rPr>
        <w:t xml:space="preserve">The GREAT-ER model did something for Zn in Germany I recall. </w:t>
      </w:r>
      <w:r w:rsidRPr="00F52816">
        <w:rPr>
          <w:u w:val="single"/>
          <w:lang w:val="en-GB"/>
        </w:rPr>
        <w:t>So, numbers are available for certain places</w:t>
      </w:r>
      <w:r w:rsidRPr="00F52816">
        <w:rPr>
          <w:lang w:val="en-GB"/>
        </w:rPr>
        <w:t xml:space="preserve"> with a high degree of variability I’d say.</w:t>
      </w:r>
    </w:p>
  </w:comment>
  <w:comment w:id="84" w:author="Joost van den Roovaart" w:date="2020-07-15T16:34:00Z" w:initials="JvdR">
    <w:p w14:paraId="4F5A44F1" w14:textId="6F474643" w:rsidR="000D0402" w:rsidRDefault="000D0402">
      <w:pPr>
        <w:pStyle w:val="CommentText"/>
      </w:pPr>
      <w:r>
        <w:rPr>
          <w:rStyle w:val="CommentReference"/>
        </w:rPr>
        <w:annotationRef/>
      </w:r>
      <w:r>
        <w:t>84de</w:t>
      </w:r>
    </w:p>
  </w:comment>
  <w:comment w:id="86" w:author="Nathalie Kinga Kowalski" w:date="2020-04-10T13:28:00Z" w:initials="NKK">
    <w:p w14:paraId="12C622C9" w14:textId="77777777" w:rsidR="0056296D" w:rsidRPr="00B0094D" w:rsidRDefault="0056296D"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557EFA25" w14:textId="56313976" w:rsidR="0056296D" w:rsidRPr="0056296D" w:rsidRDefault="0056296D" w:rsidP="00E9704F">
      <w:pPr>
        <w:pStyle w:val="CommentText"/>
        <w:rPr>
          <w:lang w:val="en-US"/>
        </w:rPr>
      </w:pPr>
      <w:r>
        <w:rPr>
          <w:lang w:val="en-US"/>
        </w:rPr>
        <w:t>Both inland and coastal discharges from navigation should be considered for metals.</w:t>
      </w:r>
    </w:p>
  </w:comment>
  <w:comment w:id="87" w:author="Joost van den Roovaart" w:date="2020-07-15T16:34:00Z" w:initials="JvdR">
    <w:p w14:paraId="1C5F7AF1" w14:textId="6A0CE130" w:rsidR="000D0402" w:rsidRDefault="000D0402">
      <w:pPr>
        <w:pStyle w:val="CommentText"/>
      </w:pPr>
      <w:r>
        <w:rPr>
          <w:rStyle w:val="CommentReference"/>
        </w:rPr>
        <w:annotationRef/>
      </w:r>
      <w:r>
        <w:t>85d</w:t>
      </w:r>
    </w:p>
  </w:comment>
  <w:comment w:id="88" w:author="Nathalie Kinga Kowalski" w:date="2020-04-10T13:29:00Z" w:initials="NKK">
    <w:p w14:paraId="5C6AA7CB" w14:textId="77777777" w:rsidR="0056296D" w:rsidRPr="00524557" w:rsidRDefault="0056296D" w:rsidP="00E9704F">
      <w:pPr>
        <w:pStyle w:val="CommentText"/>
        <w:rPr>
          <w:lang w:val="en-US"/>
        </w:rPr>
      </w:pPr>
      <w:r>
        <w:rPr>
          <w:rStyle w:val="CommentReference"/>
        </w:rPr>
        <w:annotationRef/>
      </w:r>
      <w:proofErr w:type="spellStart"/>
      <w:r w:rsidRPr="00524557">
        <w:rPr>
          <w:lang w:val="en-US"/>
        </w:rPr>
        <w:t>Eurometaux</w:t>
      </w:r>
      <w:proofErr w:type="spellEnd"/>
      <w:r w:rsidRPr="00524557">
        <w:rPr>
          <w:lang w:val="en-US"/>
        </w:rPr>
        <w:t>:</w:t>
      </w:r>
    </w:p>
    <w:p w14:paraId="6DF67477" w14:textId="5EB640FD" w:rsidR="0056296D" w:rsidRPr="0056296D" w:rsidRDefault="0056296D" w:rsidP="00E9704F">
      <w:pPr>
        <w:pStyle w:val="CommentText"/>
        <w:rPr>
          <w:lang w:val="en-US"/>
        </w:rPr>
      </w:pPr>
      <w:r>
        <w:rPr>
          <w:i/>
          <w:iCs/>
          <w:lang w:val="en-US"/>
        </w:rPr>
        <w:t>P</w:t>
      </w:r>
      <w:r w:rsidRPr="00524557">
        <w:rPr>
          <w:i/>
          <w:iCs/>
          <w:lang w:val="en-US"/>
        </w:rPr>
        <w:t>lease refer to comments made by our colleague, Kevin Farley</w:t>
      </w:r>
      <w:r>
        <w:rPr>
          <w:i/>
          <w:iCs/>
          <w:lang w:val="en-US"/>
        </w:rPr>
        <w:t xml:space="preserve"> (P13)</w:t>
      </w:r>
      <w:r w:rsidRPr="00435D34">
        <w:rPr>
          <w:b/>
          <w:bCs/>
          <w:i/>
          <w:iCs/>
          <w:lang w:val="en-US"/>
        </w:rPr>
        <w:t xml:space="preserve"> </w:t>
      </w:r>
      <w:r w:rsidRPr="00920CDA">
        <w:rPr>
          <w:b/>
          <w:bCs/>
          <w:i/>
          <w:iCs/>
          <w:lang w:val="en-US"/>
        </w:rPr>
        <w:t>(</w:t>
      </w:r>
      <w:r>
        <w:rPr>
          <w:b/>
          <w:bCs/>
          <w:i/>
          <w:iCs/>
          <w:lang w:val="en-US"/>
        </w:rPr>
        <w:t xml:space="preserve">see </w:t>
      </w:r>
      <w:r w:rsidRPr="00920CDA">
        <w:rPr>
          <w:b/>
          <w:bCs/>
          <w:i/>
          <w:iCs/>
          <w:lang w:val="en-US"/>
        </w:rPr>
        <w:t>Annex</w:t>
      </w:r>
      <w:r>
        <w:rPr>
          <w:b/>
          <w:bCs/>
          <w:i/>
          <w:iCs/>
          <w:lang w:val="en-US"/>
        </w:rPr>
        <w:t xml:space="preserve"> 1, starting page 15</w:t>
      </w:r>
      <w:r w:rsidRPr="00920CDA">
        <w:rPr>
          <w:b/>
          <w:bCs/>
          <w:i/>
          <w:iCs/>
          <w:lang w:val="en-US"/>
        </w:rPr>
        <w:t>)</w:t>
      </w:r>
    </w:p>
  </w:comment>
  <w:comment w:id="89" w:author="Joost van den Roovaart" w:date="2020-07-15T16:35:00Z" w:initials="JvdR">
    <w:p w14:paraId="0B27D611" w14:textId="293E77B5" w:rsidR="000D0402" w:rsidRDefault="000D0402">
      <w:pPr>
        <w:pStyle w:val="CommentText"/>
      </w:pPr>
      <w:r>
        <w:rPr>
          <w:rStyle w:val="CommentReference"/>
        </w:rPr>
        <w:annotationRef/>
      </w:r>
      <w:r>
        <w:t>See Annex 1</w:t>
      </w:r>
    </w:p>
  </w:comment>
  <w:comment w:id="90" w:author="Nathalie Kinga Kowalski" w:date="2020-04-10T13:29:00Z" w:initials="NKK">
    <w:p w14:paraId="2AF17F54" w14:textId="77777777" w:rsidR="0056296D" w:rsidRPr="00B0094D" w:rsidRDefault="0056296D" w:rsidP="00E9704F">
      <w:pPr>
        <w:pStyle w:val="CommentText"/>
        <w:rPr>
          <w:lang w:val="en-US"/>
        </w:rPr>
      </w:pPr>
      <w:r>
        <w:rPr>
          <w:rStyle w:val="CommentReference"/>
        </w:rPr>
        <w:annotationRef/>
      </w:r>
      <w:proofErr w:type="spellStart"/>
      <w:r w:rsidRPr="00B0094D">
        <w:rPr>
          <w:lang w:val="en-US"/>
        </w:rPr>
        <w:t>Eurometaux</w:t>
      </w:r>
      <w:proofErr w:type="spellEnd"/>
      <w:r w:rsidRPr="00B0094D">
        <w:rPr>
          <w:lang w:val="en-US"/>
        </w:rPr>
        <w:t>:</w:t>
      </w:r>
    </w:p>
    <w:p w14:paraId="0DAE863F" w14:textId="77777777" w:rsidR="0056296D" w:rsidRDefault="0056296D" w:rsidP="00E9704F">
      <w:pPr>
        <w:pStyle w:val="CommentText"/>
        <w:rPr>
          <w:lang w:val="en-US"/>
        </w:rPr>
      </w:pPr>
      <w:r>
        <w:rPr>
          <w:lang w:val="en-US"/>
        </w:rPr>
        <w:t xml:space="preserve">This approach seems to have a high level of uncertainty and is perhaps too simplistic. For example, </w:t>
      </w:r>
      <w:r w:rsidRPr="00CE3B4F">
        <w:rPr>
          <w:lang w:val="en-US"/>
        </w:rPr>
        <w:t>it does not consider the dynamics in the water body itself, e.g. in the case sediments can bind and release contaminants and can act as internal sources or sinks.</w:t>
      </w:r>
    </w:p>
    <w:p w14:paraId="7B60E95D" w14:textId="77777777" w:rsidR="0056296D" w:rsidRDefault="0056296D" w:rsidP="00E9704F">
      <w:pPr>
        <w:pStyle w:val="CommentText"/>
        <w:rPr>
          <w:lang w:val="en-US"/>
        </w:rPr>
      </w:pPr>
    </w:p>
    <w:p w14:paraId="4FE583C1" w14:textId="77777777" w:rsidR="0056296D" w:rsidRDefault="0056296D" w:rsidP="00E9704F">
      <w:pPr>
        <w:pStyle w:val="CommentText"/>
        <w:rPr>
          <w:lang w:val="en-US"/>
        </w:rPr>
      </w:pPr>
      <w:r>
        <w:rPr>
          <w:lang w:val="en-US"/>
        </w:rPr>
        <w:t>There is a new (soon to be published) T</w:t>
      </w:r>
      <w:r w:rsidRPr="00B0094D">
        <w:rPr>
          <w:lang w:val="en-US"/>
        </w:rPr>
        <w:t xml:space="preserve">echnical Guidance Doc. for </w:t>
      </w:r>
      <w:r>
        <w:rPr>
          <w:lang w:val="en-US"/>
        </w:rPr>
        <w:t>I</w:t>
      </w:r>
      <w:r w:rsidRPr="00B0094D">
        <w:rPr>
          <w:lang w:val="en-US"/>
        </w:rPr>
        <w:t xml:space="preserve">mplementing </w:t>
      </w:r>
      <w:r>
        <w:rPr>
          <w:lang w:val="en-US"/>
        </w:rPr>
        <w:t>M</w:t>
      </w:r>
      <w:r w:rsidRPr="00B0094D">
        <w:rPr>
          <w:lang w:val="en-US"/>
        </w:rPr>
        <w:t>etal Environmental Quality Standards</w:t>
      </w:r>
      <w:r>
        <w:rPr>
          <w:lang w:val="en-US"/>
        </w:rPr>
        <w:t>, where</w:t>
      </w:r>
      <w:r w:rsidRPr="00B0094D">
        <w:rPr>
          <w:lang w:val="en-US"/>
        </w:rPr>
        <w:t xml:space="preserve"> there is a chapter on estimating natural background concentrations of metals. These methods include looking at river head water metal concentrations, groundwater metal concentrations and modelling (e.g. sediment partitioning).</w:t>
      </w:r>
    </w:p>
    <w:p w14:paraId="32FC5D67" w14:textId="77777777" w:rsidR="0056296D" w:rsidRDefault="0056296D" w:rsidP="00E9704F">
      <w:pPr>
        <w:pStyle w:val="CommentText"/>
        <w:rPr>
          <w:lang w:val="en-US"/>
        </w:rPr>
      </w:pPr>
    </w:p>
    <w:p w14:paraId="4E327B97" w14:textId="16980D8A" w:rsidR="0056296D" w:rsidRPr="0056296D" w:rsidRDefault="0056296D" w:rsidP="00E9704F">
      <w:pPr>
        <w:pStyle w:val="CommentText"/>
        <w:rPr>
          <w:lang w:val="en-US"/>
        </w:rPr>
      </w:pPr>
      <w:r w:rsidRPr="00CE3B4F">
        <w:rPr>
          <w:lang w:val="en-US"/>
        </w:rPr>
        <w:t>We appreciate this is a difficult pathway to quantify!</w:t>
      </w:r>
      <w:r>
        <w:rPr>
          <w:lang w:val="en-US"/>
        </w:rPr>
        <w:t xml:space="preserve"> As such, we have discussed this many times in various fora, we will try and collate some additional information here.</w:t>
      </w:r>
    </w:p>
  </w:comment>
  <w:comment w:id="91" w:author="Joost van den Roovaart" w:date="2020-07-15T16:35:00Z" w:initials="JvdR">
    <w:p w14:paraId="5C833019" w14:textId="3CCB9756" w:rsidR="000D0402" w:rsidRDefault="000D0402">
      <w:pPr>
        <w:pStyle w:val="CommentText"/>
      </w:pPr>
      <w:r>
        <w:rPr>
          <w:rStyle w:val="CommentReference"/>
        </w:rPr>
        <w:annotationRef/>
      </w:r>
      <w:r>
        <w:t>86de</w:t>
      </w:r>
    </w:p>
  </w:comment>
  <w:comment w:id="92" w:author="Joost van den Roovaart" w:date="2020-07-15T16:36:00Z" w:initials="JvdR">
    <w:p w14:paraId="6979A1D2" w14:textId="34EC3AAA" w:rsidR="000D0402" w:rsidRDefault="000D0402">
      <w:pPr>
        <w:pStyle w:val="CommentText"/>
      </w:pPr>
      <w:r>
        <w:rPr>
          <w:rStyle w:val="CommentReference"/>
        </w:rPr>
        <w:annotationRef/>
      </w:r>
      <w:r w:rsidR="001F15C4">
        <w:t>87a</w:t>
      </w:r>
    </w:p>
  </w:comment>
  <w:comment w:id="93" w:author="Joost van den Roovaart" w:date="2020-07-15T16:38:00Z" w:initials="JvdR">
    <w:p w14:paraId="65936A51" w14:textId="54BFCFDB" w:rsidR="001F15C4" w:rsidRDefault="001F15C4">
      <w:pPr>
        <w:pStyle w:val="CommentText"/>
      </w:pPr>
      <w:r>
        <w:rPr>
          <w:rStyle w:val="CommentReference"/>
        </w:rPr>
        <w:annotationRef/>
      </w:r>
      <w:r>
        <w:t>88d</w:t>
      </w:r>
    </w:p>
  </w:comment>
  <w:comment w:id="94" w:author="Joost van den Roovaart" w:date="2020-07-15T16:39:00Z" w:initials="JvdR">
    <w:p w14:paraId="5D95D6C1" w14:textId="3FD41A7C" w:rsidR="001F15C4" w:rsidRDefault="001F15C4">
      <w:pPr>
        <w:pStyle w:val="CommentText"/>
      </w:pPr>
      <w:r>
        <w:rPr>
          <w:rStyle w:val="CommentReference"/>
        </w:rPr>
        <w:annotationRef/>
      </w:r>
      <w:r>
        <w:t>89d</w:t>
      </w:r>
    </w:p>
  </w:comment>
  <w:comment w:id="95" w:author="Joost van den Roovaart" w:date="2020-07-15T16:40:00Z" w:initials="JvdR">
    <w:p w14:paraId="4708D8B8" w14:textId="347389E1" w:rsidR="001F15C4" w:rsidRDefault="001F15C4">
      <w:pPr>
        <w:pStyle w:val="CommentText"/>
      </w:pPr>
      <w:r>
        <w:rPr>
          <w:rStyle w:val="CommentReference"/>
        </w:rPr>
        <w:annotationRef/>
      </w:r>
      <w:r>
        <w:t>90d</w:t>
      </w:r>
    </w:p>
  </w:comment>
  <w:comment w:id="96" w:author="Joost van den Roovaart" w:date="2020-07-15T16:40:00Z" w:initials="JvdR">
    <w:p w14:paraId="4F7D3E3A" w14:textId="02BEDB95" w:rsidR="001F15C4" w:rsidRDefault="001F15C4">
      <w:pPr>
        <w:pStyle w:val="CommentText"/>
      </w:pPr>
      <w:r>
        <w:rPr>
          <w:rStyle w:val="CommentReference"/>
        </w:rPr>
        <w:annotationRef/>
      </w:r>
      <w:r>
        <w:t>91de</w:t>
      </w:r>
    </w:p>
  </w:comment>
  <w:comment w:id="97" w:author="Joost van den Roovaart" w:date="2020-07-15T16:41:00Z" w:initials="JvdR">
    <w:p w14:paraId="6EFA8A3D" w14:textId="2F27CCCB" w:rsidR="001F15C4" w:rsidRDefault="001F15C4">
      <w:pPr>
        <w:pStyle w:val="CommentText"/>
      </w:pPr>
      <w:r>
        <w:rPr>
          <w:rStyle w:val="CommentReference"/>
        </w:rPr>
        <w:annotationRef/>
      </w:r>
      <w:r>
        <w:t>92d</w:t>
      </w:r>
    </w:p>
  </w:comment>
  <w:comment w:id="98" w:author="Joost van den Roovaart" w:date="2020-07-15T16:42:00Z" w:initials="JvdR">
    <w:p w14:paraId="24E84530" w14:textId="7EF63B0C" w:rsidR="001F15C4" w:rsidRDefault="001F15C4">
      <w:pPr>
        <w:pStyle w:val="CommentText"/>
      </w:pPr>
      <w:r>
        <w:rPr>
          <w:rStyle w:val="CommentReference"/>
        </w:rPr>
        <w:annotationRef/>
      </w:r>
      <w:r>
        <w:t>93d</w:t>
      </w:r>
    </w:p>
  </w:comment>
  <w:comment w:id="99" w:author="Joost van den Roovaart" w:date="2020-07-15T16:42:00Z" w:initials="JvdR">
    <w:p w14:paraId="47443B1D" w14:textId="5887233F" w:rsidR="001F15C4" w:rsidRDefault="001F15C4">
      <w:pPr>
        <w:pStyle w:val="CommentText"/>
      </w:pPr>
      <w:r>
        <w:rPr>
          <w:rStyle w:val="CommentReference"/>
        </w:rPr>
        <w:annotationRef/>
      </w:r>
      <w:r>
        <w:t>94d</w:t>
      </w:r>
    </w:p>
  </w:comment>
  <w:comment w:id="100" w:author="Joost van den Roovaart" w:date="2020-07-15T16:43:00Z" w:initials="JvdR">
    <w:p w14:paraId="53601F3F" w14:textId="0A3304F0" w:rsidR="001F15C4" w:rsidRDefault="001F15C4">
      <w:pPr>
        <w:pStyle w:val="CommentText"/>
      </w:pPr>
      <w:r>
        <w:rPr>
          <w:rStyle w:val="CommentReference"/>
        </w:rPr>
        <w:annotationRef/>
      </w:r>
      <w:r>
        <w:t>95d</w:t>
      </w:r>
    </w:p>
  </w:comment>
  <w:comment w:id="101" w:author="Joost van den Roovaart" w:date="2020-07-15T16:43:00Z" w:initials="JvdR">
    <w:p w14:paraId="62511F56" w14:textId="5DCC4FE2" w:rsidR="001F15C4" w:rsidRDefault="001F15C4">
      <w:pPr>
        <w:pStyle w:val="CommentText"/>
      </w:pPr>
      <w:r>
        <w:rPr>
          <w:rStyle w:val="CommentReference"/>
        </w:rPr>
        <w:annotationRef/>
      </w:r>
      <w:r>
        <w:t>96d</w:t>
      </w:r>
    </w:p>
  </w:comment>
  <w:comment w:id="102" w:author="Joost van den Roovaart" w:date="2020-07-15T16:44:00Z" w:initials="JvdR">
    <w:p w14:paraId="02216A7F" w14:textId="19F1008A" w:rsidR="001F15C4" w:rsidRDefault="001F15C4">
      <w:pPr>
        <w:pStyle w:val="CommentText"/>
      </w:pPr>
      <w:r>
        <w:rPr>
          <w:rStyle w:val="CommentReference"/>
        </w:rPr>
        <w:annotationRef/>
      </w:r>
      <w:r>
        <w:t>97e</w:t>
      </w:r>
    </w:p>
  </w:comment>
  <w:comment w:id="103" w:author="Joost van den Roovaart" w:date="2020-07-15T16:45:00Z" w:initials="JvdR">
    <w:p w14:paraId="4DAE5D1D" w14:textId="48C548EB" w:rsidR="001F15C4" w:rsidRDefault="001F15C4">
      <w:pPr>
        <w:pStyle w:val="CommentText"/>
      </w:pPr>
      <w:r>
        <w:rPr>
          <w:rStyle w:val="CommentReference"/>
        </w:rPr>
        <w:annotationRef/>
      </w:r>
      <w:r>
        <w:t>98a</w:t>
      </w:r>
    </w:p>
  </w:comment>
  <w:comment w:id="104" w:author="Joost van den Roovaart" w:date="2020-07-15T16:46:00Z" w:initials="JvdR">
    <w:p w14:paraId="538B340A" w14:textId="6168B152" w:rsidR="001F15C4" w:rsidRDefault="001F15C4">
      <w:pPr>
        <w:pStyle w:val="CommentText"/>
      </w:pPr>
      <w:r>
        <w:rPr>
          <w:rStyle w:val="CommentReference"/>
        </w:rPr>
        <w:annotationRef/>
      </w:r>
      <w:r>
        <w:t>99a</w:t>
      </w:r>
    </w:p>
  </w:comment>
  <w:comment w:id="105" w:author="Joost van den Roovaart" w:date="2020-07-15T16:46:00Z" w:initials="JvdR">
    <w:p w14:paraId="08678B75" w14:textId="49450690" w:rsidR="001F15C4" w:rsidRDefault="001F15C4">
      <w:pPr>
        <w:pStyle w:val="CommentText"/>
      </w:pPr>
      <w:r>
        <w:rPr>
          <w:rStyle w:val="CommentReference"/>
        </w:rPr>
        <w:annotationRef/>
      </w:r>
      <w:r>
        <w:t>100d</w:t>
      </w:r>
    </w:p>
  </w:comment>
  <w:comment w:id="106" w:author="Joost van den Roovaart" w:date="2020-07-15T16:46:00Z" w:initials="JvdR">
    <w:p w14:paraId="78198F43" w14:textId="4723D59C" w:rsidR="001F15C4" w:rsidRDefault="001F15C4">
      <w:pPr>
        <w:pStyle w:val="CommentText"/>
      </w:pPr>
      <w:r>
        <w:rPr>
          <w:rStyle w:val="CommentReference"/>
        </w:rPr>
        <w:annotationRef/>
      </w:r>
      <w:r>
        <w:t>101d</w:t>
      </w:r>
    </w:p>
  </w:comment>
  <w:comment w:id="107" w:author="Joost van den Roovaart" w:date="2020-07-15T16:48:00Z" w:initials="JvdR">
    <w:p w14:paraId="76B22BD1" w14:textId="05DACB45" w:rsidR="008211B1" w:rsidRDefault="008211B1">
      <w:pPr>
        <w:pStyle w:val="CommentText"/>
      </w:pPr>
      <w:r>
        <w:rPr>
          <w:rStyle w:val="CommentReference"/>
        </w:rPr>
        <w:annotationRef/>
      </w:r>
      <w:r>
        <w:t>102de</w:t>
      </w:r>
      <w:bookmarkStart w:id="108" w:name="_GoBack"/>
      <w:bookmarkEnd w:id="10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48205" w15:done="0"/>
  <w15:commentEx w15:paraId="04667861" w15:paraIdParent="61A48205" w15:done="0"/>
  <w15:commentEx w15:paraId="6DB4A0B9" w15:done="0"/>
  <w15:commentEx w15:paraId="75E66101" w15:paraIdParent="6DB4A0B9" w15:done="0"/>
  <w15:commentEx w15:paraId="14AF8058" w15:done="0"/>
  <w15:commentEx w15:paraId="3F1B4EBE" w15:paraIdParent="14AF8058" w15:done="0"/>
  <w15:commentEx w15:paraId="6DE56CCD" w15:done="0"/>
  <w15:commentEx w15:paraId="7EE9AF3E" w15:paraIdParent="6DE56CCD" w15:done="0"/>
  <w15:commentEx w15:paraId="178BD728" w15:done="0"/>
  <w15:commentEx w15:paraId="6CD2DF44" w15:paraIdParent="178BD728" w15:done="0"/>
  <w15:commentEx w15:paraId="3CBFCDE2" w15:done="0"/>
  <w15:commentEx w15:paraId="64E6D3E8" w15:paraIdParent="3CBFCDE2" w15:done="0"/>
  <w15:commentEx w15:paraId="41AF7DB0" w15:done="0"/>
  <w15:commentEx w15:paraId="470484C2" w15:paraIdParent="41AF7DB0" w15:done="0"/>
  <w15:commentEx w15:paraId="7635A5C1" w15:done="0"/>
  <w15:commentEx w15:paraId="1CEFFC9A" w15:paraIdParent="7635A5C1" w15:done="0"/>
  <w15:commentEx w15:paraId="1716C009" w15:done="0"/>
  <w15:commentEx w15:paraId="027E712F" w15:paraIdParent="1716C009" w15:done="0"/>
  <w15:commentEx w15:paraId="5CD1BACC" w15:done="0"/>
  <w15:commentEx w15:paraId="73CDA4FF" w15:paraIdParent="5CD1BACC" w15:done="0"/>
  <w15:commentEx w15:paraId="204F7D4D" w15:done="0"/>
  <w15:commentEx w15:paraId="5C380E1D" w15:paraIdParent="204F7D4D" w15:done="0"/>
  <w15:commentEx w15:paraId="78487FE1" w15:done="0"/>
  <w15:commentEx w15:paraId="56561E0D" w15:paraIdParent="78487FE1" w15:done="0"/>
  <w15:commentEx w15:paraId="03BACAA3" w15:done="0"/>
  <w15:commentEx w15:paraId="1405E209" w15:paraIdParent="03BACAA3" w15:done="0"/>
  <w15:commentEx w15:paraId="6983F416" w15:done="0"/>
  <w15:commentEx w15:paraId="6DA1FA41" w15:paraIdParent="6983F416" w15:done="0"/>
  <w15:commentEx w15:paraId="4903975B" w15:done="0"/>
  <w15:commentEx w15:paraId="4B411767" w15:paraIdParent="4903975B" w15:done="0"/>
  <w15:commentEx w15:paraId="09846E5C" w15:done="0"/>
  <w15:commentEx w15:paraId="3A848510" w15:paraIdParent="09846E5C" w15:done="0"/>
  <w15:commentEx w15:paraId="76091F55" w15:done="0"/>
  <w15:commentEx w15:paraId="59A064F7" w15:paraIdParent="76091F55" w15:done="0"/>
  <w15:commentEx w15:paraId="4BE99D11" w15:done="0"/>
  <w15:commentEx w15:paraId="34DAC633" w15:paraIdParent="4BE99D11" w15:done="0"/>
  <w15:commentEx w15:paraId="609A64C4" w15:done="0"/>
  <w15:commentEx w15:paraId="40B13315" w15:paraIdParent="609A64C4" w15:done="0"/>
  <w15:commentEx w15:paraId="5DAA763B" w15:done="0"/>
  <w15:commentEx w15:paraId="0EA8B882" w15:paraIdParent="5DAA763B" w15:done="0"/>
  <w15:commentEx w15:paraId="3966ED8B" w15:done="0"/>
  <w15:commentEx w15:paraId="4BA282AF" w15:paraIdParent="3966ED8B" w15:done="0"/>
  <w15:commentEx w15:paraId="64AAC626" w15:done="0"/>
  <w15:commentEx w15:paraId="72CDD39D" w15:paraIdParent="64AAC626" w15:done="0"/>
  <w15:commentEx w15:paraId="5FB2148F" w15:done="0"/>
  <w15:commentEx w15:paraId="2D68C160" w15:paraIdParent="5FB2148F" w15:done="0"/>
  <w15:commentEx w15:paraId="31C1D8A2" w15:done="0"/>
  <w15:commentEx w15:paraId="309CE85E" w15:paraIdParent="31C1D8A2" w15:done="0"/>
  <w15:commentEx w15:paraId="726D529A" w15:done="0"/>
  <w15:commentEx w15:paraId="1D98C80C" w15:paraIdParent="726D529A" w15:done="0"/>
  <w15:commentEx w15:paraId="79C8ACDE" w15:done="0"/>
  <w15:commentEx w15:paraId="53285184" w15:paraIdParent="79C8ACDE" w15:done="0"/>
  <w15:commentEx w15:paraId="69B5D2D3" w15:done="0"/>
  <w15:commentEx w15:paraId="48A25509" w15:paraIdParent="69B5D2D3" w15:done="0"/>
  <w15:commentEx w15:paraId="256CA2B5" w15:done="0"/>
  <w15:commentEx w15:paraId="23B5B42F" w15:paraIdParent="256CA2B5" w15:done="0"/>
  <w15:commentEx w15:paraId="2215822E" w15:done="0"/>
  <w15:commentEx w15:paraId="33C72F63" w15:paraIdParent="2215822E" w15:done="0"/>
  <w15:commentEx w15:paraId="037C9412" w15:done="0"/>
  <w15:commentEx w15:paraId="399E997B" w15:paraIdParent="037C9412" w15:done="0"/>
  <w15:commentEx w15:paraId="7CFE0DEC" w15:done="0"/>
  <w15:commentEx w15:paraId="386D774A" w15:paraIdParent="7CFE0DEC" w15:done="0"/>
  <w15:commentEx w15:paraId="6232CEF6" w15:done="0"/>
  <w15:commentEx w15:paraId="3CFF8119" w15:paraIdParent="6232CEF6" w15:done="0"/>
  <w15:commentEx w15:paraId="41A02299" w15:done="0"/>
  <w15:commentEx w15:paraId="4F5A44F1" w15:paraIdParent="41A02299" w15:done="0"/>
  <w15:commentEx w15:paraId="557EFA25" w15:done="0"/>
  <w15:commentEx w15:paraId="1C5F7AF1" w15:paraIdParent="557EFA25" w15:done="0"/>
  <w15:commentEx w15:paraId="6DF67477" w15:done="0"/>
  <w15:commentEx w15:paraId="0B27D611" w15:paraIdParent="6DF67477" w15:done="0"/>
  <w15:commentEx w15:paraId="4E327B97" w15:done="0"/>
  <w15:commentEx w15:paraId="5C833019" w15:paraIdParent="4E327B97" w15:done="0"/>
  <w15:commentEx w15:paraId="6979A1D2" w15:done="0"/>
  <w15:commentEx w15:paraId="65936A51" w15:done="0"/>
  <w15:commentEx w15:paraId="5D95D6C1" w15:done="0"/>
  <w15:commentEx w15:paraId="4708D8B8" w15:done="0"/>
  <w15:commentEx w15:paraId="4F7D3E3A" w15:done="0"/>
  <w15:commentEx w15:paraId="6EFA8A3D" w15:done="0"/>
  <w15:commentEx w15:paraId="24E84530" w15:done="0"/>
  <w15:commentEx w15:paraId="47443B1D" w15:done="0"/>
  <w15:commentEx w15:paraId="53601F3F" w15:done="0"/>
  <w15:commentEx w15:paraId="62511F56" w15:done="0"/>
  <w15:commentEx w15:paraId="02216A7F" w15:done="0"/>
  <w15:commentEx w15:paraId="4DAE5D1D" w15:done="0"/>
  <w15:commentEx w15:paraId="538B340A" w15:done="0"/>
  <w15:commentEx w15:paraId="08678B75" w15:done="0"/>
  <w15:commentEx w15:paraId="78198F43" w15:done="0"/>
  <w15:commentEx w15:paraId="76B22B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48205" w16cid:durableId="223AFB0E"/>
  <w16cid:commentId w16cid:paraId="04667861" w16cid:durableId="22B9A86A"/>
  <w16cid:commentId w16cid:paraId="6DB4A0B9" w16cid:durableId="223AE84E"/>
  <w16cid:commentId w16cid:paraId="75E66101" w16cid:durableId="22B9A898"/>
  <w16cid:commentId w16cid:paraId="14AF8058" w16cid:durableId="223AE888"/>
  <w16cid:commentId w16cid:paraId="3F1B4EBE" w16cid:durableId="22B9A930"/>
  <w16cid:commentId w16cid:paraId="6DE56CCD" w16cid:durableId="223AE899"/>
  <w16cid:commentId w16cid:paraId="7EE9AF3E" w16cid:durableId="22B9A95A"/>
  <w16cid:commentId w16cid:paraId="178BD728" w16cid:durableId="223AE8AD"/>
  <w16cid:commentId w16cid:paraId="6CD2DF44" w16cid:durableId="22B9A96F"/>
  <w16cid:commentId w16cid:paraId="3CBFCDE2" w16cid:durableId="223AE8BD"/>
  <w16cid:commentId w16cid:paraId="64E6D3E8" w16cid:durableId="22B9A994"/>
  <w16cid:commentId w16cid:paraId="41AF7DB0" w16cid:durableId="223AE9AF"/>
  <w16cid:commentId w16cid:paraId="470484C2" w16cid:durableId="22B9A9B0"/>
  <w16cid:commentId w16cid:paraId="7635A5C1" w16cid:durableId="223AE9C4"/>
  <w16cid:commentId w16cid:paraId="1CEFFC9A" w16cid:durableId="22B9AA01"/>
  <w16cid:commentId w16cid:paraId="1716C009" w16cid:durableId="223AEE86"/>
  <w16cid:commentId w16cid:paraId="027E712F" w16cid:durableId="22B9AA23"/>
  <w16cid:commentId w16cid:paraId="5CD1BACC" w16cid:durableId="223AEEA0"/>
  <w16cid:commentId w16cid:paraId="73CDA4FF" w16cid:durableId="22B9AA50"/>
  <w16cid:commentId w16cid:paraId="204F7D4D" w16cid:durableId="223AEEAE"/>
  <w16cid:commentId w16cid:paraId="5C380E1D" w16cid:durableId="22B9AA6A"/>
  <w16cid:commentId w16cid:paraId="78487FE1" w16cid:durableId="223AEEBB"/>
  <w16cid:commentId w16cid:paraId="56561E0D" w16cid:durableId="22B9AA7A"/>
  <w16cid:commentId w16cid:paraId="03BACAA3" w16cid:durableId="223AEEC6"/>
  <w16cid:commentId w16cid:paraId="1405E209" w16cid:durableId="22B9AAC3"/>
  <w16cid:commentId w16cid:paraId="6983F416" w16cid:durableId="223AEED4"/>
  <w16cid:commentId w16cid:paraId="6DA1FA41" w16cid:durableId="22B9AAFC"/>
  <w16cid:commentId w16cid:paraId="4903975B" w16cid:durableId="223AEEE5"/>
  <w16cid:commentId w16cid:paraId="4B411767" w16cid:durableId="22B9AB2A"/>
  <w16cid:commentId w16cid:paraId="09846E5C" w16cid:durableId="223AEEF1"/>
  <w16cid:commentId w16cid:paraId="3A848510" w16cid:durableId="22B9AB4D"/>
  <w16cid:commentId w16cid:paraId="76091F55" w16cid:durableId="223AEEFE"/>
  <w16cid:commentId w16cid:paraId="59A064F7" w16cid:durableId="22B9AC46"/>
  <w16cid:commentId w16cid:paraId="4BE99D11" w16cid:durableId="223AEF18"/>
  <w16cid:commentId w16cid:paraId="34DAC633" w16cid:durableId="22B9AC7B"/>
  <w16cid:commentId w16cid:paraId="609A64C4" w16cid:durableId="223AEF2B"/>
  <w16cid:commentId w16cid:paraId="40B13315" w16cid:durableId="22B9AC97"/>
  <w16cid:commentId w16cid:paraId="5DAA763B" w16cid:durableId="223AEF38"/>
  <w16cid:commentId w16cid:paraId="0EA8B882" w16cid:durableId="22B9ACBC"/>
  <w16cid:commentId w16cid:paraId="3966ED8B" w16cid:durableId="223AEF5D"/>
  <w16cid:commentId w16cid:paraId="4BA282AF" w16cid:durableId="22B9ACED"/>
  <w16cid:commentId w16cid:paraId="64AAC626" w16cid:durableId="223AEF6C"/>
  <w16cid:commentId w16cid:paraId="72CDD39D" w16cid:durableId="22B9AD01"/>
  <w16cid:commentId w16cid:paraId="5FB2148F" w16cid:durableId="223AEF78"/>
  <w16cid:commentId w16cid:paraId="2D68C160" w16cid:durableId="22B9AD13"/>
  <w16cid:commentId w16cid:paraId="31C1D8A2" w16cid:durableId="223AEF8A"/>
  <w16cid:commentId w16cid:paraId="309CE85E" w16cid:durableId="22B9AD42"/>
  <w16cid:commentId w16cid:paraId="726D529A" w16cid:durableId="223AEFA8"/>
  <w16cid:commentId w16cid:paraId="1D98C80C" w16cid:durableId="22B9AD75"/>
  <w16cid:commentId w16cid:paraId="79C8ACDE" w16cid:durableId="223AF27E"/>
  <w16cid:commentId w16cid:paraId="53285184" w16cid:durableId="22B9AD9A"/>
  <w16cid:commentId w16cid:paraId="69B5D2D3" w16cid:durableId="223AF297"/>
  <w16cid:commentId w16cid:paraId="48A25509" w16cid:durableId="22B9ADBF"/>
  <w16cid:commentId w16cid:paraId="256CA2B5" w16cid:durableId="223AF2A8"/>
  <w16cid:commentId w16cid:paraId="23B5B42F" w16cid:durableId="22B9ADED"/>
  <w16cid:commentId w16cid:paraId="2215822E" w16cid:durableId="223AF2B4"/>
  <w16cid:commentId w16cid:paraId="33C72F63" w16cid:durableId="22B9AE11"/>
  <w16cid:commentId w16cid:paraId="037C9412" w16cid:durableId="223AF2CA"/>
  <w16cid:commentId w16cid:paraId="399E997B" w16cid:durableId="22B9AE25"/>
  <w16cid:commentId w16cid:paraId="7CFE0DEC" w16cid:durableId="223AF2D8"/>
  <w16cid:commentId w16cid:paraId="386D774A" w16cid:durableId="22B9AE31"/>
  <w16cid:commentId w16cid:paraId="6232CEF6" w16cid:durableId="223AF2FB"/>
  <w16cid:commentId w16cid:paraId="3CFF8119" w16cid:durableId="22B9AE52"/>
  <w16cid:commentId w16cid:paraId="41A02299" w16cid:durableId="223AF30A"/>
  <w16cid:commentId w16cid:paraId="4F5A44F1" w16cid:durableId="22B9AE94"/>
  <w16cid:commentId w16cid:paraId="557EFA25" w16cid:durableId="223AF31A"/>
  <w16cid:commentId w16cid:paraId="1C5F7AF1" w16cid:durableId="22B9AEB1"/>
  <w16cid:commentId w16cid:paraId="6DF67477" w16cid:durableId="223AF320"/>
  <w16cid:commentId w16cid:paraId="0B27D611" w16cid:durableId="22B9AEC1"/>
  <w16cid:commentId w16cid:paraId="4E327B97" w16cid:durableId="223AF332"/>
  <w16cid:commentId w16cid:paraId="5C833019" w16cid:durableId="22B9AEDE"/>
  <w16cid:commentId w16cid:paraId="6979A1D2" w16cid:durableId="22B9AF26"/>
  <w16cid:commentId w16cid:paraId="65936A51" w16cid:durableId="22B9AF92"/>
  <w16cid:commentId w16cid:paraId="5D95D6C1" w16cid:durableId="22B9AFBE"/>
  <w16cid:commentId w16cid:paraId="4708D8B8" w16cid:durableId="22B9AFE2"/>
  <w16cid:commentId w16cid:paraId="4F7D3E3A" w16cid:durableId="22B9B007"/>
  <w16cid:commentId w16cid:paraId="6EFA8A3D" w16cid:durableId="22B9B03D"/>
  <w16cid:commentId w16cid:paraId="24E84530" w16cid:durableId="22B9B061"/>
  <w16cid:commentId w16cid:paraId="47443B1D" w16cid:durableId="22B9B077"/>
  <w16cid:commentId w16cid:paraId="53601F3F" w16cid:durableId="22B9B0AE"/>
  <w16cid:commentId w16cid:paraId="62511F56" w16cid:durableId="22B9B0C0"/>
  <w16cid:commentId w16cid:paraId="02216A7F" w16cid:durableId="22B9B0D6"/>
  <w16cid:commentId w16cid:paraId="4DAE5D1D" w16cid:durableId="22B9B12B"/>
  <w16cid:commentId w16cid:paraId="538B340A" w16cid:durableId="22B9B152"/>
  <w16cid:commentId w16cid:paraId="08678B75" w16cid:durableId="22B9B15D"/>
  <w16cid:commentId w16cid:paraId="78198F43" w16cid:durableId="22B9B179"/>
  <w16cid:commentId w16cid:paraId="76B22BD1" w16cid:durableId="22B9B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ABEA" w14:textId="77777777" w:rsidR="0056296D" w:rsidRDefault="0056296D" w:rsidP="00B525B7">
      <w:pPr>
        <w:spacing w:after="0" w:line="240" w:lineRule="auto"/>
      </w:pPr>
      <w:r>
        <w:separator/>
      </w:r>
    </w:p>
  </w:endnote>
  <w:endnote w:type="continuationSeparator" w:id="0">
    <w:p w14:paraId="60782A81" w14:textId="77777777" w:rsidR="0056296D" w:rsidRDefault="0056296D"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56296D" w:rsidRDefault="0056296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1ADBB88" w14:textId="77777777" w:rsidR="0056296D" w:rsidRDefault="00562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A382" w14:textId="77777777" w:rsidR="0056296D" w:rsidRDefault="0056296D" w:rsidP="00B525B7">
      <w:pPr>
        <w:spacing w:after="0" w:line="240" w:lineRule="auto"/>
      </w:pPr>
      <w:r>
        <w:separator/>
      </w:r>
    </w:p>
  </w:footnote>
  <w:footnote w:type="continuationSeparator" w:id="0">
    <w:p w14:paraId="652570BD" w14:textId="77777777" w:rsidR="0056296D" w:rsidRDefault="0056296D" w:rsidP="00B525B7">
      <w:pPr>
        <w:spacing w:after="0" w:line="240" w:lineRule="auto"/>
      </w:pPr>
      <w:r>
        <w:continuationSeparator/>
      </w:r>
    </w:p>
  </w:footnote>
  <w:footnote w:id="1">
    <w:p w14:paraId="6359F672" w14:textId="52C9EF42" w:rsidR="0056296D" w:rsidRPr="00DF3B79" w:rsidRDefault="0056296D">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56296D" w:rsidRPr="00C15A6A" w:rsidRDefault="0056296D"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56296D" w:rsidRPr="00215A6A" w:rsidRDefault="0056296D">
      <w:pPr>
        <w:pStyle w:val="FootnoteText"/>
        <w:rPr>
          <w:lang w:val="en-US"/>
        </w:rPr>
      </w:pPr>
      <w:r>
        <w:rPr>
          <w:rStyle w:val="FootnoteReference"/>
        </w:rPr>
        <w:footnoteRef/>
      </w:r>
      <w:r w:rsidRPr="00215A6A">
        <w:rPr>
          <w:lang w:val="en-US"/>
        </w:rPr>
        <w:t xml:space="preserve"> </w:t>
      </w:r>
      <w:bookmarkStart w:id="3"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hyperlink r:id="rId2" w:history="1">
        <w:r w:rsidRPr="00C15A6A">
          <w:rPr>
            <w:rStyle w:val="Hyperlink"/>
            <w:lang w:val="en-US"/>
          </w:rPr>
          <w:t>https://circabc.europa.eu/sd/a/dd20cdae-c76a-49b1-bf75-675c15a454d4/Diffuse%20water%20emissions%20in%20E-PRTR%202013%20background%20document.pdf</w:t>
        </w:r>
      </w:hyperlink>
    </w:p>
    <w:bookmarkEnd w:id="3"/>
  </w:footnote>
  <w:footnote w:id="4">
    <w:p w14:paraId="533295B1" w14:textId="131419D7" w:rsidR="0056296D" w:rsidRPr="00215A6A" w:rsidRDefault="0056296D">
      <w:pPr>
        <w:pStyle w:val="FootnoteText"/>
        <w:rPr>
          <w:lang w:val="en-US"/>
        </w:rPr>
      </w:pPr>
      <w:r>
        <w:rPr>
          <w:rStyle w:val="FootnoteReference"/>
        </w:rPr>
        <w:footnoteRef/>
      </w:r>
      <w:r w:rsidRPr="00215A6A">
        <w:rPr>
          <w:lang w:val="en-US"/>
        </w:rPr>
        <w:t xml:space="preserve"> </w:t>
      </w:r>
      <w:bookmarkStart w:id="4" w:name="_Hlk34318287"/>
      <w:r w:rsidRPr="006E367A">
        <w:rPr>
          <w:i/>
          <w:iCs/>
          <w:lang w:val="en-US"/>
        </w:rPr>
        <w:t xml:space="preserve">Roovaart, J. van den et al., 2016, E-PRTR completeness checks – water, ETC/ICM Technical Paper, version November 2016. </w:t>
      </w:r>
      <w:bookmarkEnd w:id="4"/>
    </w:p>
  </w:footnote>
  <w:footnote w:id="5">
    <w:p w14:paraId="48970BC1" w14:textId="56CCCA99" w:rsidR="0056296D" w:rsidRPr="00215A6A" w:rsidRDefault="0056296D">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56296D" w:rsidRPr="00215A6A" w:rsidRDefault="0056296D" w:rsidP="00FA45B4">
      <w:pPr>
        <w:pStyle w:val="FootnoteText"/>
        <w:rPr>
          <w:lang w:val="en-US"/>
        </w:rPr>
      </w:pPr>
      <w:r>
        <w:rPr>
          <w:rStyle w:val="FootnoteReference"/>
        </w:rPr>
        <w:footnoteRef/>
      </w:r>
      <w:r w:rsidRPr="00215A6A">
        <w:rPr>
          <w:lang w:val="en-US"/>
        </w:rPr>
        <w:t xml:space="preserve"> </w:t>
      </w:r>
      <w:bookmarkStart w:id="5" w:name="_Hlk33369024"/>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r w:rsidRPr="006E367A">
        <w:rPr>
          <w:i/>
          <w:iCs/>
          <w:u w:val="single"/>
          <w:lang w:val="en-US"/>
        </w:rPr>
        <w:t xml:space="preserve"> </w:t>
      </w:r>
      <w:bookmarkEnd w:id="5"/>
    </w:p>
  </w:footnote>
  <w:footnote w:id="7">
    <w:p w14:paraId="4F96A9EC" w14:textId="417D014E" w:rsidR="0056296D" w:rsidRPr="00215A6A" w:rsidRDefault="0056296D">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56296D" w:rsidRPr="00C15A6A" w:rsidRDefault="0056296D">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56296D" w:rsidRPr="00FE6944" w:rsidRDefault="0056296D"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56296D" w:rsidRPr="00FE6944" w:rsidRDefault="0056296D"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56296D" w:rsidRPr="00FA45B4" w:rsidRDefault="0056296D"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56296D" w:rsidRPr="00FA45B4" w:rsidRDefault="0056296D"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09D3F865" w14:textId="77777777" w:rsidR="0056296D" w:rsidRPr="00DF3B79" w:rsidRDefault="0056296D"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hyperlink r:id="rId10" w:history="1">
        <w:r w:rsidRPr="00C15A6A">
          <w:rPr>
            <w:rStyle w:val="Hyperlink"/>
            <w:i/>
            <w:lang w:val="en-US"/>
          </w:rPr>
          <w:t>https://circabc.europa.eu/sd/a/6a3fb5a0-4dec-4fde-a69d-ac93dfbbadd/Guidance%20document%20n28.pdf</w:t>
        </w:r>
      </w:hyperlink>
      <w:r w:rsidRPr="00C15A6A">
        <w:rPr>
          <w:i/>
          <w:lang w:val="en-US"/>
        </w:rPr>
        <w:t xml:space="preserve"> </w:t>
      </w:r>
    </w:p>
    <w:p w14:paraId="3F9312E4" w14:textId="5317FDB0" w:rsidR="0056296D" w:rsidRPr="004A3EAC" w:rsidRDefault="0056296D" w:rsidP="002D1780">
      <w:pPr>
        <w:pStyle w:val="FootnoteText"/>
        <w:rPr>
          <w:lang w:val="en-US"/>
        </w:rPr>
      </w:pPr>
    </w:p>
    <w:p w14:paraId="08489B09" w14:textId="77777777" w:rsidR="0056296D" w:rsidRPr="006554E6" w:rsidRDefault="0056296D" w:rsidP="002D1780">
      <w:pPr>
        <w:pStyle w:val="FootnoteText"/>
        <w:rPr>
          <w:lang w:val="en-US"/>
        </w:rPr>
      </w:pPr>
    </w:p>
  </w:footnote>
  <w:footnote w:id="14">
    <w:p w14:paraId="14D06611" w14:textId="77777777" w:rsidR="0056296D" w:rsidRPr="00615A14" w:rsidRDefault="0056296D" w:rsidP="007568A1">
      <w:pPr>
        <w:pStyle w:val="FootnoteText"/>
        <w:rPr>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p>
  </w:footnote>
  <w:footnote w:id="15">
    <w:p w14:paraId="28E8BE27" w14:textId="0ECF85F6" w:rsidR="0056296D" w:rsidRPr="00C15A6A" w:rsidRDefault="0056296D">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hyperlink r:id="rId11" w:history="1">
        <w:r w:rsidRPr="00C15A6A">
          <w:rPr>
            <w:rStyle w:val="Hyperlink"/>
            <w:i/>
            <w:lang w:val="en-US"/>
          </w:rPr>
          <w:t>https://circabc.europa.eu/sd/a/dd20cdae-c76a-49b1-bf75-675c15a454d4/Diffuse%20water%20emissions%20in%20E-PRTR%202013%20background%20document.pdf</w:t>
        </w:r>
      </w:hyperlink>
    </w:p>
  </w:footnote>
  <w:footnote w:id="16">
    <w:p w14:paraId="3F8A2FD8" w14:textId="347299A2" w:rsidR="0056296D" w:rsidRPr="00C15A6A" w:rsidRDefault="0056296D">
      <w:pPr>
        <w:pStyle w:val="FootnoteText"/>
        <w:rPr>
          <w:i/>
          <w:lang w:val="en-US"/>
        </w:rPr>
      </w:pPr>
      <w:r>
        <w:rPr>
          <w:rStyle w:val="FootnoteReference"/>
        </w:rPr>
        <w:footnoteRef/>
      </w:r>
      <w:r w:rsidRPr="005A2BCA">
        <w:rPr>
          <w:lang w:val="en-US"/>
        </w:rPr>
        <w:t xml:space="preserve"> </w:t>
      </w:r>
      <w:hyperlink r:id="rId12" w:history="1">
        <w:r w:rsidRPr="00C15A6A">
          <w:rPr>
            <w:rStyle w:val="Hyperlink"/>
            <w:i/>
            <w:lang w:val="en-US"/>
          </w:rPr>
          <w:t>http://prtr.ec.europa.eu/</w:t>
        </w:r>
      </w:hyperlink>
    </w:p>
  </w:footnote>
  <w:footnote w:id="17">
    <w:p w14:paraId="72788EA3" w14:textId="5A590DE9" w:rsidR="0056296D" w:rsidRPr="00C15A6A" w:rsidRDefault="0056296D">
      <w:pPr>
        <w:pStyle w:val="FootnoteText"/>
        <w:rPr>
          <w:i/>
          <w:lang w:val="en-US"/>
        </w:rPr>
      </w:pPr>
      <w:r>
        <w:rPr>
          <w:rStyle w:val="FootnoteReference"/>
        </w:rPr>
        <w:footnoteRef/>
      </w:r>
      <w:r w:rsidRPr="00A3714D">
        <w:rPr>
          <w:lang w:val="en-US"/>
        </w:rPr>
        <w:t xml:space="preserve"> </w:t>
      </w:r>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hyperlink r:id="rId13" w:history="1">
        <w:r w:rsidRPr="00C15A6A">
          <w:rPr>
            <w:rStyle w:val="Hyperlink"/>
            <w:i/>
            <w:lang w:val="en-US"/>
          </w:rPr>
          <w:t>https://webdosya.csb.gov.tr/db/necen/editordosya/file/NEC/CollectER_Training/The_Art_of_Emission_Inventorying.pdf</w:t>
        </w:r>
      </w:hyperlink>
    </w:p>
  </w:footnote>
  <w:footnote w:id="18">
    <w:p w14:paraId="32C15E2F" w14:textId="241D8906" w:rsidR="0056296D" w:rsidRPr="00182FBD" w:rsidRDefault="0056296D">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https://www.igb-berlin.de/en/moneris</w:t>
        </w:r>
      </w:hyperlink>
    </w:p>
  </w:footnote>
  <w:footnote w:id="19">
    <w:p w14:paraId="7300E2A9" w14:textId="4D423237" w:rsidR="0056296D" w:rsidRPr="00182FBD" w:rsidRDefault="0056296D">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https://www.mdpi.com/2073-4441/9/4/239</w:t>
        </w:r>
      </w:hyperlink>
    </w:p>
  </w:footnote>
  <w:footnote w:id="20">
    <w:p w14:paraId="0C0E425B" w14:textId="478E2286" w:rsidR="0056296D" w:rsidRPr="00182FBD" w:rsidRDefault="0056296D">
      <w:pPr>
        <w:pStyle w:val="FootnoteText"/>
        <w:rPr>
          <w:lang w:val="en-US"/>
        </w:rPr>
      </w:pPr>
      <w:r>
        <w:rPr>
          <w:rStyle w:val="FootnoteReference"/>
        </w:rPr>
        <w:footnoteRef/>
      </w:r>
      <w:r w:rsidRPr="00182FBD">
        <w:rPr>
          <w:lang w:val="en-US"/>
        </w:rPr>
        <w:t xml:space="preserve"> </w:t>
      </w:r>
      <w:hyperlink r:id="rId16" w:history="1">
        <w:r w:rsidRPr="00382A5F">
          <w:rPr>
            <w:rStyle w:val="Hyperlink"/>
            <w:i/>
            <w:lang w:val="en-US"/>
          </w:rPr>
          <w:t>https://weiss.vmm.be/</w:t>
        </w:r>
      </w:hyperlink>
    </w:p>
  </w:footnote>
  <w:footnote w:id="21">
    <w:p w14:paraId="21913F2B" w14:textId="13F7F944" w:rsidR="0056296D" w:rsidRPr="00182FBD" w:rsidRDefault="0056296D">
      <w:pPr>
        <w:pStyle w:val="FootnoteText"/>
        <w:rPr>
          <w:lang w:val="en-US"/>
        </w:rPr>
      </w:pPr>
      <w:r>
        <w:rPr>
          <w:rStyle w:val="FootnoteReference"/>
        </w:rPr>
        <w:footnoteRef/>
      </w:r>
      <w:hyperlink r:id="rId17" w:history="1">
        <w:r w:rsidRPr="00382A5F">
          <w:rPr>
            <w:rStyle w:val="Hyperlink"/>
            <w:i/>
            <w:lang w:val="en-US"/>
          </w:rPr>
          <w:t>https://orbi.uliege.be/bitstream/2268/35224/1/Towards%20e_envi_ULG%20Aquapole%20Pegase%20paper_2009-03-26_vf.pdf</w:t>
        </w:r>
      </w:hyperlink>
    </w:p>
  </w:footnote>
  <w:footnote w:id="22">
    <w:p w14:paraId="6755E159" w14:textId="3C958613" w:rsidR="0056296D" w:rsidRPr="00E519D3" w:rsidRDefault="0056296D">
      <w:pPr>
        <w:pStyle w:val="FootnoteText"/>
        <w:rPr>
          <w:lang w:val="en-US"/>
        </w:rPr>
      </w:pPr>
      <w:r>
        <w:rPr>
          <w:rStyle w:val="FootnoteReference"/>
        </w:rPr>
        <w:footnoteRef/>
      </w:r>
      <w:r w:rsidRPr="00E519D3">
        <w:rPr>
          <w:lang w:val="en-US"/>
        </w:rPr>
        <w:t xml:space="preserve"> </w:t>
      </w:r>
      <w:hyperlink r:id="rId18" w:history="1">
        <w:r w:rsidRPr="00382A5F">
          <w:rPr>
            <w:rStyle w:val="Hyperlink"/>
            <w:i/>
            <w:lang w:val="en-US"/>
          </w:rPr>
          <w:t>https://ec.europa.eu/eurostat/data/database</w:t>
        </w:r>
      </w:hyperlink>
    </w:p>
  </w:footnote>
  <w:footnote w:id="23">
    <w:p w14:paraId="5573C4A0" w14:textId="36712A11" w:rsidR="0056296D" w:rsidRPr="00D03270" w:rsidRDefault="0056296D" w:rsidP="00F0143E">
      <w:pPr>
        <w:pStyle w:val="FootnoteText"/>
        <w:rPr>
          <w:lang w:val="en-US"/>
        </w:rPr>
      </w:pPr>
      <w:r>
        <w:rPr>
          <w:rStyle w:val="FootnoteReference"/>
        </w:rPr>
        <w:footnoteRef/>
      </w:r>
      <w:r w:rsidRPr="00D03270">
        <w:rPr>
          <w:lang w:val="en-US"/>
        </w:rPr>
        <w:t xml:space="preserve"> </w:t>
      </w:r>
      <w:hyperlink r:id="rId19" w:history="1">
        <w:r w:rsidRPr="006F20A4">
          <w:rPr>
            <w:rStyle w:val="Hyperlink"/>
            <w:i/>
            <w:lang w:val="en-US"/>
          </w:rPr>
          <w:t>https://eur-lex.europa.eu/legal-content/EN/AUTO/?uri=celex:32008L0105</w:t>
        </w:r>
      </w:hyperlink>
    </w:p>
  </w:footnote>
  <w:footnote w:id="24">
    <w:p w14:paraId="672A15AC" w14:textId="4DA61083" w:rsidR="0056296D" w:rsidRPr="00C47BF3" w:rsidRDefault="0056296D">
      <w:pPr>
        <w:pStyle w:val="FootnoteText"/>
        <w:rPr>
          <w:lang w:val="en-US"/>
        </w:rPr>
      </w:pPr>
      <w:r>
        <w:rPr>
          <w:rStyle w:val="FootnoteReference"/>
        </w:rPr>
        <w:footnoteRef/>
      </w:r>
      <w:r w:rsidRPr="00C47BF3">
        <w:rPr>
          <w:lang w:val="en-US"/>
        </w:rPr>
        <w:t xml:space="preserve"> </w:t>
      </w:r>
      <w:bookmarkStart w:id="27" w:name="_Hlk34299879"/>
      <w:r w:rsidRPr="00382A5F">
        <w:rPr>
          <w:i/>
          <w:iCs/>
          <w:lang w:val="en-US"/>
        </w:rPr>
        <w:t xml:space="preserve">EEA Report No 18/2018 Chemicals in European Waters: </w:t>
      </w:r>
      <w:hyperlink r:id="rId20" w:history="1">
        <w:r w:rsidRPr="00382A5F">
          <w:rPr>
            <w:rStyle w:val="Hyperlink"/>
            <w:i/>
            <w:lang w:val="en-US"/>
          </w:rPr>
          <w:t>https://www.eea.europa.eu/publications/chemicals-in-european-waters</w:t>
        </w:r>
      </w:hyperlink>
      <w:r w:rsidRPr="006E367A">
        <w:rPr>
          <w:i/>
          <w:iCs/>
          <w:u w:val="single"/>
          <w:lang w:val="en-US"/>
        </w:rPr>
        <w:t xml:space="preserve"> </w:t>
      </w:r>
      <w:bookmarkEnd w:id="27"/>
    </w:p>
  </w:footnote>
  <w:footnote w:id="25">
    <w:p w14:paraId="19FB6567" w14:textId="00E68195" w:rsidR="0056296D" w:rsidRPr="001C6C39" w:rsidRDefault="0056296D">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hyperlink r:id="rId21" w:history="1">
        <w:r w:rsidRPr="00382A5F">
          <w:rPr>
            <w:rStyle w:val="Hyperlink"/>
            <w:i/>
            <w:lang w:val="en-US"/>
          </w:rPr>
          <w:t>https://www.eionet.europa.eu/etcs/etc-atni/products/etc-atni-reports/eionet_rep_etcacm_2018_3_e-prtr_data_rev_methodology/@@download/file/EIONET_Rep_ETCACM_2018_3_E-PRTR_data_rev_meth.pdf</w:t>
        </w:r>
      </w:hyperlink>
    </w:p>
  </w:footnote>
  <w:footnote w:id="26">
    <w:p w14:paraId="5314F04D" w14:textId="5F3198B1" w:rsidR="0056296D" w:rsidRPr="001C6C39" w:rsidRDefault="0056296D">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hyperlink r:id="rId22" w:history="1">
        <w:r w:rsidRPr="00382A5F">
          <w:rPr>
            <w:rStyle w:val="Hyperlink"/>
            <w:i/>
            <w:lang w:val="en-US"/>
          </w:rPr>
          <w:t>https://circabc.europa.eu/sd/a/dd20cdae-c76a-49b1-bf75-675c15a454d4/Diffuse%20water%20emissions%20in%20E-PRTR%202013%20background%20document.pdf</w:t>
        </w:r>
      </w:hyperlink>
    </w:p>
  </w:footnote>
  <w:footnote w:id="27">
    <w:p w14:paraId="46FA7962" w14:textId="447C3DFC" w:rsidR="0056296D" w:rsidRPr="006F20A4" w:rsidRDefault="0056296D">
      <w:pPr>
        <w:pStyle w:val="FootnoteText"/>
      </w:pPr>
      <w:r>
        <w:rPr>
          <w:rStyle w:val="FootnoteReference"/>
        </w:rPr>
        <w:footnoteRef/>
      </w:r>
      <w:r w:rsidRPr="006F20A4">
        <w:t xml:space="preserve"> </w:t>
      </w:r>
      <w:r w:rsidRPr="006F20A4">
        <w:rPr>
          <w:i/>
          <w:iCs/>
        </w:rPr>
        <w:t xml:space="preserve">Roovaart, J. van den et al., 2016, E-PRTR </w:t>
      </w:r>
      <w:proofErr w:type="spellStart"/>
      <w:r w:rsidRPr="006F20A4">
        <w:rPr>
          <w:i/>
          <w:iCs/>
        </w:rPr>
        <w:t>completeness</w:t>
      </w:r>
      <w:proofErr w:type="spellEnd"/>
      <w:r w:rsidRPr="006F20A4">
        <w:rPr>
          <w:i/>
          <w:iCs/>
        </w:rPr>
        <w:t xml:space="preserve"> checks – water, ETC/ICM Technical Paper, </w:t>
      </w:r>
      <w:proofErr w:type="spellStart"/>
      <w:r w:rsidRPr="006F20A4">
        <w:rPr>
          <w:i/>
          <w:iCs/>
        </w:rPr>
        <w:t>version</w:t>
      </w:r>
      <w:proofErr w:type="spellEnd"/>
      <w:r w:rsidRPr="006F20A4">
        <w:rPr>
          <w:i/>
          <w:iCs/>
        </w:rPr>
        <w:t xml:space="preserve"> November 2016. </w:t>
      </w:r>
    </w:p>
  </w:footnote>
  <w:footnote w:id="28">
    <w:p w14:paraId="6155770A" w14:textId="0E71444D" w:rsidR="0056296D" w:rsidRPr="00CB50F3" w:rsidRDefault="0056296D">
      <w:pPr>
        <w:pStyle w:val="FootnoteText"/>
        <w:rPr>
          <w:i/>
          <w:lang w:val="en-US"/>
        </w:rPr>
      </w:pPr>
      <w:r>
        <w:rPr>
          <w:rStyle w:val="FootnoteReference"/>
        </w:rPr>
        <w:footnoteRef/>
      </w:r>
      <w:r>
        <w:t xml:space="preserve"> </w:t>
      </w:r>
      <w:r w:rsidRPr="00CB50F3">
        <w:rPr>
          <w:i/>
        </w:rPr>
        <w:t xml:space="preserve">Roovaart, J </w:t>
      </w:r>
      <w:proofErr w:type="spellStart"/>
      <w:r w:rsidRPr="00CB50F3">
        <w:rPr>
          <w:i/>
        </w:rPr>
        <w:t>and</w:t>
      </w:r>
      <w:proofErr w:type="spellEnd"/>
      <w:r w:rsidRPr="00CB50F3">
        <w:rPr>
          <w:i/>
        </w:rPr>
        <w:t xml:space="preserve"> N. van Duijnhoven.  </w:t>
      </w:r>
      <w:r w:rsidRPr="00CB50F3">
        <w:rPr>
          <w:i/>
          <w:lang w:val="en-US"/>
        </w:rPr>
        <w:t>2018, Development of quality checks for E-PRTR data on releases to water</w:t>
      </w:r>
    </w:p>
  </w:footnote>
  <w:footnote w:id="29">
    <w:p w14:paraId="5807484B" w14:textId="2BF382F6" w:rsidR="0056296D" w:rsidRPr="000D7286" w:rsidRDefault="0056296D"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0">
    <w:p w14:paraId="57C215F8" w14:textId="433FBCD5" w:rsidR="0056296D" w:rsidRPr="00B57B49" w:rsidRDefault="0056296D" w:rsidP="00033F34">
      <w:pPr>
        <w:pStyle w:val="CommentText"/>
        <w:rPr>
          <w:lang w:val="en-US"/>
        </w:rPr>
      </w:pPr>
      <w:r>
        <w:rPr>
          <w:rStyle w:val="FootnoteReference"/>
        </w:rPr>
        <w:footnoteRef/>
      </w:r>
      <w:r w:rsidRPr="00E80CED">
        <w:rPr>
          <w:i/>
          <w:lang w:val="en-US"/>
        </w:rPr>
        <w:t xml:space="preserve"> </w:t>
      </w:r>
      <w:hyperlink r:id="rId23" w:history="1">
        <w:r w:rsidRPr="00E80CED">
          <w:rPr>
            <w:rStyle w:val="Hyperlink"/>
            <w:lang w:val="en-US"/>
          </w:rPr>
          <w:t>https://www.eea.europa.eu/publications/industrial-waste-water-treatment-pressures</w:t>
        </w:r>
      </w:hyperlink>
      <w:r w:rsidRPr="00B57B49">
        <w:rPr>
          <w:lang w:val="en-US"/>
        </w:rPr>
        <w:t xml:space="preserve"> </w:t>
      </w:r>
    </w:p>
    <w:p w14:paraId="2BD338B9" w14:textId="1B9FAD25" w:rsidR="0056296D" w:rsidRPr="00033F34" w:rsidRDefault="0056296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03634CB1" w:rsidR="0056296D" w:rsidRDefault="0056296D">
    <w:pPr>
      <w:pStyle w:val="Header"/>
    </w:pPr>
    <w:r>
      <w:ptab w:relativeTo="margin" w:alignment="center" w:leader="none"/>
    </w:r>
    <w:r>
      <w:t xml:space="preserve">DRAFT 5 </w:t>
    </w:r>
    <w:proofErr w:type="spellStart"/>
    <w:r>
      <w:t>March</w:t>
    </w:r>
    <w:proofErr w:type="spellEnd"/>
    <w:r>
      <w:t xml:space="preserve">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3B2"/>
    <w:multiLevelType w:val="hybridMultilevel"/>
    <w:tmpl w:val="F8BC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D0BEA"/>
    <w:multiLevelType w:val="hybridMultilevel"/>
    <w:tmpl w:val="A058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61CD6"/>
    <w:multiLevelType w:val="hybridMultilevel"/>
    <w:tmpl w:val="CEC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B18"/>
    <w:multiLevelType w:val="hybridMultilevel"/>
    <w:tmpl w:val="33B0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46858"/>
    <w:multiLevelType w:val="hybridMultilevel"/>
    <w:tmpl w:val="A618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41727"/>
    <w:multiLevelType w:val="hybridMultilevel"/>
    <w:tmpl w:val="E09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A1656"/>
    <w:multiLevelType w:val="hybridMultilevel"/>
    <w:tmpl w:val="46BA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90A17"/>
    <w:multiLevelType w:val="hybridMultilevel"/>
    <w:tmpl w:val="672E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76191F"/>
    <w:multiLevelType w:val="hybridMultilevel"/>
    <w:tmpl w:val="EA9E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743BF"/>
    <w:multiLevelType w:val="hybridMultilevel"/>
    <w:tmpl w:val="9214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802B8"/>
    <w:multiLevelType w:val="hybridMultilevel"/>
    <w:tmpl w:val="F0A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64A53"/>
    <w:multiLevelType w:val="hybridMultilevel"/>
    <w:tmpl w:val="4182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B20A4"/>
    <w:multiLevelType w:val="hybridMultilevel"/>
    <w:tmpl w:val="C1D6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6"/>
  </w:num>
  <w:num w:numId="5">
    <w:abstractNumId w:val="9"/>
  </w:num>
  <w:num w:numId="6">
    <w:abstractNumId w:val="12"/>
  </w:num>
  <w:num w:numId="7">
    <w:abstractNumId w:val="5"/>
  </w:num>
  <w:num w:numId="8">
    <w:abstractNumId w:val="1"/>
  </w:num>
  <w:num w:numId="9">
    <w:abstractNumId w:val="8"/>
  </w:num>
  <w:num w:numId="10">
    <w:abstractNumId w:val="2"/>
  </w:num>
  <w:num w:numId="11">
    <w:abstractNumId w:val="14"/>
  </w:num>
  <w:num w:numId="12">
    <w:abstractNumId w:val="3"/>
  </w:num>
  <w:num w:numId="13">
    <w:abstractNumId w:val="11"/>
  </w:num>
  <w:num w:numId="14">
    <w:abstractNumId w:val="0"/>
  </w:num>
  <w:num w:numId="15">
    <w:abstractNumId w:val="15"/>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Kinga Kowalski">
    <w15:presenceInfo w15:providerId="AD" w15:userId="S::kowalski@emeaa.net::0fb789d5-132a-47ba-830e-9adfc73ba4dc"/>
  </w15:person>
  <w15:person w15:author="Joost van den Roovaart">
    <w15:presenceInfo w15:providerId="AD" w15:userId="S::Joost.vandenRoovaart@deltares.nl::954d9ba9-0fe8-45c2-8eb8-4c0f69829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04C5"/>
    <w:rsid w:val="000118F2"/>
    <w:rsid w:val="00012777"/>
    <w:rsid w:val="00020CBA"/>
    <w:rsid w:val="00020E85"/>
    <w:rsid w:val="0002669E"/>
    <w:rsid w:val="00026AE6"/>
    <w:rsid w:val="0003026C"/>
    <w:rsid w:val="000338D2"/>
    <w:rsid w:val="0003391A"/>
    <w:rsid w:val="00033F34"/>
    <w:rsid w:val="00040962"/>
    <w:rsid w:val="00041B6D"/>
    <w:rsid w:val="00045D82"/>
    <w:rsid w:val="00074CE6"/>
    <w:rsid w:val="000810E9"/>
    <w:rsid w:val="000818C3"/>
    <w:rsid w:val="00085B71"/>
    <w:rsid w:val="000928C0"/>
    <w:rsid w:val="000973A0"/>
    <w:rsid w:val="000A0FC4"/>
    <w:rsid w:val="000B4095"/>
    <w:rsid w:val="000C1968"/>
    <w:rsid w:val="000D0402"/>
    <w:rsid w:val="000D081E"/>
    <w:rsid w:val="000D16C8"/>
    <w:rsid w:val="000D7286"/>
    <w:rsid w:val="000F5EE7"/>
    <w:rsid w:val="001049EE"/>
    <w:rsid w:val="00113D30"/>
    <w:rsid w:val="001224EE"/>
    <w:rsid w:val="00132C91"/>
    <w:rsid w:val="001343B1"/>
    <w:rsid w:val="00147A8C"/>
    <w:rsid w:val="00164CC0"/>
    <w:rsid w:val="00166703"/>
    <w:rsid w:val="00166DFA"/>
    <w:rsid w:val="00166F6C"/>
    <w:rsid w:val="0017475B"/>
    <w:rsid w:val="001774F0"/>
    <w:rsid w:val="0018065F"/>
    <w:rsid w:val="00182FBD"/>
    <w:rsid w:val="0018405A"/>
    <w:rsid w:val="001853EC"/>
    <w:rsid w:val="001967E3"/>
    <w:rsid w:val="001A5AD7"/>
    <w:rsid w:val="001A66C0"/>
    <w:rsid w:val="001B24C4"/>
    <w:rsid w:val="001B62E0"/>
    <w:rsid w:val="001C6C39"/>
    <w:rsid w:val="001D1022"/>
    <w:rsid w:val="001D68F5"/>
    <w:rsid w:val="001D7593"/>
    <w:rsid w:val="001E350C"/>
    <w:rsid w:val="001F10E1"/>
    <w:rsid w:val="001F15C4"/>
    <w:rsid w:val="001F76E1"/>
    <w:rsid w:val="00200D3F"/>
    <w:rsid w:val="002021AB"/>
    <w:rsid w:val="0020390D"/>
    <w:rsid w:val="00205F7E"/>
    <w:rsid w:val="002060A4"/>
    <w:rsid w:val="00211724"/>
    <w:rsid w:val="00215A6A"/>
    <w:rsid w:val="00221124"/>
    <w:rsid w:val="00226A93"/>
    <w:rsid w:val="00235EC1"/>
    <w:rsid w:val="00246AF3"/>
    <w:rsid w:val="00253057"/>
    <w:rsid w:val="0026356A"/>
    <w:rsid w:val="002667F6"/>
    <w:rsid w:val="002723F5"/>
    <w:rsid w:val="00276AC7"/>
    <w:rsid w:val="00282ED1"/>
    <w:rsid w:val="00282F9C"/>
    <w:rsid w:val="002837E8"/>
    <w:rsid w:val="00286261"/>
    <w:rsid w:val="00287ABC"/>
    <w:rsid w:val="002A51FD"/>
    <w:rsid w:val="002A5DFE"/>
    <w:rsid w:val="002B6E86"/>
    <w:rsid w:val="002C038C"/>
    <w:rsid w:val="002C3ED6"/>
    <w:rsid w:val="002D1780"/>
    <w:rsid w:val="002D1CFC"/>
    <w:rsid w:val="002E3A5A"/>
    <w:rsid w:val="002E65F9"/>
    <w:rsid w:val="002E6CD0"/>
    <w:rsid w:val="002F0D4F"/>
    <w:rsid w:val="002F277B"/>
    <w:rsid w:val="002F2BEA"/>
    <w:rsid w:val="00304B9A"/>
    <w:rsid w:val="00304C43"/>
    <w:rsid w:val="003054BF"/>
    <w:rsid w:val="003109EB"/>
    <w:rsid w:val="00315F69"/>
    <w:rsid w:val="00323941"/>
    <w:rsid w:val="00326C24"/>
    <w:rsid w:val="0033694A"/>
    <w:rsid w:val="003449A7"/>
    <w:rsid w:val="00354562"/>
    <w:rsid w:val="00356CEA"/>
    <w:rsid w:val="00357A9E"/>
    <w:rsid w:val="0037247D"/>
    <w:rsid w:val="003779CC"/>
    <w:rsid w:val="00382A5F"/>
    <w:rsid w:val="00390862"/>
    <w:rsid w:val="00394116"/>
    <w:rsid w:val="00396BC4"/>
    <w:rsid w:val="003A010C"/>
    <w:rsid w:val="003A7897"/>
    <w:rsid w:val="003B0316"/>
    <w:rsid w:val="003B2E6D"/>
    <w:rsid w:val="003B5CEB"/>
    <w:rsid w:val="003C2379"/>
    <w:rsid w:val="003C4827"/>
    <w:rsid w:val="003E2B13"/>
    <w:rsid w:val="003E4F31"/>
    <w:rsid w:val="003F1B41"/>
    <w:rsid w:val="00414B13"/>
    <w:rsid w:val="00434BA9"/>
    <w:rsid w:val="00435D34"/>
    <w:rsid w:val="004710BA"/>
    <w:rsid w:val="00471B9A"/>
    <w:rsid w:val="00475C3B"/>
    <w:rsid w:val="00475CF7"/>
    <w:rsid w:val="00487291"/>
    <w:rsid w:val="00496DA6"/>
    <w:rsid w:val="004A11B8"/>
    <w:rsid w:val="004A3EAC"/>
    <w:rsid w:val="004B4BF3"/>
    <w:rsid w:val="004B70DD"/>
    <w:rsid w:val="004C7D43"/>
    <w:rsid w:val="004D4AA6"/>
    <w:rsid w:val="004D7D33"/>
    <w:rsid w:val="004E4B63"/>
    <w:rsid w:val="004F1DA4"/>
    <w:rsid w:val="004F4A0E"/>
    <w:rsid w:val="004F52BD"/>
    <w:rsid w:val="00502240"/>
    <w:rsid w:val="005075E2"/>
    <w:rsid w:val="00510BB7"/>
    <w:rsid w:val="00513045"/>
    <w:rsid w:val="005142D7"/>
    <w:rsid w:val="0052229D"/>
    <w:rsid w:val="00524557"/>
    <w:rsid w:val="0052459E"/>
    <w:rsid w:val="0053281D"/>
    <w:rsid w:val="00534111"/>
    <w:rsid w:val="00535ACA"/>
    <w:rsid w:val="00540336"/>
    <w:rsid w:val="0056296D"/>
    <w:rsid w:val="00582D99"/>
    <w:rsid w:val="005834DA"/>
    <w:rsid w:val="00584297"/>
    <w:rsid w:val="005847C3"/>
    <w:rsid w:val="00593C83"/>
    <w:rsid w:val="00597A0F"/>
    <w:rsid w:val="005A2BCA"/>
    <w:rsid w:val="005B6823"/>
    <w:rsid w:val="005C2D3E"/>
    <w:rsid w:val="005C72BA"/>
    <w:rsid w:val="005C7411"/>
    <w:rsid w:val="005D155C"/>
    <w:rsid w:val="005D434D"/>
    <w:rsid w:val="005E6416"/>
    <w:rsid w:val="005F1407"/>
    <w:rsid w:val="005F45A5"/>
    <w:rsid w:val="005F6BAD"/>
    <w:rsid w:val="006008FF"/>
    <w:rsid w:val="00601390"/>
    <w:rsid w:val="00603855"/>
    <w:rsid w:val="00606C26"/>
    <w:rsid w:val="0061161F"/>
    <w:rsid w:val="006124D9"/>
    <w:rsid w:val="006143B7"/>
    <w:rsid w:val="00615A14"/>
    <w:rsid w:val="00622779"/>
    <w:rsid w:val="006232B7"/>
    <w:rsid w:val="00624498"/>
    <w:rsid w:val="0065150D"/>
    <w:rsid w:val="00652C39"/>
    <w:rsid w:val="006554E6"/>
    <w:rsid w:val="00655DD9"/>
    <w:rsid w:val="00656417"/>
    <w:rsid w:val="006701A1"/>
    <w:rsid w:val="00673F06"/>
    <w:rsid w:val="00677AE6"/>
    <w:rsid w:val="00685EA4"/>
    <w:rsid w:val="00692B76"/>
    <w:rsid w:val="0069570F"/>
    <w:rsid w:val="00696702"/>
    <w:rsid w:val="00697E96"/>
    <w:rsid w:val="006A2F68"/>
    <w:rsid w:val="006A461D"/>
    <w:rsid w:val="006A4D8A"/>
    <w:rsid w:val="006A7747"/>
    <w:rsid w:val="006D4097"/>
    <w:rsid w:val="006E367A"/>
    <w:rsid w:val="006E5D95"/>
    <w:rsid w:val="006E6473"/>
    <w:rsid w:val="006F0CD8"/>
    <w:rsid w:val="006F20A4"/>
    <w:rsid w:val="006F3AAA"/>
    <w:rsid w:val="006F5A03"/>
    <w:rsid w:val="00701114"/>
    <w:rsid w:val="0070745F"/>
    <w:rsid w:val="00713CE8"/>
    <w:rsid w:val="00716ACB"/>
    <w:rsid w:val="00716CD8"/>
    <w:rsid w:val="00720439"/>
    <w:rsid w:val="00730465"/>
    <w:rsid w:val="0073530A"/>
    <w:rsid w:val="00735399"/>
    <w:rsid w:val="00736866"/>
    <w:rsid w:val="00751331"/>
    <w:rsid w:val="007551C0"/>
    <w:rsid w:val="007568A1"/>
    <w:rsid w:val="00764EFB"/>
    <w:rsid w:val="00766348"/>
    <w:rsid w:val="00772E41"/>
    <w:rsid w:val="007730EE"/>
    <w:rsid w:val="0078379B"/>
    <w:rsid w:val="00784B0C"/>
    <w:rsid w:val="0079098A"/>
    <w:rsid w:val="00792CEF"/>
    <w:rsid w:val="007947D7"/>
    <w:rsid w:val="007C06F8"/>
    <w:rsid w:val="007C0B81"/>
    <w:rsid w:val="007C7463"/>
    <w:rsid w:val="007E2242"/>
    <w:rsid w:val="007E4490"/>
    <w:rsid w:val="007F0601"/>
    <w:rsid w:val="008016A0"/>
    <w:rsid w:val="00803824"/>
    <w:rsid w:val="00807AD7"/>
    <w:rsid w:val="00811676"/>
    <w:rsid w:val="008136B0"/>
    <w:rsid w:val="0081642C"/>
    <w:rsid w:val="008211B1"/>
    <w:rsid w:val="00824C8D"/>
    <w:rsid w:val="008268D8"/>
    <w:rsid w:val="00832694"/>
    <w:rsid w:val="00835DE2"/>
    <w:rsid w:val="008416C0"/>
    <w:rsid w:val="00854F0C"/>
    <w:rsid w:val="00856992"/>
    <w:rsid w:val="00860BC8"/>
    <w:rsid w:val="00871956"/>
    <w:rsid w:val="008739FA"/>
    <w:rsid w:val="008751EE"/>
    <w:rsid w:val="00893319"/>
    <w:rsid w:val="00894EE1"/>
    <w:rsid w:val="00896A90"/>
    <w:rsid w:val="008A079C"/>
    <w:rsid w:val="008A2568"/>
    <w:rsid w:val="008A5DAC"/>
    <w:rsid w:val="008A7EF1"/>
    <w:rsid w:val="008B5E36"/>
    <w:rsid w:val="008C228C"/>
    <w:rsid w:val="008C509C"/>
    <w:rsid w:val="008C5B92"/>
    <w:rsid w:val="008D0362"/>
    <w:rsid w:val="008E28A0"/>
    <w:rsid w:val="008E7FAC"/>
    <w:rsid w:val="008F5B4A"/>
    <w:rsid w:val="00900381"/>
    <w:rsid w:val="00903DC0"/>
    <w:rsid w:val="00904E6C"/>
    <w:rsid w:val="00916109"/>
    <w:rsid w:val="009178BB"/>
    <w:rsid w:val="00920CDA"/>
    <w:rsid w:val="00931BC4"/>
    <w:rsid w:val="009370F6"/>
    <w:rsid w:val="00943921"/>
    <w:rsid w:val="009473F0"/>
    <w:rsid w:val="00952F4D"/>
    <w:rsid w:val="009670D9"/>
    <w:rsid w:val="00980490"/>
    <w:rsid w:val="0099640B"/>
    <w:rsid w:val="009A2FBA"/>
    <w:rsid w:val="009B35D1"/>
    <w:rsid w:val="009C3B57"/>
    <w:rsid w:val="009D226A"/>
    <w:rsid w:val="009D75D5"/>
    <w:rsid w:val="009F421F"/>
    <w:rsid w:val="009F6908"/>
    <w:rsid w:val="00A11557"/>
    <w:rsid w:val="00A1190B"/>
    <w:rsid w:val="00A1648E"/>
    <w:rsid w:val="00A31C2D"/>
    <w:rsid w:val="00A32FD0"/>
    <w:rsid w:val="00A3714D"/>
    <w:rsid w:val="00A40F0F"/>
    <w:rsid w:val="00A437E9"/>
    <w:rsid w:val="00A500FF"/>
    <w:rsid w:val="00A516C7"/>
    <w:rsid w:val="00A609B7"/>
    <w:rsid w:val="00A613AF"/>
    <w:rsid w:val="00A6675E"/>
    <w:rsid w:val="00A670CF"/>
    <w:rsid w:val="00A824C0"/>
    <w:rsid w:val="00AA397C"/>
    <w:rsid w:val="00AA7FCB"/>
    <w:rsid w:val="00AC1867"/>
    <w:rsid w:val="00AD0AA2"/>
    <w:rsid w:val="00AD24ED"/>
    <w:rsid w:val="00AD2F9E"/>
    <w:rsid w:val="00AE14A4"/>
    <w:rsid w:val="00AE57CA"/>
    <w:rsid w:val="00AE70A5"/>
    <w:rsid w:val="00AF0E9D"/>
    <w:rsid w:val="00AF53B7"/>
    <w:rsid w:val="00B0094D"/>
    <w:rsid w:val="00B25CD1"/>
    <w:rsid w:val="00B3150D"/>
    <w:rsid w:val="00B525B7"/>
    <w:rsid w:val="00B54351"/>
    <w:rsid w:val="00B57880"/>
    <w:rsid w:val="00B57B49"/>
    <w:rsid w:val="00B6157E"/>
    <w:rsid w:val="00B646B8"/>
    <w:rsid w:val="00B755CD"/>
    <w:rsid w:val="00B76D29"/>
    <w:rsid w:val="00B82C9A"/>
    <w:rsid w:val="00BA229A"/>
    <w:rsid w:val="00BA7729"/>
    <w:rsid w:val="00BB136C"/>
    <w:rsid w:val="00BC1A98"/>
    <w:rsid w:val="00BC46D3"/>
    <w:rsid w:val="00BC492B"/>
    <w:rsid w:val="00BF4A25"/>
    <w:rsid w:val="00C05179"/>
    <w:rsid w:val="00C071E3"/>
    <w:rsid w:val="00C133A4"/>
    <w:rsid w:val="00C15A6A"/>
    <w:rsid w:val="00C169E1"/>
    <w:rsid w:val="00C21A8B"/>
    <w:rsid w:val="00C2371A"/>
    <w:rsid w:val="00C27DC2"/>
    <w:rsid w:val="00C35AF8"/>
    <w:rsid w:val="00C47BF3"/>
    <w:rsid w:val="00C50A49"/>
    <w:rsid w:val="00C67D94"/>
    <w:rsid w:val="00C76C95"/>
    <w:rsid w:val="00C86A4B"/>
    <w:rsid w:val="00C93559"/>
    <w:rsid w:val="00C9630D"/>
    <w:rsid w:val="00CA468B"/>
    <w:rsid w:val="00CB276C"/>
    <w:rsid w:val="00CB50F3"/>
    <w:rsid w:val="00CC168A"/>
    <w:rsid w:val="00CC2BBF"/>
    <w:rsid w:val="00CC3717"/>
    <w:rsid w:val="00CC4F5B"/>
    <w:rsid w:val="00CE3B4F"/>
    <w:rsid w:val="00CF52AA"/>
    <w:rsid w:val="00CF5693"/>
    <w:rsid w:val="00D054C3"/>
    <w:rsid w:val="00D0751C"/>
    <w:rsid w:val="00D07FFE"/>
    <w:rsid w:val="00D437E9"/>
    <w:rsid w:val="00D43E7A"/>
    <w:rsid w:val="00D450F8"/>
    <w:rsid w:val="00D4636D"/>
    <w:rsid w:val="00D63159"/>
    <w:rsid w:val="00D652F8"/>
    <w:rsid w:val="00D71793"/>
    <w:rsid w:val="00D90F40"/>
    <w:rsid w:val="00DA1170"/>
    <w:rsid w:val="00DA160C"/>
    <w:rsid w:val="00DA520F"/>
    <w:rsid w:val="00DB03C6"/>
    <w:rsid w:val="00DC5258"/>
    <w:rsid w:val="00DC61A5"/>
    <w:rsid w:val="00DD102D"/>
    <w:rsid w:val="00DD1A6F"/>
    <w:rsid w:val="00DD39BE"/>
    <w:rsid w:val="00DF0779"/>
    <w:rsid w:val="00DF3B79"/>
    <w:rsid w:val="00DF4B3B"/>
    <w:rsid w:val="00DF6D7D"/>
    <w:rsid w:val="00DF7349"/>
    <w:rsid w:val="00E02126"/>
    <w:rsid w:val="00E349DF"/>
    <w:rsid w:val="00E43753"/>
    <w:rsid w:val="00E44021"/>
    <w:rsid w:val="00E47A56"/>
    <w:rsid w:val="00E47AEE"/>
    <w:rsid w:val="00E519D3"/>
    <w:rsid w:val="00E55DE7"/>
    <w:rsid w:val="00E62B4E"/>
    <w:rsid w:val="00E6545B"/>
    <w:rsid w:val="00E65CAC"/>
    <w:rsid w:val="00E70D9E"/>
    <w:rsid w:val="00E73AA7"/>
    <w:rsid w:val="00E76F3C"/>
    <w:rsid w:val="00E80CED"/>
    <w:rsid w:val="00E853CB"/>
    <w:rsid w:val="00E9704F"/>
    <w:rsid w:val="00EA3DBF"/>
    <w:rsid w:val="00EA7D98"/>
    <w:rsid w:val="00EB23E0"/>
    <w:rsid w:val="00EC27E0"/>
    <w:rsid w:val="00EC4C1A"/>
    <w:rsid w:val="00ED3530"/>
    <w:rsid w:val="00ED41DA"/>
    <w:rsid w:val="00EE4DE1"/>
    <w:rsid w:val="00F0143E"/>
    <w:rsid w:val="00F1709F"/>
    <w:rsid w:val="00F209B4"/>
    <w:rsid w:val="00F21EA7"/>
    <w:rsid w:val="00F37DBC"/>
    <w:rsid w:val="00F40035"/>
    <w:rsid w:val="00F40156"/>
    <w:rsid w:val="00F43437"/>
    <w:rsid w:val="00F44300"/>
    <w:rsid w:val="00F51AE7"/>
    <w:rsid w:val="00F52816"/>
    <w:rsid w:val="00F53FBA"/>
    <w:rsid w:val="00F60490"/>
    <w:rsid w:val="00F76E69"/>
    <w:rsid w:val="00F8104F"/>
    <w:rsid w:val="00F83D00"/>
    <w:rsid w:val="00FA45B4"/>
    <w:rsid w:val="00FA6F5B"/>
    <w:rsid w:val="00FB1083"/>
    <w:rsid w:val="00FB4817"/>
    <w:rsid w:val="00FB5465"/>
    <w:rsid w:val="00FC3D33"/>
    <w:rsid w:val="00FC792E"/>
    <w:rsid w:val="00FD58DC"/>
    <w:rsid w:val="00FD7C37"/>
    <w:rsid w:val="00FE110C"/>
    <w:rsid w:val="00FE6091"/>
    <w:rsid w:val="00FE6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 w:type="paragraph" w:styleId="Revision">
    <w:name w:val="Revision"/>
    <w:hidden/>
    <w:uiPriority w:val="99"/>
    <w:semiHidden/>
    <w:rsid w:val="00F8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56330540">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274597612">
      <w:bodyDiv w:val="1"/>
      <w:marLeft w:val="0"/>
      <w:marRight w:val="0"/>
      <w:marTop w:val="0"/>
      <w:marBottom w:val="0"/>
      <w:divBdr>
        <w:top w:val="none" w:sz="0" w:space="0" w:color="auto"/>
        <w:left w:val="none" w:sz="0" w:space="0" w:color="auto"/>
        <w:bottom w:val="none" w:sz="0" w:space="0" w:color="auto"/>
        <w:right w:val="none" w:sz="0" w:space="0" w:color="auto"/>
      </w:divBdr>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706493742">
      <w:bodyDiv w:val="1"/>
      <w:marLeft w:val="0"/>
      <w:marRight w:val="0"/>
      <w:marTop w:val="0"/>
      <w:marBottom w:val="0"/>
      <w:divBdr>
        <w:top w:val="none" w:sz="0" w:space="0" w:color="auto"/>
        <w:left w:val="none" w:sz="0" w:space="0" w:color="auto"/>
        <w:bottom w:val="none" w:sz="0" w:space="0" w:color="auto"/>
        <w:right w:val="none" w:sz="0" w:space="0" w:color="auto"/>
      </w:divBdr>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842015155">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3483698">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42435676">
      <w:bodyDiv w:val="1"/>
      <w:marLeft w:val="0"/>
      <w:marRight w:val="0"/>
      <w:marTop w:val="0"/>
      <w:marBottom w:val="0"/>
      <w:divBdr>
        <w:top w:val="none" w:sz="0" w:space="0" w:color="auto"/>
        <w:left w:val="none" w:sz="0" w:space="0" w:color="auto"/>
        <w:bottom w:val="none" w:sz="0" w:space="0" w:color="auto"/>
        <w:right w:val="none" w:sz="0" w:space="0" w:color="auto"/>
      </w:divBdr>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79388423">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79394195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 w:id="2108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eur-lex.europa.eu/legal-content/EN/TXT/PDF/?uri=CELEX:32003R2003&amp;from=GA" TargetMode="External"/><Relationship Id="rId7" Type="http://schemas.openxmlformats.org/officeDocument/2006/relationships/hyperlink" Target="https://echa.europa.eu/documents/10162/cefda8bc-2952-4c11-885f-342aacf769b3" TargetMode="External"/><Relationship Id="rId2" Type="http://schemas.openxmlformats.org/officeDocument/2006/relationships/hyperlink" Target="https://www.ncbi.nlm.nih.gov/pubmed/18028985" TargetMode="External"/><Relationship Id="rId1" Type="http://schemas.openxmlformats.org/officeDocument/2006/relationships/hyperlink" Target="https://www.eurogeosurveys.org/projects/gemas/" TargetMode="External"/><Relationship Id="rId6" Type="http://schemas.openxmlformats.org/officeDocument/2006/relationships/hyperlink" Target="https://www.umweltbundesamt.de/publikationen/eintraege-von-kupfer-zink-blei-in-gewaesser-boeden" TargetMode="External"/><Relationship Id="rId5" Type="http://schemas.openxmlformats.org/officeDocument/2006/relationships/hyperlink" Target="https://eur-lex.europa.eu/legal-content/EN/TXT/PDF/?uri=CELEX:31986L0278&amp;from=EN" TargetMode="External"/><Relationship Id="rId4" Type="http://schemas.openxmlformats.org/officeDocument/2006/relationships/hyperlink" Target="https://www.europarl.europa.eu/RegData/etudes/IDAN/2016/595354/IPOL_IDA(2016)595354_EN.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evin.farley@manhattan.edu" TargetMode="External"/><Relationship Id="rId2" Type="http://schemas.openxmlformats.org/officeDocument/2006/relationships/customXml" Target="../customXml/item2.xml"/><Relationship Id="rId16" Type="http://schemas.openxmlformats.org/officeDocument/2006/relationships/hyperlink" Target="https://www.eea.europa.eu/publications/chemicals-in-european-water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ebdosya.csb.gov.tr/db/necen/editordosya/file/NEC/CollectER_Training/The_Art_of_Emission_Inventorying.pdf" TargetMode="External"/><Relationship Id="rId18" Type="http://schemas.openxmlformats.org/officeDocument/2006/relationships/hyperlink" Target="https://ec.europa.eu/eurostat/data/database" TargetMode="External"/><Relationship Id="rId3" Type="http://schemas.openxmlformats.org/officeDocument/2006/relationships/hyperlink" Target="http://icm.eionet.europa.eu/ETC_Reports/EmissionsOfPollutantsToEuropeanWaters_SourcesPathwaysAndTrends" TargetMode="External"/><Relationship Id="rId21" Type="http://schemas.openxmlformats.org/officeDocument/2006/relationships/hyperlink" Target="https://www.eionet.europa.eu/etcs/etc-atni/products/etc-atni-reports/eionet_rep_etcacm_2018_3_e-prtr_data_rev_methodology/@@download/file/EIONET_Rep_ETCACM_2018_3_E-PRTR_data_rev_meth.pdf"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prtr.ec.europa.eu/" TargetMode="External"/><Relationship Id="rId17" Type="http://schemas.openxmlformats.org/officeDocument/2006/relationships/hyperlink" Target="https://orbi.uliege.be/bitstream/2268/35224/1/Towards%20e_envi_ULG%20Aquapole%20Pegase%20paper_2009-03-26_vf.pdf"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weiss.vmm.be/" TargetMode="External"/><Relationship Id="rId20" Type="http://schemas.openxmlformats.org/officeDocument/2006/relationships/hyperlink" Target="https://www.eea.europa.eu/publications/chemicals-in-european-waters"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s://circabc.europa.eu/sd/a/dd20cdae-c76a-49b1-bf75-675c15a454d4/Diffuse%20water%20emissions%20in%20E-PRTR%202013%20background%20document.pdf"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ww.mdpi.com/2073-4441/9/4/239" TargetMode="External"/><Relationship Id="rId23" Type="http://schemas.openxmlformats.org/officeDocument/2006/relationships/hyperlink" Target="https://www.eea.europa.eu/publications/industrial-waste-water-treatment-pressures" TargetMode="External"/><Relationship Id="rId10" Type="http://schemas.openxmlformats.org/officeDocument/2006/relationships/hyperlink" Target="https://circabc.europa.eu/sd/a/6a3fb5a0-4dec-4fde-a69d-ac93dfbbadd/Guidance%20document%20n28.pdf" TargetMode="External"/><Relationship Id="rId19" Type="http://schemas.openxmlformats.org/officeDocument/2006/relationships/hyperlink" Target="https://eur-lex.europa.eu/legal-content/EN/AUTO/?uri=celex:32008L0105"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igb-berlin.de/en/moneris" TargetMode="External"/><Relationship Id="rId22" Type="http://schemas.openxmlformats.org/officeDocument/2006/relationships/hyperlink" Target="https://circabc.europa.eu/sd/a/dd20cdae-c76a-49b1-bf75-675c15a454d4/Diffuse%20water%20emissions%20in%20E-PRTR%202013%20background%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0A98-9A0D-411B-A886-22C94BDF9F5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50033a3-b038-4022-8985-0d7cf0832bfb"/>
    <ds:schemaRef ds:uri="8b295de2-5eb3-420b-8331-5163a0d702e8"/>
    <ds:schemaRef ds:uri="http://www.w3.org/XML/1998/namespace"/>
    <ds:schemaRef ds:uri="http://purl.org/dc/dcmitype/"/>
  </ds:schemaRefs>
</ds:datastoreItem>
</file>

<file path=customXml/itemProps2.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3.xml><?xml version="1.0" encoding="utf-8"?>
<ds:datastoreItem xmlns:ds="http://schemas.openxmlformats.org/officeDocument/2006/customXml" ds:itemID="{70A36535-E8DE-4382-8AC1-F6286A1A9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19ABF-AEA3-4C1D-B891-7B22BA6C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5668</Words>
  <Characters>31179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2020-07-15T14:49:00Z</dcterms:created>
  <dcterms:modified xsi:type="dcterms:W3CDTF">2020-07-15T14:49:00Z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