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B8B81" w14:textId="77777777" w:rsidR="007D46C5" w:rsidRDefault="007D46C5" w:rsidP="00B31214">
      <w:pPr>
        <w:tabs>
          <w:tab w:val="right" w:pos="8280"/>
        </w:tabs>
        <w:ind w:right="-22"/>
        <w:jc w:val="left"/>
        <w:rPr>
          <w:rFonts w:ascii="Verdana" w:hAnsi="Verdana"/>
          <w:caps/>
          <w:sz w:val="20"/>
        </w:rPr>
      </w:pPr>
      <w:bookmarkStart w:id="0" w:name="_GoBack"/>
      <w:bookmarkEnd w:id="0"/>
    </w:p>
    <w:p w14:paraId="35A379DA" w14:textId="77777777" w:rsidR="00A50808" w:rsidRDefault="00A50808" w:rsidP="00B31214">
      <w:pPr>
        <w:tabs>
          <w:tab w:val="right" w:pos="8280"/>
        </w:tabs>
        <w:ind w:right="-22"/>
        <w:jc w:val="left"/>
        <w:rPr>
          <w:rFonts w:ascii="Verdana" w:hAnsi="Verdana"/>
          <w:caps/>
          <w:sz w:val="20"/>
        </w:rPr>
      </w:pPr>
    </w:p>
    <w:p w14:paraId="5B867D8E" w14:textId="77777777" w:rsidR="00AE7C03" w:rsidRDefault="00AE7C03" w:rsidP="00B31214">
      <w:pPr>
        <w:tabs>
          <w:tab w:val="right" w:pos="8280"/>
        </w:tabs>
        <w:ind w:right="-22"/>
        <w:jc w:val="left"/>
        <w:rPr>
          <w:rFonts w:ascii="Verdana" w:hAnsi="Verdana"/>
          <w:caps/>
          <w:sz w:val="20"/>
        </w:rPr>
      </w:pPr>
    </w:p>
    <w:p w14:paraId="518B96DD" w14:textId="77777777" w:rsidR="00910BEB" w:rsidRPr="009B6318" w:rsidRDefault="00910BEB" w:rsidP="009B6318">
      <w:pPr>
        <w:tabs>
          <w:tab w:val="right" w:pos="8280"/>
        </w:tabs>
        <w:ind w:right="-22"/>
        <w:jc w:val="left"/>
        <w:rPr>
          <w:rFonts w:ascii="Verdana" w:hAnsi="Verdana"/>
          <w:caps/>
          <w:sz w:val="20"/>
        </w:rPr>
      </w:pPr>
    </w:p>
    <w:p w14:paraId="732773CC" w14:textId="77777777" w:rsidR="005C672B" w:rsidRPr="0030325A" w:rsidRDefault="005C672B" w:rsidP="00B31214">
      <w:pPr>
        <w:pStyle w:val="Header"/>
        <w:tabs>
          <w:tab w:val="left" w:pos="3420"/>
          <w:tab w:val="right" w:pos="9000"/>
        </w:tabs>
        <w:jc w:val="left"/>
        <w:rPr>
          <w:rFonts w:ascii="Verdana" w:hAnsi="Verdana"/>
          <w:color w:val="333333"/>
          <w:sz w:val="20"/>
          <w:lang w:val="en-GB"/>
        </w:rPr>
      </w:pPr>
    </w:p>
    <w:p w14:paraId="4B925F4E" w14:textId="77777777" w:rsidR="00910BEB" w:rsidRPr="0030325A" w:rsidRDefault="00910BEB" w:rsidP="00A92E21">
      <w:pPr>
        <w:pStyle w:val="Header"/>
        <w:tabs>
          <w:tab w:val="left" w:pos="3420"/>
          <w:tab w:val="right" w:pos="9000"/>
        </w:tabs>
        <w:jc w:val="left"/>
        <w:rPr>
          <w:rFonts w:ascii="Verdana" w:hAnsi="Verdana"/>
          <w:color w:val="333333"/>
          <w:sz w:val="20"/>
          <w:lang w:val="en-GB"/>
        </w:rPr>
      </w:pPr>
    </w:p>
    <w:p w14:paraId="495F1977" w14:textId="26DA709A" w:rsidR="00DC39C7" w:rsidRPr="006B26AA" w:rsidRDefault="001841D0" w:rsidP="00AB6965">
      <w:pPr>
        <w:pStyle w:val="DocumentTitle"/>
        <w:spacing w:after="120"/>
        <w:rPr>
          <w:szCs w:val="52"/>
          <w:lang w:val="en-GB"/>
        </w:rPr>
      </w:pPr>
      <w:r w:rsidRPr="001841D0">
        <w:rPr>
          <w:szCs w:val="52"/>
          <w:lang w:val="en-GB"/>
        </w:rPr>
        <w:t>Economic data related to the implementation of the WFD and the FD and the financing of measures</w:t>
      </w:r>
    </w:p>
    <w:p w14:paraId="6060B3CF" w14:textId="77777777" w:rsidR="00696241" w:rsidRDefault="00696241" w:rsidP="001E6AC6">
      <w:pPr>
        <w:pStyle w:val="DocumentSubtitle"/>
      </w:pPr>
    </w:p>
    <w:p w14:paraId="78DEF445" w14:textId="0B42A064" w:rsidR="006B26AA" w:rsidRDefault="001841D0" w:rsidP="00BE55E6">
      <w:pPr>
        <w:pStyle w:val="DocumentSubtitle"/>
        <w:tabs>
          <w:tab w:val="left" w:pos="4536"/>
        </w:tabs>
      </w:pPr>
      <w:r>
        <w:t>Final report</w:t>
      </w:r>
    </w:p>
    <w:p w14:paraId="1C4E06BC" w14:textId="77777777" w:rsidR="00E15F27" w:rsidRDefault="00E15F27" w:rsidP="00BE55E6">
      <w:pPr>
        <w:pStyle w:val="DocumentSubtitle"/>
        <w:tabs>
          <w:tab w:val="left" w:pos="4536"/>
        </w:tabs>
      </w:pPr>
    </w:p>
    <w:p w14:paraId="786523F3" w14:textId="77777777" w:rsidR="00E15F27" w:rsidRDefault="00E15F27" w:rsidP="00BE55E6">
      <w:pPr>
        <w:pStyle w:val="DocumentSubtitle"/>
        <w:tabs>
          <w:tab w:val="left" w:pos="4536"/>
        </w:tabs>
      </w:pPr>
    </w:p>
    <w:p w14:paraId="5B211052" w14:textId="77777777" w:rsidR="00E15F27" w:rsidRDefault="00E15F27" w:rsidP="00E15F27">
      <w:pPr>
        <w:pStyle w:val="DocumentSubtitle"/>
        <w:tabs>
          <w:tab w:val="left" w:pos="4536"/>
        </w:tabs>
        <w:jc w:val="left"/>
      </w:pPr>
    </w:p>
    <w:p w14:paraId="1E7BFB20" w14:textId="77777777" w:rsidR="00E15F27" w:rsidRDefault="00E15F27" w:rsidP="00E15F27">
      <w:pPr>
        <w:pStyle w:val="DocumentSubtitle"/>
        <w:tabs>
          <w:tab w:val="left" w:pos="4536"/>
        </w:tabs>
        <w:jc w:val="left"/>
      </w:pPr>
    </w:p>
    <w:p w14:paraId="155DAC3B" w14:textId="77777777" w:rsidR="00E15F27" w:rsidRDefault="00E15F27" w:rsidP="00E15F27">
      <w:pPr>
        <w:pStyle w:val="DocumentSubtitle"/>
        <w:tabs>
          <w:tab w:val="left" w:pos="4536"/>
        </w:tabs>
        <w:jc w:val="left"/>
      </w:pPr>
    </w:p>
    <w:p w14:paraId="45A5105A" w14:textId="7A34DFC8" w:rsidR="00E15F27" w:rsidRDefault="00E15F27" w:rsidP="00E15F27">
      <w:pPr>
        <w:pStyle w:val="DocumentSubtitle"/>
        <w:tabs>
          <w:tab w:val="left" w:pos="4536"/>
        </w:tabs>
        <w:jc w:val="left"/>
      </w:pPr>
    </w:p>
    <w:p w14:paraId="68711A05" w14:textId="4C115EBB" w:rsidR="00E15F27" w:rsidRDefault="00E15F27" w:rsidP="00E15F27">
      <w:pPr>
        <w:pStyle w:val="DocumentSubtitle"/>
        <w:tabs>
          <w:tab w:val="left" w:pos="4536"/>
        </w:tabs>
        <w:jc w:val="left"/>
      </w:pPr>
    </w:p>
    <w:p w14:paraId="4EA0B26A" w14:textId="5531B09E" w:rsidR="00E15F27" w:rsidRDefault="00E15F27" w:rsidP="00E15F27">
      <w:pPr>
        <w:pStyle w:val="DocumentSubtitle"/>
        <w:tabs>
          <w:tab w:val="left" w:pos="4536"/>
        </w:tabs>
        <w:jc w:val="left"/>
      </w:pPr>
    </w:p>
    <w:p w14:paraId="05E964ED" w14:textId="11775B83" w:rsidR="00E15F27" w:rsidRPr="00E15F27" w:rsidRDefault="00E15F27" w:rsidP="00E15F27">
      <w:pPr>
        <w:pStyle w:val="DocumentSubtitle"/>
        <w:tabs>
          <w:tab w:val="left" w:pos="4536"/>
        </w:tabs>
        <w:jc w:val="left"/>
        <w:rPr>
          <w:b/>
          <w:i/>
          <w:sz w:val="24"/>
          <w:szCs w:val="24"/>
        </w:rPr>
        <w:sectPr w:rsidR="00E15F27" w:rsidRPr="00E15F27" w:rsidSect="00892A92">
          <w:headerReference w:type="default" r:id="rId14"/>
          <w:footerReference w:type="default" r:id="rId15"/>
          <w:headerReference w:type="first" r:id="rId16"/>
          <w:footerReference w:type="first" r:id="rId17"/>
          <w:pgSz w:w="11907" w:h="16839" w:code="9"/>
          <w:pgMar w:top="851" w:right="1418" w:bottom="851" w:left="1418" w:header="567" w:footer="947" w:gutter="0"/>
          <w:cols w:space="720"/>
          <w:titlePg/>
          <w:docGrid w:linePitch="326"/>
        </w:sectPr>
      </w:pPr>
    </w:p>
    <w:p w14:paraId="65D19876" w14:textId="487792CF" w:rsidR="006B26AA" w:rsidRPr="009B6318" w:rsidRDefault="006B26AA" w:rsidP="006B26AA">
      <w:pPr>
        <w:rPr>
          <w:rFonts w:ascii="Verdana" w:hAnsi="Verdana"/>
          <w:lang w:val="en-GB"/>
        </w:rPr>
      </w:pPr>
    </w:p>
    <w:p w14:paraId="34D2C1D5" w14:textId="49A070E5" w:rsidR="0096722A" w:rsidRPr="009B6318" w:rsidRDefault="001B3CA5" w:rsidP="006B26AA">
      <w:pPr>
        <w:rPr>
          <w:rFonts w:ascii="Verdana" w:hAnsi="Verdana"/>
          <w:lang w:val="en-GB"/>
        </w:rPr>
      </w:pPr>
      <w:r w:rsidRPr="00893BA2">
        <w:rPr>
          <w:noProof/>
          <w:lang w:val="en-US"/>
        </w:rPr>
        <w:drawing>
          <wp:anchor distT="0" distB="0" distL="114300" distR="114300" simplePos="0" relativeHeight="251655168" behindDoc="0" locked="0" layoutInCell="1" allowOverlap="1" wp14:anchorId="188DE6E3" wp14:editId="3077D9C8">
            <wp:simplePos x="0" y="0"/>
            <wp:positionH relativeFrom="column">
              <wp:posOffset>1899285</wp:posOffset>
            </wp:positionH>
            <wp:positionV relativeFrom="paragraph">
              <wp:posOffset>27940</wp:posOffset>
            </wp:positionV>
            <wp:extent cx="1653540" cy="817880"/>
            <wp:effectExtent l="0" t="0" r="3810" b="1270"/>
            <wp:wrapNone/>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8" cstate="print">
                      <a:extLst>
                        <a:ext uri="{28A0092B-C50C-407E-A947-70E740481C1C}">
                          <a14:useLocalDpi xmlns:a14="http://schemas.microsoft.com/office/drawing/2010/main" val="0"/>
                        </a:ext>
                      </a:extLst>
                    </a:blip>
                    <a:srcRect r="21904" b="52194"/>
                    <a:stretch>
                      <a:fillRect/>
                    </a:stretch>
                  </pic:blipFill>
                  <pic:spPr bwMode="auto">
                    <a:xfrm>
                      <a:off x="0" y="0"/>
                      <a:ext cx="1653540" cy="817880"/>
                    </a:xfrm>
                    <a:prstGeom prst="rect">
                      <a:avLst/>
                    </a:prstGeom>
                    <a:noFill/>
                  </pic:spPr>
                </pic:pic>
              </a:graphicData>
            </a:graphic>
            <wp14:sizeRelH relativeFrom="margin">
              <wp14:pctWidth>0</wp14:pctWidth>
            </wp14:sizeRelH>
            <wp14:sizeRelV relativeFrom="margin">
              <wp14:pctHeight>0</wp14:pctHeight>
            </wp14:sizeRelV>
          </wp:anchor>
        </w:drawing>
      </w:r>
      <w:r w:rsidRPr="00DB3459">
        <w:rPr>
          <w:noProof/>
          <w:lang w:val="en-US"/>
        </w:rPr>
        <w:drawing>
          <wp:anchor distT="0" distB="0" distL="114300" distR="114300" simplePos="0" relativeHeight="251639808" behindDoc="0" locked="0" layoutInCell="1" allowOverlap="1" wp14:anchorId="3D73B1A7" wp14:editId="328D95D4">
            <wp:simplePos x="0" y="0"/>
            <wp:positionH relativeFrom="column">
              <wp:posOffset>4277995</wp:posOffset>
            </wp:positionH>
            <wp:positionV relativeFrom="paragraph">
              <wp:posOffset>242570</wp:posOffset>
            </wp:positionV>
            <wp:extent cx="1154790" cy="450376"/>
            <wp:effectExtent l="0" t="0" r="7620" b="6985"/>
            <wp:wrapNone/>
            <wp:docPr id="61" name="Picture 61" descr="C:\Users\victoria.cherrier\AppData\Local\Microsoft\Windows\Temporary Internet Files\Content.MSO\3E4AC8E0.tmp"/>
            <wp:cNvGraphicFramePr/>
            <a:graphic xmlns:a="http://schemas.openxmlformats.org/drawingml/2006/main">
              <a:graphicData uri="http://schemas.openxmlformats.org/drawingml/2006/picture">
                <pic:pic xmlns:pic="http://schemas.openxmlformats.org/drawingml/2006/picture">
                  <pic:nvPicPr>
                    <pic:cNvPr id="61" name="Picture 61" descr="C:\Users\victoria.cherrier\AppData\Local\Microsoft\Windows\Temporary Internet Files\Content.MSO\3E4AC8E0.t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4790" cy="450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556" w:rsidRPr="00614345">
        <w:rPr>
          <w:b/>
          <w:i/>
          <w:noProof/>
          <w:szCs w:val="24"/>
          <w:lang w:val="en-US"/>
        </w:rPr>
        <w:drawing>
          <wp:anchor distT="0" distB="0" distL="114300" distR="114300" simplePos="0" relativeHeight="251668480" behindDoc="0" locked="0" layoutInCell="1" allowOverlap="1" wp14:anchorId="47FC10AB" wp14:editId="5BE63600">
            <wp:simplePos x="0" y="0"/>
            <wp:positionH relativeFrom="column">
              <wp:posOffset>-379095</wp:posOffset>
            </wp:positionH>
            <wp:positionV relativeFrom="margin">
              <wp:posOffset>461645</wp:posOffset>
            </wp:positionV>
            <wp:extent cx="1958340" cy="708660"/>
            <wp:effectExtent l="0" t="0" r="381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8340" cy="708660"/>
                    </a:xfrm>
                    <a:prstGeom prst="rect">
                      <a:avLst/>
                    </a:prstGeom>
                  </pic:spPr>
                </pic:pic>
              </a:graphicData>
            </a:graphic>
            <wp14:sizeRelH relativeFrom="page">
              <wp14:pctWidth>0</wp14:pctWidth>
            </wp14:sizeRelH>
            <wp14:sizeRelV relativeFrom="page">
              <wp14:pctHeight>0</wp14:pctHeight>
            </wp14:sizeRelV>
          </wp:anchor>
        </w:drawing>
      </w:r>
    </w:p>
    <w:p w14:paraId="1462CF7D" w14:textId="39786A1B" w:rsidR="0096722A" w:rsidRPr="009B6318" w:rsidRDefault="0096722A" w:rsidP="006B26AA">
      <w:pPr>
        <w:rPr>
          <w:rFonts w:ascii="Verdana" w:hAnsi="Verdana"/>
          <w:lang w:val="en-GB"/>
        </w:rPr>
      </w:pPr>
    </w:p>
    <w:p w14:paraId="2DBEB059" w14:textId="744241D5" w:rsidR="0096722A" w:rsidRPr="009B6318" w:rsidRDefault="0096722A" w:rsidP="006B26AA">
      <w:pPr>
        <w:rPr>
          <w:rFonts w:ascii="Verdana" w:hAnsi="Verdana"/>
          <w:lang w:val="en-GB"/>
        </w:rPr>
      </w:pPr>
    </w:p>
    <w:p w14:paraId="07801A2E" w14:textId="48D8D83C" w:rsidR="0096722A" w:rsidRPr="009B6318" w:rsidRDefault="0096722A" w:rsidP="006B26AA">
      <w:pPr>
        <w:rPr>
          <w:rFonts w:ascii="Verdana" w:hAnsi="Verdana"/>
          <w:lang w:val="en-GB"/>
        </w:rPr>
      </w:pPr>
    </w:p>
    <w:p w14:paraId="58791400" w14:textId="57117B0C" w:rsidR="006B26AA" w:rsidRPr="009B6318" w:rsidRDefault="006B26AA" w:rsidP="006B26AA">
      <w:pPr>
        <w:rPr>
          <w:rFonts w:ascii="Verdana" w:hAnsi="Verdana"/>
          <w:lang w:val="en-GB"/>
        </w:rPr>
      </w:pPr>
    </w:p>
    <w:p w14:paraId="3801342B" w14:textId="73A891DB" w:rsidR="006B26AA" w:rsidRPr="0030325A" w:rsidRDefault="006B26AA" w:rsidP="006B26AA">
      <w:pPr>
        <w:rPr>
          <w:rFonts w:ascii="Verdana" w:hAnsi="Verdana"/>
          <w:lang w:val="en-GB"/>
        </w:rPr>
      </w:pPr>
    </w:p>
    <w:p w14:paraId="213B2C3E" w14:textId="77777777" w:rsidR="006B26AA" w:rsidRPr="0030325A" w:rsidRDefault="006B26AA" w:rsidP="006B26AA">
      <w:pPr>
        <w:rPr>
          <w:rFonts w:ascii="Verdana" w:hAnsi="Verdana"/>
          <w:lang w:val="en-GB"/>
        </w:rPr>
      </w:pPr>
    </w:p>
    <w:p w14:paraId="761CF919" w14:textId="77ADFB3D" w:rsidR="006B26AA" w:rsidRPr="0030325A" w:rsidRDefault="006B26AA" w:rsidP="006B26AA">
      <w:pPr>
        <w:rPr>
          <w:rFonts w:ascii="Verdana" w:hAnsi="Verdana"/>
          <w:lang w:val="en-GB"/>
        </w:rPr>
      </w:pPr>
    </w:p>
    <w:p w14:paraId="508D2539" w14:textId="113CE48C" w:rsidR="006B26AA" w:rsidRPr="0030325A" w:rsidRDefault="006B26AA" w:rsidP="006B26AA">
      <w:pPr>
        <w:rPr>
          <w:rFonts w:ascii="Verdana" w:hAnsi="Verdana"/>
          <w:lang w:val="en-GB"/>
        </w:rPr>
      </w:pPr>
    </w:p>
    <w:p w14:paraId="51D9E056" w14:textId="77777777" w:rsidR="006B26AA" w:rsidRPr="0030325A" w:rsidRDefault="006B26AA" w:rsidP="006B26AA">
      <w:pPr>
        <w:rPr>
          <w:rFonts w:ascii="Verdana" w:hAnsi="Verdana"/>
          <w:lang w:val="en-GB"/>
        </w:rPr>
      </w:pPr>
    </w:p>
    <w:p w14:paraId="2E801AE9" w14:textId="360E77E0" w:rsidR="006B26AA" w:rsidRPr="0030325A" w:rsidRDefault="006B26AA" w:rsidP="006B26AA">
      <w:pPr>
        <w:rPr>
          <w:rFonts w:ascii="Verdana" w:hAnsi="Verdana"/>
          <w:lang w:val="en-GB"/>
        </w:rPr>
      </w:pPr>
    </w:p>
    <w:p w14:paraId="0395240E" w14:textId="77777777" w:rsidR="006B26AA" w:rsidRPr="0030325A" w:rsidRDefault="006B26AA" w:rsidP="006B26AA">
      <w:pPr>
        <w:rPr>
          <w:rFonts w:ascii="Verdana" w:hAnsi="Verdana"/>
          <w:lang w:val="en-GB"/>
        </w:rPr>
      </w:pPr>
    </w:p>
    <w:p w14:paraId="0B94E489" w14:textId="7C67DA0C" w:rsidR="006B26AA" w:rsidRPr="0030325A" w:rsidRDefault="006B26AA" w:rsidP="006B26AA">
      <w:pPr>
        <w:rPr>
          <w:rFonts w:ascii="Verdana" w:hAnsi="Verdana"/>
          <w:lang w:val="en-GB"/>
        </w:rPr>
      </w:pPr>
    </w:p>
    <w:p w14:paraId="6A101F21" w14:textId="30329D2E" w:rsidR="006B26AA" w:rsidRPr="0030325A" w:rsidRDefault="006B26AA" w:rsidP="006B26AA">
      <w:pPr>
        <w:rPr>
          <w:rFonts w:ascii="Verdana" w:hAnsi="Verdana"/>
          <w:lang w:val="en-GB"/>
        </w:rPr>
      </w:pPr>
    </w:p>
    <w:p w14:paraId="07871A25" w14:textId="42F62191" w:rsidR="006B26AA" w:rsidRPr="0030325A" w:rsidRDefault="006B26AA" w:rsidP="006B26AA">
      <w:pPr>
        <w:rPr>
          <w:rFonts w:ascii="Verdana" w:hAnsi="Verdana"/>
          <w:lang w:val="en-GB"/>
        </w:rPr>
      </w:pPr>
    </w:p>
    <w:p w14:paraId="6502B928" w14:textId="5055482F" w:rsidR="006B26AA" w:rsidRDefault="006B26AA" w:rsidP="006B26AA">
      <w:pPr>
        <w:rPr>
          <w:rFonts w:ascii="Verdana" w:hAnsi="Verdana"/>
          <w:lang w:val="en-GB"/>
        </w:rPr>
      </w:pPr>
    </w:p>
    <w:p w14:paraId="34862AD1" w14:textId="56B7E5A1" w:rsidR="009B6318" w:rsidRPr="0030325A" w:rsidRDefault="009B6318" w:rsidP="006B26AA">
      <w:pPr>
        <w:rPr>
          <w:rFonts w:ascii="Verdana" w:hAnsi="Verdana"/>
          <w:lang w:val="en-GB"/>
        </w:rPr>
      </w:pPr>
    </w:p>
    <w:p w14:paraId="1A25745C" w14:textId="77777777" w:rsidR="006B26AA" w:rsidRPr="0030325A" w:rsidRDefault="006B26AA" w:rsidP="006B26AA">
      <w:pPr>
        <w:rPr>
          <w:rFonts w:ascii="Verdana" w:hAnsi="Verdana"/>
          <w:lang w:val="en-GB"/>
        </w:rPr>
      </w:pPr>
    </w:p>
    <w:p w14:paraId="29EDBE7F" w14:textId="77777777" w:rsidR="00696241" w:rsidRPr="0030325A" w:rsidRDefault="00696241" w:rsidP="006B26AA">
      <w:pPr>
        <w:rPr>
          <w:rFonts w:ascii="Verdana" w:hAnsi="Verdana"/>
          <w:lang w:val="en-GB"/>
        </w:rPr>
      </w:pPr>
    </w:p>
    <w:p w14:paraId="20B1D625" w14:textId="2EB517F1" w:rsidR="006B26AA" w:rsidRPr="009B6318" w:rsidRDefault="006B26AA" w:rsidP="006B26AA">
      <w:pPr>
        <w:rPr>
          <w:rFonts w:ascii="Verdana" w:hAnsi="Verdana"/>
          <w:lang w:val="en-GB"/>
        </w:rPr>
      </w:pPr>
    </w:p>
    <w:p w14:paraId="61711245" w14:textId="77777777" w:rsidR="00892A92" w:rsidRDefault="00892A92" w:rsidP="001D2A51">
      <w:pPr>
        <w:pStyle w:val="HeadingBody"/>
        <w:rPr>
          <w:sz w:val="18"/>
        </w:rPr>
      </w:pPr>
    </w:p>
    <w:p w14:paraId="49D6D02F" w14:textId="1DA4D20F" w:rsidR="00892A92" w:rsidRDefault="00892A92" w:rsidP="001D2A51">
      <w:pPr>
        <w:pStyle w:val="HeadingBody"/>
        <w:rPr>
          <w:sz w:val="18"/>
        </w:rPr>
      </w:pPr>
    </w:p>
    <w:p w14:paraId="50FD8339" w14:textId="0DEB9324" w:rsidR="006B26AA" w:rsidRPr="00696241" w:rsidRDefault="006B26AA" w:rsidP="001D2A51">
      <w:pPr>
        <w:pStyle w:val="HeadingBody"/>
        <w:rPr>
          <w:sz w:val="18"/>
        </w:rPr>
      </w:pPr>
      <w:r w:rsidRPr="00696241">
        <w:rPr>
          <w:sz w:val="18"/>
        </w:rPr>
        <w:t>EUROPEAN COMMISSION</w:t>
      </w:r>
    </w:p>
    <w:p w14:paraId="28A00DFB" w14:textId="2E12277A" w:rsidR="006B26AA" w:rsidRPr="00696241" w:rsidRDefault="006B26AA" w:rsidP="0001748A">
      <w:pPr>
        <w:spacing w:after="0"/>
        <w:jc w:val="left"/>
        <w:rPr>
          <w:rFonts w:ascii="Verdana" w:hAnsi="Verdana"/>
          <w:sz w:val="16"/>
          <w:szCs w:val="16"/>
          <w:lang w:val="en-GB"/>
        </w:rPr>
      </w:pPr>
      <w:r w:rsidRPr="00696241">
        <w:rPr>
          <w:rFonts w:ascii="Verdana" w:hAnsi="Verdana"/>
          <w:sz w:val="16"/>
          <w:szCs w:val="16"/>
          <w:lang w:val="en-GB"/>
        </w:rPr>
        <w:t>Directorate-General for</w:t>
      </w:r>
      <w:r w:rsidR="00286153">
        <w:rPr>
          <w:rFonts w:ascii="Verdana" w:hAnsi="Verdana"/>
          <w:color w:val="FF0000"/>
          <w:sz w:val="16"/>
          <w:szCs w:val="16"/>
          <w:lang w:val="en-GB"/>
        </w:rPr>
        <w:t xml:space="preserve"> Environment</w:t>
      </w:r>
    </w:p>
    <w:p w14:paraId="1F451BB8" w14:textId="77777777" w:rsidR="006B26AA" w:rsidRPr="00286153" w:rsidRDefault="006B26AA" w:rsidP="0001748A">
      <w:pPr>
        <w:spacing w:after="0"/>
        <w:jc w:val="left"/>
        <w:rPr>
          <w:rFonts w:ascii="Verdana" w:hAnsi="Verdana"/>
          <w:sz w:val="16"/>
          <w:szCs w:val="16"/>
          <w:highlight w:val="yellow"/>
          <w:lang w:val="en-GB"/>
        </w:rPr>
      </w:pPr>
      <w:r w:rsidRPr="00286153">
        <w:rPr>
          <w:rFonts w:ascii="Verdana" w:hAnsi="Verdana"/>
          <w:sz w:val="16"/>
          <w:szCs w:val="16"/>
          <w:highlight w:val="yellow"/>
          <w:lang w:val="en-GB"/>
        </w:rPr>
        <w:t xml:space="preserve">Directorate </w:t>
      </w:r>
      <w:r w:rsidRPr="00286153">
        <w:rPr>
          <w:rFonts w:ascii="Verdana" w:hAnsi="Verdana"/>
          <w:color w:val="FF0000"/>
          <w:sz w:val="16"/>
          <w:szCs w:val="16"/>
          <w:highlight w:val="yellow"/>
          <w:lang w:val="en-GB"/>
        </w:rPr>
        <w:t xml:space="preserve">[Directorate letter] </w:t>
      </w:r>
      <w:r w:rsidRPr="00286153">
        <w:rPr>
          <w:rFonts w:ascii="Verdana" w:hAnsi="Verdana"/>
          <w:sz w:val="16"/>
          <w:szCs w:val="16"/>
          <w:highlight w:val="yellow"/>
          <w:lang w:val="en-GB"/>
        </w:rPr>
        <w:t xml:space="preserve">— </w:t>
      </w:r>
      <w:r w:rsidRPr="00286153">
        <w:rPr>
          <w:rFonts w:ascii="Verdana" w:hAnsi="Verdana"/>
          <w:color w:val="FF0000"/>
          <w:sz w:val="16"/>
          <w:szCs w:val="16"/>
          <w:highlight w:val="yellow"/>
          <w:lang w:val="en-GB"/>
        </w:rPr>
        <w:t>[Directorate name -</w:t>
      </w:r>
      <w:r w:rsidRPr="00286153">
        <w:rPr>
          <w:rFonts w:ascii="Verdana" w:hAnsi="Verdana"/>
          <w:i/>
          <w:color w:val="FF0000"/>
          <w:sz w:val="16"/>
          <w:szCs w:val="16"/>
          <w:highlight w:val="yellow"/>
          <w:lang w:val="en-GB"/>
        </w:rPr>
        <w:t>see organigramme</w:t>
      </w:r>
      <w:r w:rsidRPr="00286153">
        <w:rPr>
          <w:rFonts w:ascii="Verdana" w:hAnsi="Verdana"/>
          <w:color w:val="FF0000"/>
          <w:sz w:val="16"/>
          <w:szCs w:val="16"/>
          <w:highlight w:val="yellow"/>
          <w:lang w:val="en-GB"/>
        </w:rPr>
        <w:t>]</w:t>
      </w:r>
    </w:p>
    <w:p w14:paraId="39452AE6" w14:textId="77777777" w:rsidR="006B26AA" w:rsidRPr="00696241" w:rsidRDefault="006B26AA" w:rsidP="0001748A">
      <w:pPr>
        <w:spacing w:after="120"/>
        <w:jc w:val="left"/>
        <w:rPr>
          <w:rFonts w:ascii="Verdana" w:hAnsi="Verdana"/>
          <w:i/>
          <w:color w:val="FF0000"/>
          <w:sz w:val="16"/>
          <w:szCs w:val="16"/>
          <w:lang w:val="en-GB"/>
        </w:rPr>
      </w:pPr>
      <w:r w:rsidRPr="00286153">
        <w:rPr>
          <w:rFonts w:ascii="Verdana" w:hAnsi="Verdana"/>
          <w:sz w:val="16"/>
          <w:szCs w:val="16"/>
          <w:highlight w:val="yellow"/>
          <w:lang w:val="en-GB"/>
        </w:rPr>
        <w:t xml:space="preserve">Unit </w:t>
      </w:r>
      <w:r w:rsidRPr="00286153">
        <w:rPr>
          <w:rFonts w:ascii="Verdana" w:hAnsi="Verdana"/>
          <w:color w:val="FF0000"/>
          <w:sz w:val="16"/>
          <w:szCs w:val="16"/>
          <w:highlight w:val="yellow"/>
          <w:lang w:val="en-GB"/>
        </w:rPr>
        <w:t>[Directorate letter</w:t>
      </w:r>
      <w:r w:rsidRPr="00286153">
        <w:rPr>
          <w:rFonts w:ascii="Verdana" w:hAnsi="Verdana"/>
          <w:sz w:val="16"/>
          <w:szCs w:val="16"/>
          <w:highlight w:val="yellow"/>
          <w:lang w:val="en-GB"/>
        </w:rPr>
        <w:t>.</w:t>
      </w:r>
      <w:r w:rsidRPr="00286153">
        <w:rPr>
          <w:rFonts w:ascii="Verdana" w:hAnsi="Verdana"/>
          <w:color w:val="FF0000"/>
          <w:sz w:val="16"/>
          <w:szCs w:val="16"/>
          <w:highlight w:val="yellow"/>
          <w:lang w:val="en-GB"/>
        </w:rPr>
        <w:t>Unit number,</w:t>
      </w:r>
      <w:r w:rsidRPr="00286153">
        <w:rPr>
          <w:rFonts w:ascii="Verdana" w:hAnsi="Verdana"/>
          <w:i/>
          <w:color w:val="FF0000"/>
          <w:sz w:val="16"/>
          <w:szCs w:val="16"/>
          <w:highlight w:val="yellow"/>
          <w:lang w:val="en-GB"/>
        </w:rPr>
        <w:t xml:space="preserve"> e.g. A</w:t>
      </w:r>
      <w:r w:rsidRPr="00286153">
        <w:rPr>
          <w:rFonts w:ascii="Verdana" w:hAnsi="Verdana"/>
          <w:i/>
          <w:sz w:val="16"/>
          <w:szCs w:val="16"/>
          <w:highlight w:val="yellow"/>
          <w:lang w:val="en-GB"/>
        </w:rPr>
        <w:t>.</w:t>
      </w:r>
      <w:r w:rsidRPr="00286153">
        <w:rPr>
          <w:rFonts w:ascii="Verdana" w:hAnsi="Verdana"/>
          <w:i/>
          <w:color w:val="FF0000"/>
          <w:sz w:val="16"/>
          <w:szCs w:val="16"/>
          <w:highlight w:val="yellow"/>
          <w:lang w:val="en-GB"/>
        </w:rPr>
        <w:t>1</w:t>
      </w:r>
      <w:r w:rsidRPr="00286153">
        <w:rPr>
          <w:rFonts w:ascii="Verdana" w:hAnsi="Verdana"/>
          <w:color w:val="FF0000"/>
          <w:sz w:val="16"/>
          <w:szCs w:val="16"/>
          <w:highlight w:val="yellow"/>
          <w:lang w:val="en-GB"/>
        </w:rPr>
        <w:t>]</w:t>
      </w:r>
      <w:r w:rsidRPr="00286153">
        <w:rPr>
          <w:rFonts w:ascii="Verdana" w:hAnsi="Verdana"/>
          <w:sz w:val="16"/>
          <w:szCs w:val="16"/>
          <w:highlight w:val="yellow"/>
          <w:lang w:val="en-GB"/>
        </w:rPr>
        <w:t xml:space="preserve"> — </w:t>
      </w:r>
      <w:r w:rsidRPr="00286153">
        <w:rPr>
          <w:rFonts w:ascii="Verdana" w:hAnsi="Verdana"/>
          <w:color w:val="FF0000"/>
          <w:sz w:val="16"/>
          <w:szCs w:val="16"/>
          <w:highlight w:val="yellow"/>
          <w:lang w:val="en-GB"/>
        </w:rPr>
        <w:t xml:space="preserve">[Unit name </w:t>
      </w:r>
      <w:r w:rsidRPr="00286153">
        <w:rPr>
          <w:rFonts w:ascii="Verdana" w:hAnsi="Verdana"/>
          <w:i/>
          <w:color w:val="FF0000"/>
          <w:sz w:val="16"/>
          <w:szCs w:val="16"/>
          <w:highlight w:val="yellow"/>
          <w:lang w:val="en-GB"/>
        </w:rPr>
        <w:t>-see organigramme</w:t>
      </w:r>
      <w:r w:rsidRPr="00286153">
        <w:rPr>
          <w:rFonts w:ascii="Verdana" w:hAnsi="Verdana"/>
          <w:color w:val="FF0000"/>
          <w:sz w:val="16"/>
          <w:szCs w:val="16"/>
          <w:highlight w:val="yellow"/>
          <w:lang w:val="en-GB"/>
        </w:rPr>
        <w:t>]</w:t>
      </w:r>
    </w:p>
    <w:p w14:paraId="2D8B9737" w14:textId="4ED0898D" w:rsidR="00663DA8" w:rsidRPr="00696241" w:rsidRDefault="00663DA8" w:rsidP="00663DA8">
      <w:pPr>
        <w:spacing w:after="120"/>
        <w:jc w:val="left"/>
        <w:rPr>
          <w:rFonts w:ascii="Verdana" w:hAnsi="Verdana"/>
          <w:i/>
          <w:sz w:val="16"/>
          <w:szCs w:val="16"/>
          <w:lang w:val="en-GB"/>
        </w:rPr>
      </w:pPr>
      <w:r w:rsidRPr="00696241">
        <w:rPr>
          <w:rFonts w:ascii="Verdana" w:hAnsi="Verdana"/>
          <w:i/>
          <w:sz w:val="16"/>
          <w:szCs w:val="16"/>
          <w:lang w:val="en-GB"/>
        </w:rPr>
        <w:t>Contact:</w:t>
      </w:r>
      <w:r w:rsidRPr="00696241">
        <w:rPr>
          <w:rFonts w:ascii="Verdana" w:hAnsi="Verdana"/>
          <w:sz w:val="16"/>
          <w:szCs w:val="16"/>
          <w:lang w:val="en-GB"/>
        </w:rPr>
        <w:t xml:space="preserve"> </w:t>
      </w:r>
      <w:r w:rsidR="00286153">
        <w:rPr>
          <w:rFonts w:ascii="Verdana" w:hAnsi="Verdana"/>
          <w:color w:val="FF0000"/>
          <w:sz w:val="16"/>
          <w:szCs w:val="16"/>
          <w:lang w:val="en-GB"/>
        </w:rPr>
        <w:t>Ioannis Kavvadas</w:t>
      </w:r>
    </w:p>
    <w:p w14:paraId="5F34F4C4" w14:textId="63588AF1" w:rsidR="006B26AA" w:rsidRPr="00696241" w:rsidRDefault="006B26AA" w:rsidP="0001748A">
      <w:pPr>
        <w:tabs>
          <w:tab w:val="left" w:pos="709"/>
        </w:tabs>
        <w:spacing w:after="120"/>
        <w:ind w:left="709" w:hanging="709"/>
        <w:jc w:val="left"/>
        <w:rPr>
          <w:rFonts w:ascii="Verdana" w:hAnsi="Verdana"/>
          <w:sz w:val="16"/>
          <w:szCs w:val="16"/>
          <w:lang w:val="en-GB"/>
        </w:rPr>
      </w:pPr>
      <w:r w:rsidRPr="00696241">
        <w:rPr>
          <w:rFonts w:ascii="Verdana" w:hAnsi="Verdana"/>
          <w:i/>
          <w:sz w:val="16"/>
          <w:szCs w:val="16"/>
          <w:lang w:val="en-GB"/>
        </w:rPr>
        <w:t>E-mail:</w:t>
      </w:r>
      <w:r w:rsidRPr="00696241">
        <w:rPr>
          <w:rFonts w:ascii="Verdana" w:hAnsi="Verdana"/>
          <w:i/>
          <w:sz w:val="16"/>
          <w:szCs w:val="16"/>
          <w:lang w:val="en-GB"/>
        </w:rPr>
        <w:tab/>
      </w:r>
      <w:r w:rsidR="00196A3D">
        <w:rPr>
          <w:rFonts w:ascii="Verdana" w:hAnsi="Verdana"/>
          <w:color w:val="FF0000"/>
          <w:sz w:val="16"/>
          <w:szCs w:val="16"/>
          <w:lang w:val="en-GB"/>
        </w:rPr>
        <w:t>Ioannis.KAVVADAS</w:t>
      </w:r>
      <w:r w:rsidRPr="00696241">
        <w:rPr>
          <w:rFonts w:ascii="Verdana" w:hAnsi="Verdana"/>
          <w:i/>
          <w:sz w:val="16"/>
          <w:szCs w:val="16"/>
          <w:lang w:val="en-GB"/>
        </w:rPr>
        <w:t>@ec.europa.eu</w:t>
      </w:r>
      <w:r w:rsidRPr="00696241">
        <w:rPr>
          <w:rFonts w:ascii="Verdana" w:hAnsi="Verdana"/>
          <w:sz w:val="16"/>
          <w:szCs w:val="16"/>
          <w:lang w:val="en-GB"/>
        </w:rPr>
        <w:t xml:space="preserve"> </w:t>
      </w:r>
    </w:p>
    <w:p w14:paraId="0D9EF09A" w14:textId="2D456A45" w:rsidR="005931F7" w:rsidRPr="00696241" w:rsidRDefault="006B26AA" w:rsidP="0001748A">
      <w:pPr>
        <w:spacing w:after="0"/>
        <w:jc w:val="left"/>
        <w:rPr>
          <w:rStyle w:val="BodyChar"/>
          <w:sz w:val="16"/>
          <w:szCs w:val="16"/>
          <w:lang w:val="en-GB"/>
        </w:rPr>
      </w:pPr>
      <w:r w:rsidRPr="00696241">
        <w:rPr>
          <w:rFonts w:ascii="Verdana" w:hAnsi="Verdana"/>
          <w:i/>
          <w:sz w:val="16"/>
          <w:szCs w:val="16"/>
          <w:lang w:val="en-GB"/>
        </w:rPr>
        <w:t>European Commission</w:t>
      </w:r>
      <w:r w:rsidR="0001748A" w:rsidRPr="00696241">
        <w:rPr>
          <w:rFonts w:ascii="Verdana" w:hAnsi="Verdana"/>
          <w:i/>
          <w:sz w:val="16"/>
          <w:szCs w:val="16"/>
          <w:lang w:val="en-GB"/>
        </w:rPr>
        <w:br/>
      </w:r>
      <w:r w:rsidRPr="00696241">
        <w:rPr>
          <w:rFonts w:ascii="Verdana" w:hAnsi="Verdana"/>
          <w:i/>
          <w:sz w:val="16"/>
          <w:szCs w:val="16"/>
          <w:lang w:val="en-GB"/>
        </w:rPr>
        <w:t>B-1049 Brussels</w:t>
      </w:r>
    </w:p>
    <w:p w14:paraId="2580FEEA" w14:textId="77777777" w:rsidR="006B26AA" w:rsidRDefault="006B26AA" w:rsidP="00B14205">
      <w:pPr>
        <w:pStyle w:val="Heading"/>
        <w:rPr>
          <w:lang w:val="en-GB"/>
        </w:rPr>
        <w:sectPr w:rsidR="006B26AA" w:rsidSect="00FB177B">
          <w:headerReference w:type="first" r:id="rId21"/>
          <w:footerReference w:type="first" r:id="rId22"/>
          <w:pgSz w:w="11907" w:h="16839" w:code="9"/>
          <w:pgMar w:top="1418" w:right="1418" w:bottom="851" w:left="1701" w:header="567" w:footer="493" w:gutter="0"/>
          <w:cols w:space="720"/>
          <w:titlePg/>
          <w:docGrid w:linePitch="326"/>
        </w:sectPr>
      </w:pPr>
    </w:p>
    <w:p w14:paraId="60C02EF9" w14:textId="6896FE37" w:rsidR="00213AE8" w:rsidRDefault="00213AE8" w:rsidP="00213AE8">
      <w:pPr>
        <w:jc w:val="center"/>
        <w:rPr>
          <w:rFonts w:ascii="Verdana" w:hAnsi="Verdana"/>
          <w:sz w:val="18"/>
          <w:lang w:val="en-GB"/>
        </w:rPr>
      </w:pPr>
    </w:p>
    <w:p w14:paraId="47D6E9BD" w14:textId="57163F6F" w:rsidR="00BE55E6" w:rsidRDefault="00BE55E6" w:rsidP="00213AE8">
      <w:pPr>
        <w:jc w:val="center"/>
        <w:rPr>
          <w:rFonts w:ascii="Verdana" w:hAnsi="Verdana"/>
          <w:sz w:val="18"/>
          <w:lang w:val="en-GB"/>
        </w:rPr>
      </w:pPr>
    </w:p>
    <w:p w14:paraId="1AD1C4FD" w14:textId="77777777" w:rsidR="00BE55E6" w:rsidRDefault="00BE55E6" w:rsidP="00213AE8">
      <w:pPr>
        <w:jc w:val="center"/>
        <w:rPr>
          <w:rFonts w:ascii="Verdana" w:hAnsi="Verdana"/>
          <w:sz w:val="18"/>
          <w:lang w:val="en-GB"/>
        </w:rPr>
      </w:pPr>
    </w:p>
    <w:p w14:paraId="7C7EE2C4" w14:textId="77777777" w:rsidR="00BE55E6" w:rsidRPr="00213AE8" w:rsidRDefault="00BE55E6" w:rsidP="00213AE8">
      <w:pPr>
        <w:jc w:val="center"/>
        <w:rPr>
          <w:rFonts w:ascii="Verdana" w:hAnsi="Verdana"/>
          <w:lang w:val="en-GB"/>
        </w:rPr>
      </w:pPr>
    </w:p>
    <w:p w14:paraId="2ACE76A2" w14:textId="77777777" w:rsidR="00213AE8" w:rsidRPr="00213AE8" w:rsidRDefault="00213AE8" w:rsidP="00213AE8">
      <w:pPr>
        <w:jc w:val="center"/>
        <w:rPr>
          <w:rFonts w:ascii="Verdana" w:hAnsi="Verdana"/>
          <w:lang w:val="en-GB"/>
        </w:rPr>
      </w:pPr>
    </w:p>
    <w:p w14:paraId="4DAA0163" w14:textId="77777777" w:rsidR="00213AE8" w:rsidRPr="00213AE8" w:rsidRDefault="00213AE8" w:rsidP="00213AE8">
      <w:pPr>
        <w:jc w:val="center"/>
        <w:rPr>
          <w:rFonts w:ascii="Verdana" w:hAnsi="Verdana"/>
          <w:lang w:val="en-GB"/>
        </w:rPr>
      </w:pPr>
    </w:p>
    <w:p w14:paraId="0E041952" w14:textId="4C702DCE" w:rsidR="00213AE8" w:rsidRPr="00213AE8" w:rsidRDefault="00213AE8" w:rsidP="00213AE8">
      <w:pPr>
        <w:jc w:val="center"/>
        <w:rPr>
          <w:rFonts w:ascii="Verdana" w:hAnsi="Verdana"/>
          <w:lang w:val="en-GB"/>
        </w:rPr>
      </w:pPr>
    </w:p>
    <w:p w14:paraId="4E4C16E9" w14:textId="77777777" w:rsidR="00213AE8" w:rsidRPr="00213AE8" w:rsidRDefault="00213AE8" w:rsidP="00213AE8">
      <w:pPr>
        <w:jc w:val="center"/>
        <w:rPr>
          <w:rFonts w:ascii="Verdana" w:hAnsi="Verdana"/>
          <w:lang w:val="en-GB"/>
        </w:rPr>
      </w:pPr>
    </w:p>
    <w:p w14:paraId="5817C45B" w14:textId="77777777" w:rsidR="00213AE8" w:rsidRPr="00213AE8" w:rsidRDefault="00213AE8" w:rsidP="00213AE8">
      <w:pPr>
        <w:jc w:val="center"/>
        <w:rPr>
          <w:rFonts w:ascii="Verdana" w:hAnsi="Verdana"/>
          <w:lang w:val="en-GB"/>
        </w:rPr>
      </w:pPr>
    </w:p>
    <w:p w14:paraId="3E653CC7" w14:textId="77777777" w:rsidR="00196A3D" w:rsidRPr="006B26AA" w:rsidRDefault="00196A3D" w:rsidP="00196A3D">
      <w:pPr>
        <w:pStyle w:val="DocumentTitle"/>
        <w:spacing w:after="120"/>
        <w:rPr>
          <w:szCs w:val="52"/>
          <w:lang w:val="en-GB"/>
        </w:rPr>
      </w:pPr>
      <w:r w:rsidRPr="001841D0">
        <w:rPr>
          <w:szCs w:val="52"/>
          <w:lang w:val="en-GB"/>
        </w:rPr>
        <w:t>Economic data related to the implementation of the WFD and the FD and the financing of measures</w:t>
      </w:r>
    </w:p>
    <w:p w14:paraId="4CD96BB2" w14:textId="77777777" w:rsidR="00196A3D" w:rsidRDefault="00196A3D" w:rsidP="00196A3D">
      <w:pPr>
        <w:pStyle w:val="DocumentSubtitle"/>
      </w:pPr>
    </w:p>
    <w:p w14:paraId="4C05577E" w14:textId="77777777" w:rsidR="00196A3D" w:rsidRDefault="00196A3D" w:rsidP="00196A3D">
      <w:pPr>
        <w:pStyle w:val="DocumentSubtitle"/>
        <w:tabs>
          <w:tab w:val="left" w:pos="4536"/>
        </w:tabs>
      </w:pPr>
      <w:r>
        <w:t>Final report</w:t>
      </w:r>
    </w:p>
    <w:p w14:paraId="0D3CBD18" w14:textId="77777777" w:rsidR="00213AE8" w:rsidRPr="00E15F27" w:rsidRDefault="00213AE8" w:rsidP="00196A3D">
      <w:pPr>
        <w:rPr>
          <w:rFonts w:ascii="Verdana" w:hAnsi="Verdana"/>
          <w:lang w:val="en-GB"/>
        </w:rPr>
      </w:pPr>
    </w:p>
    <w:p w14:paraId="6E2F0228" w14:textId="77777777" w:rsidR="00213AE8" w:rsidRPr="00E15F27" w:rsidRDefault="00213AE8" w:rsidP="00BE55E6">
      <w:pPr>
        <w:jc w:val="center"/>
        <w:rPr>
          <w:rFonts w:ascii="Verdana" w:hAnsi="Verdana"/>
          <w:lang w:val="en-GB"/>
        </w:rPr>
      </w:pPr>
    </w:p>
    <w:p w14:paraId="1C729A77" w14:textId="77777777" w:rsidR="00213AE8" w:rsidRPr="00E15F27" w:rsidRDefault="00213AE8" w:rsidP="00BE55E6">
      <w:pPr>
        <w:jc w:val="center"/>
        <w:rPr>
          <w:rFonts w:ascii="Verdana" w:hAnsi="Verdana"/>
          <w:lang w:val="en-GB"/>
        </w:rPr>
      </w:pPr>
    </w:p>
    <w:p w14:paraId="739C8A4A" w14:textId="77777777" w:rsidR="00213AE8" w:rsidRPr="00E15F27" w:rsidRDefault="00213AE8" w:rsidP="00BE55E6">
      <w:pPr>
        <w:jc w:val="center"/>
        <w:rPr>
          <w:rFonts w:ascii="Verdana" w:hAnsi="Verdana"/>
          <w:lang w:val="en-GB"/>
        </w:rPr>
      </w:pPr>
    </w:p>
    <w:p w14:paraId="57722886" w14:textId="77777777" w:rsidR="00213AE8" w:rsidRPr="0030325A" w:rsidRDefault="00213AE8" w:rsidP="00BE55E6">
      <w:pPr>
        <w:jc w:val="center"/>
        <w:rPr>
          <w:rFonts w:ascii="Verdana" w:hAnsi="Verdana"/>
          <w:lang w:val="en-GB"/>
        </w:rPr>
      </w:pPr>
    </w:p>
    <w:p w14:paraId="51898F65" w14:textId="77777777" w:rsidR="00213AE8" w:rsidRPr="007C1114" w:rsidRDefault="00213AE8" w:rsidP="00BE55E6">
      <w:pPr>
        <w:jc w:val="center"/>
        <w:rPr>
          <w:rFonts w:ascii="Verdana" w:hAnsi="Verdana"/>
          <w:lang w:val="en-GB"/>
        </w:rPr>
      </w:pPr>
    </w:p>
    <w:p w14:paraId="050B7785" w14:textId="77777777" w:rsidR="003F02EE" w:rsidRPr="009B6318" w:rsidRDefault="003F02EE" w:rsidP="00C61159">
      <w:pPr>
        <w:rPr>
          <w:rFonts w:ascii="Verdana" w:hAnsi="Verdana"/>
          <w:lang w:val="en-GB"/>
        </w:rPr>
      </w:pPr>
    </w:p>
    <w:p w14:paraId="23F4E2CA" w14:textId="77777777" w:rsidR="003F02EE" w:rsidRPr="009B6318" w:rsidRDefault="003F02EE" w:rsidP="00213AE8">
      <w:pPr>
        <w:jc w:val="center"/>
        <w:rPr>
          <w:rFonts w:ascii="Verdana" w:hAnsi="Verdana"/>
          <w:lang w:val="en-GB"/>
        </w:rPr>
      </w:pPr>
    </w:p>
    <w:p w14:paraId="04AD1F13" w14:textId="77777777" w:rsidR="00A50808" w:rsidRPr="0030325A" w:rsidRDefault="00A50808" w:rsidP="00213AE8">
      <w:pPr>
        <w:jc w:val="center"/>
        <w:rPr>
          <w:rFonts w:ascii="Verdana" w:hAnsi="Verdana"/>
          <w:lang w:val="en-GB"/>
        </w:rPr>
      </w:pPr>
    </w:p>
    <w:p w14:paraId="5D9E33C9" w14:textId="77777777" w:rsidR="00213AE8" w:rsidRPr="0030325A" w:rsidRDefault="00213AE8" w:rsidP="003F0556">
      <w:pPr>
        <w:rPr>
          <w:rFonts w:ascii="Verdana" w:hAnsi="Verdana"/>
          <w:lang w:val="en-GB"/>
        </w:rPr>
      </w:pPr>
    </w:p>
    <w:p w14:paraId="19358AF4" w14:textId="77777777" w:rsidR="00EF5D52" w:rsidRDefault="00EF5D52" w:rsidP="00213AE8">
      <w:pPr>
        <w:jc w:val="center"/>
        <w:rPr>
          <w:rFonts w:ascii="Verdana" w:hAnsi="Verdana"/>
          <w:lang w:val="en-GB"/>
        </w:rPr>
      </w:pPr>
    </w:p>
    <w:p w14:paraId="362064EB" w14:textId="77777777" w:rsidR="00141116" w:rsidRDefault="00141116" w:rsidP="00213AE8">
      <w:pPr>
        <w:rPr>
          <w:rFonts w:ascii="Verdana" w:hAnsi="Verdana"/>
          <w:sz w:val="18"/>
          <w:lang w:val="en-GB"/>
        </w:rPr>
      </w:pPr>
    </w:p>
    <w:p w14:paraId="13CC60A4" w14:textId="77777777" w:rsidR="00AA4227" w:rsidRDefault="00AA4227" w:rsidP="00213AE8">
      <w:pPr>
        <w:rPr>
          <w:rFonts w:ascii="Verdana" w:hAnsi="Verdana"/>
          <w:sz w:val="18"/>
          <w:lang w:val="en-GB"/>
        </w:rPr>
        <w:sectPr w:rsidR="00AA4227" w:rsidSect="00E15F27">
          <w:headerReference w:type="default" r:id="rId23"/>
          <w:pgSz w:w="11907" w:h="16839" w:code="9"/>
          <w:pgMar w:top="851" w:right="1418" w:bottom="851" w:left="1418" w:header="567" w:footer="567" w:gutter="0"/>
          <w:cols w:space="720"/>
          <w:docGrid w:linePitch="326"/>
        </w:sectPr>
      </w:pPr>
    </w:p>
    <w:p w14:paraId="22A4422E" w14:textId="77777777" w:rsidR="00824FCF" w:rsidRDefault="00824FCF" w:rsidP="00824FCF">
      <w:pPr>
        <w:rPr>
          <w:rFonts w:ascii="Verdana" w:hAnsi="Verdana"/>
          <w:sz w:val="16"/>
          <w:szCs w:val="16"/>
          <w:lang w:val="en-GB"/>
        </w:rPr>
      </w:pPr>
    </w:p>
    <w:p w14:paraId="128BA6F2" w14:textId="77777777" w:rsidR="00824FCF" w:rsidRDefault="00824FCF" w:rsidP="00824FCF">
      <w:pPr>
        <w:rPr>
          <w:rFonts w:ascii="Verdana" w:hAnsi="Verdana"/>
          <w:sz w:val="16"/>
          <w:szCs w:val="16"/>
          <w:lang w:val="en-GB"/>
        </w:rPr>
      </w:pPr>
    </w:p>
    <w:p w14:paraId="1290494A" w14:textId="77777777" w:rsidR="00824FCF" w:rsidRDefault="00824FCF" w:rsidP="00C61159">
      <w:pPr>
        <w:pStyle w:val="Body"/>
        <w:rPr>
          <w:lang w:val="en-GB"/>
        </w:rPr>
      </w:pPr>
    </w:p>
    <w:p w14:paraId="44585846" w14:textId="77777777" w:rsidR="00824FCF" w:rsidRDefault="00824FCF" w:rsidP="00824FCF">
      <w:pPr>
        <w:rPr>
          <w:rFonts w:ascii="Verdana" w:hAnsi="Verdana"/>
          <w:sz w:val="16"/>
          <w:szCs w:val="16"/>
          <w:lang w:val="en-GB"/>
        </w:rPr>
      </w:pPr>
    </w:p>
    <w:p w14:paraId="0C3F5EB5" w14:textId="77777777" w:rsidR="00824FCF" w:rsidRDefault="00824FCF" w:rsidP="00824FCF">
      <w:pPr>
        <w:rPr>
          <w:rFonts w:ascii="Verdana" w:hAnsi="Verdana"/>
          <w:sz w:val="16"/>
          <w:szCs w:val="16"/>
          <w:lang w:val="en-GB"/>
        </w:rPr>
      </w:pPr>
    </w:p>
    <w:p w14:paraId="76210118" w14:textId="77777777" w:rsidR="00824FCF" w:rsidRDefault="00824FCF" w:rsidP="00824FCF">
      <w:pPr>
        <w:rPr>
          <w:rFonts w:ascii="Verdana" w:hAnsi="Verdana"/>
          <w:sz w:val="16"/>
          <w:szCs w:val="16"/>
          <w:lang w:val="en-GB"/>
        </w:rPr>
      </w:pPr>
    </w:p>
    <w:p w14:paraId="6B33F086" w14:textId="77777777" w:rsidR="00824FCF" w:rsidRDefault="00824FCF" w:rsidP="00824FCF">
      <w:pPr>
        <w:rPr>
          <w:rFonts w:ascii="Verdana" w:hAnsi="Verdana"/>
          <w:sz w:val="16"/>
          <w:szCs w:val="16"/>
          <w:lang w:val="en-GB"/>
        </w:rPr>
      </w:pPr>
    </w:p>
    <w:p w14:paraId="429F39CB" w14:textId="77777777" w:rsidR="00824FCF" w:rsidRDefault="00824FCF" w:rsidP="00824FCF">
      <w:pPr>
        <w:rPr>
          <w:rFonts w:ascii="Verdana" w:hAnsi="Verdana"/>
          <w:sz w:val="16"/>
          <w:szCs w:val="16"/>
          <w:lang w:val="en-GB"/>
        </w:rPr>
      </w:pPr>
    </w:p>
    <w:p w14:paraId="7178F6FC" w14:textId="77777777" w:rsidR="00824FCF" w:rsidRDefault="00824FCF" w:rsidP="00824FCF">
      <w:pPr>
        <w:rPr>
          <w:rFonts w:ascii="Verdana" w:hAnsi="Verdana"/>
          <w:sz w:val="16"/>
          <w:szCs w:val="16"/>
          <w:lang w:val="en-GB"/>
        </w:rPr>
      </w:pPr>
    </w:p>
    <w:p w14:paraId="48A8245F" w14:textId="77777777" w:rsidR="00824FCF" w:rsidRDefault="00824FCF" w:rsidP="00824FCF">
      <w:pPr>
        <w:rPr>
          <w:rFonts w:ascii="Verdana" w:hAnsi="Verdana"/>
          <w:sz w:val="16"/>
          <w:szCs w:val="16"/>
          <w:lang w:val="en-GB"/>
        </w:rPr>
      </w:pPr>
    </w:p>
    <w:p w14:paraId="7588300B" w14:textId="77777777" w:rsidR="00824FCF" w:rsidRDefault="00824FCF" w:rsidP="00824FCF">
      <w:pPr>
        <w:rPr>
          <w:rFonts w:ascii="Verdana" w:hAnsi="Verdana"/>
          <w:sz w:val="16"/>
          <w:szCs w:val="16"/>
          <w:lang w:val="en-GB"/>
        </w:rPr>
      </w:pPr>
    </w:p>
    <w:p w14:paraId="04A8068B" w14:textId="77777777" w:rsidR="00824FCF" w:rsidRDefault="00824FCF" w:rsidP="00824FCF">
      <w:pPr>
        <w:rPr>
          <w:rFonts w:ascii="Verdana" w:hAnsi="Verdana"/>
          <w:sz w:val="16"/>
          <w:szCs w:val="16"/>
          <w:lang w:val="en-GB"/>
        </w:rPr>
      </w:pPr>
    </w:p>
    <w:p w14:paraId="3D0FAF61" w14:textId="77777777" w:rsidR="00824FCF" w:rsidRPr="00AA4227" w:rsidRDefault="00824FCF" w:rsidP="00824FCF">
      <w:pPr>
        <w:rPr>
          <w:rFonts w:ascii="Verdana" w:hAnsi="Verdana"/>
          <w:sz w:val="16"/>
          <w:szCs w:val="16"/>
          <w:lang w:val="en-GB"/>
        </w:rPr>
      </w:pPr>
    </w:p>
    <w:p w14:paraId="1DC7EE83" w14:textId="77777777" w:rsidR="00824FCF" w:rsidRDefault="00824FCF" w:rsidP="00824FCF">
      <w:pPr>
        <w:rPr>
          <w:rFonts w:ascii="Verdana" w:hAnsi="Verdana"/>
          <w:sz w:val="16"/>
          <w:szCs w:val="16"/>
          <w:lang w:val="en-GB"/>
        </w:rPr>
      </w:pPr>
    </w:p>
    <w:p w14:paraId="1A15DC01" w14:textId="77777777" w:rsidR="00F05BB8" w:rsidRDefault="00F05BB8" w:rsidP="00824FCF">
      <w:pPr>
        <w:rPr>
          <w:rFonts w:ascii="Verdana" w:hAnsi="Verdana"/>
          <w:sz w:val="16"/>
          <w:szCs w:val="16"/>
          <w:lang w:val="en-GB"/>
        </w:rPr>
      </w:pPr>
    </w:p>
    <w:p w14:paraId="53A5BF9E" w14:textId="77777777" w:rsidR="00F05BB8" w:rsidRDefault="00F05BB8" w:rsidP="00824FCF">
      <w:pPr>
        <w:rPr>
          <w:rFonts w:ascii="Verdana" w:hAnsi="Verdana"/>
          <w:sz w:val="16"/>
          <w:szCs w:val="16"/>
          <w:lang w:val="en-GB"/>
        </w:rPr>
      </w:pPr>
    </w:p>
    <w:p w14:paraId="18B50584" w14:textId="77777777" w:rsidR="00F05BB8" w:rsidRDefault="00F05BB8" w:rsidP="00824FCF">
      <w:pPr>
        <w:rPr>
          <w:rFonts w:ascii="Verdana" w:hAnsi="Verdana"/>
          <w:sz w:val="16"/>
          <w:szCs w:val="16"/>
          <w:lang w:val="en-GB"/>
        </w:rPr>
      </w:pPr>
    </w:p>
    <w:p w14:paraId="73A148C1" w14:textId="77777777" w:rsidR="00F05BB8" w:rsidRDefault="00F05BB8" w:rsidP="00824FCF">
      <w:pPr>
        <w:rPr>
          <w:rFonts w:ascii="Verdana" w:hAnsi="Verdana"/>
          <w:sz w:val="16"/>
          <w:szCs w:val="16"/>
          <w:lang w:val="en-GB"/>
        </w:rPr>
      </w:pPr>
    </w:p>
    <w:p w14:paraId="0D710FF9" w14:textId="77777777" w:rsidR="00F05BB8" w:rsidRDefault="00F05BB8" w:rsidP="00824FCF">
      <w:pPr>
        <w:rPr>
          <w:rFonts w:ascii="Verdana" w:hAnsi="Verdana"/>
          <w:sz w:val="16"/>
          <w:szCs w:val="16"/>
          <w:lang w:val="en-GB"/>
        </w:rPr>
      </w:pPr>
    </w:p>
    <w:p w14:paraId="457E80AC" w14:textId="77777777" w:rsidR="00F05BB8" w:rsidRDefault="00F05BB8" w:rsidP="00824FCF">
      <w:pPr>
        <w:rPr>
          <w:rFonts w:ascii="Verdana" w:hAnsi="Verdana"/>
          <w:sz w:val="16"/>
          <w:szCs w:val="16"/>
          <w:lang w:val="en-GB"/>
        </w:rPr>
      </w:pPr>
    </w:p>
    <w:p w14:paraId="211B2FB0" w14:textId="77777777" w:rsidR="00F05BB8" w:rsidRPr="00AA4227" w:rsidRDefault="00F05BB8" w:rsidP="00824FCF">
      <w:pPr>
        <w:rPr>
          <w:rFonts w:ascii="Verdana" w:hAnsi="Verdana"/>
          <w:sz w:val="16"/>
          <w:szCs w:val="16"/>
          <w:lang w:val="en-GB"/>
        </w:rPr>
      </w:pPr>
    </w:p>
    <w:p w14:paraId="2B012750" w14:textId="77777777" w:rsidR="00824FCF" w:rsidRPr="00696241" w:rsidRDefault="00824FCF" w:rsidP="00824FCF">
      <w:pPr>
        <w:spacing w:after="120"/>
        <w:rPr>
          <w:rFonts w:ascii="Verdana" w:hAnsi="Verdana"/>
          <w:b/>
          <w:sz w:val="18"/>
          <w:szCs w:val="18"/>
          <w:lang w:val="en-GB"/>
        </w:rPr>
      </w:pPr>
      <w:r w:rsidRPr="00696241">
        <w:rPr>
          <w:rFonts w:ascii="Verdana" w:hAnsi="Verdana"/>
          <w:b/>
          <w:sz w:val="18"/>
          <w:szCs w:val="18"/>
          <w:lang w:val="en-GB"/>
        </w:rPr>
        <w:t>LEGAL NOTICE</w:t>
      </w:r>
    </w:p>
    <w:p w14:paraId="664E00A0" w14:textId="6190A266" w:rsidR="00824FCF" w:rsidRDefault="00957B85" w:rsidP="00824FCF">
      <w:pPr>
        <w:jc w:val="left"/>
        <w:rPr>
          <w:rFonts w:ascii="Verdana" w:hAnsi="Verdana"/>
          <w:sz w:val="16"/>
          <w:szCs w:val="16"/>
          <w:lang w:val="en-GB"/>
        </w:rPr>
      </w:pPr>
      <w:r w:rsidRPr="00957B85">
        <w:rPr>
          <w:rFonts w:ascii="Verdana" w:hAnsi="Verdana"/>
          <w:sz w:val="16"/>
          <w:szCs w:val="16"/>
          <w:lang w:val="en-GB"/>
        </w:rPr>
        <w:t>The information and views set out in this report are those of the author(s) and do not necessarily reflect the official opinion of the Commission. The Commission does not guarantee the accuracy of the data included in this study. Neither the Commission nor any person acting on the Commission ’s behalf may be held responsible for the use which may be made of the information contained therein</w:t>
      </w:r>
      <w:r w:rsidR="00824FCF">
        <w:rPr>
          <w:rFonts w:ascii="Verdana" w:hAnsi="Verdana"/>
          <w:sz w:val="16"/>
          <w:szCs w:val="16"/>
          <w:lang w:val="en-GB"/>
        </w:rPr>
        <w:t>.</w:t>
      </w:r>
    </w:p>
    <w:p w14:paraId="597AEECA" w14:textId="77777777" w:rsidR="00824FCF" w:rsidRPr="00696241" w:rsidRDefault="00824FCF" w:rsidP="00824FCF">
      <w:pPr>
        <w:jc w:val="left"/>
        <w:rPr>
          <w:rFonts w:ascii="Verdana" w:hAnsi="Verdana"/>
          <w:sz w:val="16"/>
          <w:szCs w:val="16"/>
          <w:lang w:val="en-GB"/>
        </w:rPr>
      </w:pPr>
      <w:r w:rsidRPr="00696241">
        <w:rPr>
          <w:rFonts w:ascii="Verdana" w:hAnsi="Verdana"/>
          <w:sz w:val="16"/>
          <w:szCs w:val="16"/>
          <w:lang w:val="en-GB"/>
        </w:rPr>
        <w:t>More information on the European Uni</w:t>
      </w:r>
      <w:r>
        <w:rPr>
          <w:rFonts w:ascii="Verdana" w:hAnsi="Verdana"/>
          <w:sz w:val="16"/>
          <w:szCs w:val="16"/>
          <w:lang w:val="en-GB"/>
        </w:rPr>
        <w:t xml:space="preserve">on is available on the Internet </w:t>
      </w:r>
      <w:r w:rsidRPr="00696241">
        <w:rPr>
          <w:rFonts w:ascii="Verdana" w:hAnsi="Verdana"/>
          <w:sz w:val="16"/>
          <w:szCs w:val="16"/>
          <w:lang w:val="en-GB"/>
        </w:rPr>
        <w:t>(http://</w:t>
      </w:r>
      <w:r>
        <w:rPr>
          <w:rFonts w:ascii="Verdana" w:hAnsi="Verdana"/>
          <w:sz w:val="16"/>
          <w:szCs w:val="16"/>
          <w:lang w:val="en-GB"/>
        </w:rPr>
        <w:t>www.</w:t>
      </w:r>
      <w:r w:rsidRPr="00696241">
        <w:rPr>
          <w:rFonts w:ascii="Verdana" w:hAnsi="Verdana"/>
          <w:sz w:val="16"/>
          <w:szCs w:val="16"/>
          <w:lang w:val="en-GB"/>
        </w:rPr>
        <w:t>europa.eu).</w:t>
      </w:r>
    </w:p>
    <w:p w14:paraId="5C278E1A" w14:textId="77777777" w:rsidR="00824FCF" w:rsidRPr="00696241" w:rsidRDefault="00824FCF" w:rsidP="00824FCF">
      <w:pPr>
        <w:jc w:val="left"/>
        <w:rPr>
          <w:rFonts w:ascii="Verdana" w:hAnsi="Verdana"/>
          <w:sz w:val="16"/>
          <w:szCs w:val="16"/>
          <w:lang w:val="en-GB"/>
        </w:rPr>
      </w:pPr>
      <w:r w:rsidRPr="00696241">
        <w:rPr>
          <w:rFonts w:ascii="Verdana" w:hAnsi="Verdana"/>
          <w:sz w:val="16"/>
          <w:szCs w:val="16"/>
          <w:lang w:val="en-GB"/>
        </w:rPr>
        <w:t>Luxembourg: Publications Offi</w:t>
      </w:r>
      <w:r w:rsidR="00D16043">
        <w:rPr>
          <w:rFonts w:ascii="Verdana" w:hAnsi="Verdana"/>
          <w:sz w:val="16"/>
          <w:szCs w:val="16"/>
          <w:lang w:val="en-GB"/>
        </w:rPr>
        <w:t>ce of the European Union, 2019</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77"/>
        <w:gridCol w:w="1799"/>
        <w:gridCol w:w="1799"/>
        <w:gridCol w:w="1616"/>
        <w:gridCol w:w="2013"/>
      </w:tblGrid>
      <w:tr w:rsidR="00362478" w:rsidRPr="00660713" w14:paraId="0FB7B4D3" w14:textId="77777777" w:rsidTr="00362478">
        <w:tc>
          <w:tcPr>
            <w:tcW w:w="1777" w:type="dxa"/>
            <w:tcBorders>
              <w:bottom w:val="single" w:sz="6" w:space="0" w:color="000000"/>
            </w:tcBorders>
          </w:tcPr>
          <w:p w14:paraId="748369A9" w14:textId="77777777" w:rsidR="00362478" w:rsidRPr="00660713" w:rsidRDefault="00362478" w:rsidP="001E3756">
            <w:pPr>
              <w:spacing w:after="0"/>
              <w:rPr>
                <w:rFonts w:ascii="Verdana" w:hAnsi="Verdana"/>
                <w:sz w:val="16"/>
                <w:szCs w:val="16"/>
                <w:lang w:val="en-GB"/>
              </w:rPr>
            </w:pPr>
            <w:r w:rsidRPr="00660713">
              <w:rPr>
                <w:rFonts w:ascii="Verdana" w:hAnsi="Verdana"/>
                <w:sz w:val="16"/>
                <w:szCs w:val="16"/>
                <w:lang w:val="en-GB"/>
              </w:rPr>
              <w:t xml:space="preserve">PDF </w:t>
            </w:r>
          </w:p>
        </w:tc>
        <w:tc>
          <w:tcPr>
            <w:tcW w:w="1799" w:type="dxa"/>
            <w:tcBorders>
              <w:bottom w:val="single" w:sz="6" w:space="0" w:color="000000"/>
            </w:tcBorders>
          </w:tcPr>
          <w:p w14:paraId="70798003" w14:textId="77777777" w:rsidR="00362478" w:rsidRPr="00660713" w:rsidRDefault="00362478" w:rsidP="001E3756">
            <w:pPr>
              <w:spacing w:after="0"/>
              <w:rPr>
                <w:rFonts w:ascii="Verdana" w:hAnsi="Verdana"/>
                <w:color w:val="FF0000"/>
                <w:sz w:val="16"/>
                <w:szCs w:val="16"/>
                <w:lang w:val="en-GB"/>
              </w:rPr>
            </w:pPr>
            <w:r w:rsidRPr="00660713">
              <w:rPr>
                <w:rFonts w:ascii="Verdana" w:hAnsi="Verdana"/>
                <w:sz w:val="16"/>
                <w:szCs w:val="16"/>
                <w:lang w:val="en-GB"/>
              </w:rPr>
              <w:t xml:space="preserve">ISBN </w:t>
            </w:r>
            <w:r w:rsidRPr="00660713">
              <w:rPr>
                <w:rFonts w:ascii="Verdana" w:hAnsi="Verdana"/>
                <w:color w:val="FF0000"/>
                <w:sz w:val="16"/>
                <w:szCs w:val="16"/>
                <w:lang w:val="en-GB"/>
              </w:rPr>
              <w:t>[number]</w:t>
            </w:r>
          </w:p>
        </w:tc>
        <w:tc>
          <w:tcPr>
            <w:tcW w:w="1799" w:type="dxa"/>
            <w:tcBorders>
              <w:bottom w:val="single" w:sz="6" w:space="0" w:color="000000"/>
            </w:tcBorders>
          </w:tcPr>
          <w:p w14:paraId="0030EA9B" w14:textId="77777777" w:rsidR="00362478" w:rsidRPr="00660713" w:rsidRDefault="00362478" w:rsidP="001E3756">
            <w:pPr>
              <w:spacing w:after="0"/>
              <w:rPr>
                <w:rFonts w:ascii="Verdana" w:hAnsi="Verdana"/>
                <w:color w:val="FF0000"/>
                <w:sz w:val="16"/>
                <w:szCs w:val="16"/>
                <w:lang w:val="en-GB"/>
              </w:rPr>
            </w:pPr>
          </w:p>
        </w:tc>
        <w:tc>
          <w:tcPr>
            <w:tcW w:w="1616" w:type="dxa"/>
            <w:tcBorders>
              <w:bottom w:val="single" w:sz="6" w:space="0" w:color="000000"/>
            </w:tcBorders>
          </w:tcPr>
          <w:p w14:paraId="6FA4E4FE" w14:textId="77777777" w:rsidR="00362478" w:rsidRPr="00660713" w:rsidRDefault="00362478" w:rsidP="001E3756">
            <w:pPr>
              <w:spacing w:after="0"/>
              <w:rPr>
                <w:rFonts w:ascii="Verdana" w:hAnsi="Verdana"/>
                <w:color w:val="FF0000"/>
                <w:sz w:val="16"/>
                <w:szCs w:val="16"/>
                <w:lang w:val="en-GB"/>
              </w:rPr>
            </w:pPr>
            <w:r w:rsidRPr="00660713">
              <w:rPr>
                <w:rFonts w:ascii="Verdana" w:hAnsi="Verdana"/>
                <w:sz w:val="16"/>
                <w:szCs w:val="16"/>
                <w:lang w:val="en-GB"/>
              </w:rPr>
              <w:t>doi:</w:t>
            </w:r>
            <w:r w:rsidRPr="00660713">
              <w:rPr>
                <w:rFonts w:ascii="Verdana" w:hAnsi="Verdana"/>
                <w:color w:val="FF0000"/>
                <w:sz w:val="16"/>
                <w:szCs w:val="16"/>
                <w:lang w:val="en-GB"/>
              </w:rPr>
              <w:t>[number]</w:t>
            </w:r>
          </w:p>
        </w:tc>
        <w:tc>
          <w:tcPr>
            <w:tcW w:w="2013" w:type="dxa"/>
            <w:tcBorders>
              <w:bottom w:val="single" w:sz="6" w:space="0" w:color="000000"/>
            </w:tcBorders>
          </w:tcPr>
          <w:p w14:paraId="23F1D651" w14:textId="77777777" w:rsidR="00362478" w:rsidRPr="00660713" w:rsidRDefault="00362478" w:rsidP="001E3756">
            <w:pPr>
              <w:spacing w:after="0"/>
              <w:rPr>
                <w:rFonts w:ascii="Verdana" w:hAnsi="Verdana"/>
                <w:sz w:val="16"/>
                <w:szCs w:val="16"/>
                <w:lang w:val="en-GB"/>
              </w:rPr>
            </w:pPr>
            <w:r w:rsidRPr="00660713">
              <w:rPr>
                <w:rFonts w:ascii="Verdana" w:hAnsi="Verdana"/>
                <w:color w:val="FF0000"/>
                <w:sz w:val="16"/>
                <w:lang w:val="en-GB"/>
              </w:rPr>
              <w:t>[Catalogue number]</w:t>
            </w:r>
          </w:p>
        </w:tc>
      </w:tr>
    </w:tbl>
    <w:p w14:paraId="15A0BC80" w14:textId="77777777" w:rsidR="00362478" w:rsidRDefault="00362478" w:rsidP="00824FCF">
      <w:pPr>
        <w:spacing w:after="0"/>
        <w:jc w:val="left"/>
        <w:rPr>
          <w:rFonts w:ascii="Verdana" w:hAnsi="Verdana"/>
          <w:sz w:val="16"/>
          <w:szCs w:val="16"/>
          <w:lang w:val="en-GB"/>
        </w:rPr>
      </w:pPr>
    </w:p>
    <w:p w14:paraId="526C36AB" w14:textId="77777777" w:rsidR="00F05BB8" w:rsidRDefault="00F05BB8" w:rsidP="00824FCF">
      <w:pPr>
        <w:spacing w:after="0"/>
        <w:jc w:val="left"/>
        <w:rPr>
          <w:rFonts w:ascii="Verdana" w:hAnsi="Verdana"/>
          <w:sz w:val="16"/>
          <w:szCs w:val="16"/>
          <w:lang w:val="en-GB"/>
        </w:rPr>
      </w:pPr>
    </w:p>
    <w:p w14:paraId="1C7A127E" w14:textId="77777777" w:rsidR="00F05BB8" w:rsidRDefault="00F05BB8" w:rsidP="00824FCF">
      <w:pPr>
        <w:spacing w:after="0"/>
        <w:jc w:val="left"/>
        <w:rPr>
          <w:rFonts w:ascii="Verdana" w:hAnsi="Verdana"/>
          <w:sz w:val="16"/>
          <w:szCs w:val="16"/>
          <w:lang w:val="en-GB"/>
        </w:rPr>
      </w:pPr>
    </w:p>
    <w:p w14:paraId="1224337C" w14:textId="77777777" w:rsidR="00F05BB8" w:rsidRDefault="00F05BB8" w:rsidP="00824FCF">
      <w:pPr>
        <w:spacing w:after="0"/>
        <w:jc w:val="left"/>
        <w:rPr>
          <w:rFonts w:ascii="Verdana" w:hAnsi="Verdana"/>
          <w:sz w:val="16"/>
          <w:szCs w:val="16"/>
          <w:lang w:val="en-GB"/>
        </w:rPr>
      </w:pPr>
    </w:p>
    <w:p w14:paraId="11D7C902" w14:textId="77777777" w:rsidR="00F05BB8" w:rsidRDefault="00F05BB8" w:rsidP="00824FCF">
      <w:pPr>
        <w:spacing w:after="0"/>
        <w:jc w:val="left"/>
        <w:rPr>
          <w:rFonts w:ascii="Verdana" w:hAnsi="Verdana"/>
          <w:sz w:val="16"/>
          <w:szCs w:val="16"/>
          <w:lang w:val="en-GB"/>
        </w:rPr>
      </w:pPr>
    </w:p>
    <w:p w14:paraId="1E47049B" w14:textId="77777777" w:rsidR="00F05BB8" w:rsidRDefault="00F05BB8" w:rsidP="00824FCF">
      <w:pPr>
        <w:spacing w:after="0"/>
        <w:jc w:val="left"/>
        <w:rPr>
          <w:rFonts w:ascii="Verdana" w:hAnsi="Verdana"/>
          <w:sz w:val="16"/>
          <w:szCs w:val="16"/>
          <w:lang w:val="en-GB"/>
        </w:rPr>
      </w:pPr>
    </w:p>
    <w:p w14:paraId="25886E99" w14:textId="77777777" w:rsidR="00F05BB8" w:rsidRDefault="00F05BB8" w:rsidP="00824FCF">
      <w:pPr>
        <w:spacing w:after="0"/>
        <w:jc w:val="left"/>
        <w:rPr>
          <w:rFonts w:ascii="Verdana" w:hAnsi="Verdana"/>
          <w:sz w:val="16"/>
          <w:szCs w:val="16"/>
          <w:lang w:val="en-GB"/>
        </w:rPr>
      </w:pPr>
    </w:p>
    <w:p w14:paraId="7E07B793" w14:textId="129009A0" w:rsidR="00824FCF" w:rsidRPr="00696241" w:rsidRDefault="00D16043" w:rsidP="00824FCF">
      <w:pPr>
        <w:spacing w:after="0"/>
        <w:jc w:val="left"/>
        <w:rPr>
          <w:rFonts w:ascii="Verdana" w:hAnsi="Verdana"/>
          <w:sz w:val="16"/>
          <w:szCs w:val="16"/>
          <w:lang w:val="en-GB"/>
        </w:rPr>
      </w:pPr>
      <w:r>
        <w:rPr>
          <w:rFonts w:ascii="Verdana" w:hAnsi="Verdana"/>
          <w:sz w:val="16"/>
          <w:szCs w:val="16"/>
          <w:lang w:val="en-GB"/>
        </w:rPr>
        <w:t xml:space="preserve">© European Union, </w:t>
      </w:r>
      <w:r w:rsidRPr="00723273">
        <w:rPr>
          <w:rFonts w:ascii="Verdana" w:hAnsi="Verdana"/>
          <w:sz w:val="16"/>
          <w:szCs w:val="16"/>
          <w:lang w:val="en-GB"/>
        </w:rPr>
        <w:t>20</w:t>
      </w:r>
      <w:r w:rsidR="00C61159" w:rsidRPr="00723273">
        <w:rPr>
          <w:rFonts w:ascii="Verdana" w:hAnsi="Verdana"/>
          <w:sz w:val="16"/>
          <w:szCs w:val="16"/>
          <w:lang w:val="en-GB"/>
        </w:rPr>
        <w:t>21</w:t>
      </w:r>
    </w:p>
    <w:p w14:paraId="091A73FF" w14:textId="77777777" w:rsidR="00824FCF" w:rsidRPr="00F05BB8" w:rsidRDefault="00F05BB8" w:rsidP="00F05BB8">
      <w:pPr>
        <w:jc w:val="left"/>
        <w:rPr>
          <w:rFonts w:ascii="Verdana" w:hAnsi="Verdana"/>
          <w:sz w:val="16"/>
          <w:szCs w:val="16"/>
          <w:lang w:val="en-GB"/>
        </w:rPr>
      </w:pPr>
      <w:r w:rsidRPr="00F05BB8">
        <w:rPr>
          <w:rFonts w:ascii="Verdana" w:hAnsi="Verdana"/>
          <w:sz w:val="16"/>
          <w:szCs w:val="16"/>
          <w:lang w:val="en-GB"/>
        </w:rPr>
        <w:t>Reuse is authorised provided the source is acknowledged.  The reuse policy of European Commission documents is regulated by Decision 2011/833/EU (OJ L 330, 14.12.2011, p. 39).</w:t>
      </w:r>
    </w:p>
    <w:p w14:paraId="56E0BF33" w14:textId="77777777" w:rsidR="00824FCF" w:rsidRPr="00F05BB8" w:rsidRDefault="00F05BB8" w:rsidP="00F05BB8">
      <w:pPr>
        <w:pStyle w:val="Heading"/>
        <w:rPr>
          <w:b w:val="0"/>
          <w:caps w:val="0"/>
          <w:sz w:val="16"/>
          <w:szCs w:val="16"/>
          <w:u w:val="none"/>
          <w:lang w:val="en-GB"/>
        </w:rPr>
      </w:pPr>
      <w:r w:rsidRPr="00F05BB8">
        <w:rPr>
          <w:b w:val="0"/>
          <w:caps w:val="0"/>
          <w:sz w:val="16"/>
          <w:szCs w:val="16"/>
          <w:u w:val="none"/>
          <w:lang w:val="en-GB"/>
        </w:rPr>
        <w:t>For any use or reproduction of photos or other material that is not under the copyright of the European Union (*), permission must be sought</w:t>
      </w:r>
      <w:r w:rsidRPr="00F05BB8">
        <w:rPr>
          <w:sz w:val="22"/>
          <w:szCs w:val="22"/>
          <w:u w:val="none"/>
          <w:lang w:val="en-GB"/>
        </w:rPr>
        <w:t xml:space="preserve"> </w:t>
      </w:r>
      <w:r w:rsidRPr="00F05BB8">
        <w:rPr>
          <w:b w:val="0"/>
          <w:caps w:val="0"/>
          <w:sz w:val="16"/>
          <w:szCs w:val="16"/>
          <w:u w:val="none"/>
          <w:lang w:val="en-GB"/>
        </w:rPr>
        <w:t>directly from the copyright holders.</w:t>
      </w:r>
    </w:p>
    <w:p w14:paraId="0713DEE6" w14:textId="77777777" w:rsidR="00F05BB8" w:rsidRDefault="00F05BB8">
      <w:pPr>
        <w:spacing w:after="0"/>
        <w:jc w:val="left"/>
        <w:rPr>
          <w:rFonts w:ascii="Verdana" w:hAnsi="Verdana"/>
          <w:b/>
          <w:caps/>
          <w:sz w:val="22"/>
          <w:szCs w:val="22"/>
          <w:lang w:val="en-GB"/>
        </w:rPr>
      </w:pPr>
      <w:r>
        <w:rPr>
          <w:sz w:val="22"/>
          <w:szCs w:val="22"/>
          <w:lang w:val="en-GB"/>
        </w:rPr>
        <w:br w:type="page"/>
      </w:r>
    </w:p>
    <w:p w14:paraId="205AC917" w14:textId="77777777" w:rsidR="00F05BB8" w:rsidRPr="00824FCF" w:rsidRDefault="00F05BB8" w:rsidP="00BE55E6">
      <w:pPr>
        <w:pStyle w:val="Heading"/>
        <w:rPr>
          <w:sz w:val="22"/>
          <w:szCs w:val="22"/>
          <w:u w:val="none"/>
          <w:lang w:val="en-GB"/>
        </w:rPr>
      </w:pPr>
    </w:p>
    <w:p w14:paraId="55E13F49" w14:textId="77777777" w:rsidR="00E132E6" w:rsidRDefault="00E132E6" w:rsidP="007B2DA6">
      <w:pPr>
        <w:pBdr>
          <w:top w:val="single" w:sz="4" w:space="1" w:color="auto"/>
          <w:left w:val="single" w:sz="4" w:space="1" w:color="auto"/>
          <w:bottom w:val="single" w:sz="4" w:space="1" w:color="auto"/>
          <w:right w:val="single" w:sz="4" w:space="1" w:color="auto"/>
        </w:pBdr>
        <w:spacing w:after="0"/>
        <w:jc w:val="center"/>
        <w:rPr>
          <w:rFonts w:ascii="Verdana" w:hAnsi="Verdana" w:cs="Arial"/>
          <w:b/>
          <w:szCs w:val="24"/>
          <w:lang w:val="en-GB"/>
        </w:rPr>
      </w:pPr>
      <w:r w:rsidRPr="00E132E6">
        <w:rPr>
          <w:rFonts w:ascii="Verdana" w:hAnsi="Verdana" w:cs="Arial"/>
          <w:b/>
          <w:szCs w:val="24"/>
          <w:lang w:val="en-GB"/>
        </w:rPr>
        <w:t>GETTING IN TOUCH WITH THE EU</w:t>
      </w:r>
    </w:p>
    <w:p w14:paraId="3D45BBBF" w14:textId="77777777" w:rsidR="005F5D31" w:rsidRPr="007B2DA6" w:rsidRDefault="005F5D31"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b/>
          <w:sz w:val="20"/>
          <w:lang w:val="en-GB"/>
        </w:rPr>
      </w:pPr>
      <w:r w:rsidRPr="007B2DA6">
        <w:rPr>
          <w:rFonts w:ascii="Verdana" w:hAnsi="Verdana" w:cs="Arial"/>
          <w:b/>
          <w:sz w:val="20"/>
          <w:lang w:val="en-GB"/>
        </w:rPr>
        <w:t>In person</w:t>
      </w:r>
    </w:p>
    <w:p w14:paraId="37405B44" w14:textId="77777777" w:rsidR="007B2DA6" w:rsidRDefault="005F5D31"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r w:rsidRPr="005F5D31">
        <w:rPr>
          <w:rFonts w:ascii="Verdana" w:hAnsi="Verdana" w:cs="Arial"/>
          <w:sz w:val="20"/>
          <w:lang w:val="en-GB"/>
        </w:rPr>
        <w:t>All over the European Union there are hundreds of Europe Direct information centres. You can find the address of the centre nearest you at:</w:t>
      </w:r>
      <w:r>
        <w:rPr>
          <w:rFonts w:ascii="Verdana" w:hAnsi="Verdana" w:cs="Arial"/>
          <w:sz w:val="20"/>
          <w:lang w:val="en-GB"/>
        </w:rPr>
        <w:t xml:space="preserve"> </w:t>
      </w:r>
      <w:hyperlink r:id="rId24" w:history="1">
        <w:r w:rsidR="007B2DA6" w:rsidRPr="00FC7894">
          <w:rPr>
            <w:rStyle w:val="Hyperlink"/>
            <w:rFonts w:ascii="Verdana" w:hAnsi="Verdana" w:cs="Arial"/>
            <w:sz w:val="20"/>
            <w:lang w:val="en-GB"/>
          </w:rPr>
          <w:t>https://europa.eu/european-union/contact_en</w:t>
        </w:r>
      </w:hyperlink>
    </w:p>
    <w:p w14:paraId="3AFA011E" w14:textId="77777777" w:rsidR="007B2DA6" w:rsidRDefault="007B2DA6"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p>
    <w:p w14:paraId="2409A555" w14:textId="77777777" w:rsidR="005F5D31" w:rsidRPr="007B2DA6" w:rsidRDefault="005F5D31"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b/>
          <w:sz w:val="20"/>
          <w:lang w:val="en-GB"/>
        </w:rPr>
      </w:pPr>
      <w:r w:rsidRPr="007B2DA6">
        <w:rPr>
          <w:rFonts w:ascii="Verdana" w:hAnsi="Verdana" w:cs="Arial"/>
          <w:b/>
          <w:sz w:val="20"/>
          <w:lang w:val="en-GB"/>
        </w:rPr>
        <w:t>On the phone or by email</w:t>
      </w:r>
    </w:p>
    <w:p w14:paraId="211861A8" w14:textId="77777777" w:rsidR="005F5D31" w:rsidRDefault="005F5D31"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r>
        <w:rPr>
          <w:rFonts w:ascii="Verdana" w:hAnsi="Verdana" w:cs="Arial"/>
          <w:sz w:val="20"/>
          <w:lang w:val="en-GB"/>
        </w:rPr>
        <w:t>Europe Direct is a service that answers your questions about the European Union. You can contact this service:</w:t>
      </w:r>
    </w:p>
    <w:p w14:paraId="3F673137" w14:textId="77777777" w:rsidR="005F5D31" w:rsidRDefault="005F5D31"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r>
        <w:rPr>
          <w:rFonts w:ascii="Verdana" w:hAnsi="Verdana" w:cs="Arial"/>
          <w:sz w:val="20"/>
          <w:lang w:val="en-GB"/>
        </w:rPr>
        <w:t>-</w:t>
      </w:r>
      <w:r w:rsidR="007B2DA6">
        <w:rPr>
          <w:rFonts w:ascii="Verdana" w:hAnsi="Verdana" w:cs="Arial"/>
          <w:sz w:val="20"/>
          <w:lang w:val="en-GB"/>
        </w:rPr>
        <w:t xml:space="preserve"> </w:t>
      </w:r>
      <w:r>
        <w:rPr>
          <w:rFonts w:ascii="Verdana" w:hAnsi="Verdana" w:cs="Arial"/>
          <w:sz w:val="20"/>
          <w:lang w:val="en-GB"/>
        </w:rPr>
        <w:t>by Freephone: 00 800 6 7 8 9 10 11 (certain operators may charge for these calls),</w:t>
      </w:r>
    </w:p>
    <w:p w14:paraId="74D7D3E2" w14:textId="77777777" w:rsidR="007B2DA6" w:rsidRDefault="007B2DA6"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r>
        <w:rPr>
          <w:rFonts w:ascii="Verdana" w:hAnsi="Verdana" w:cs="Arial"/>
          <w:sz w:val="20"/>
          <w:lang w:val="en-GB"/>
        </w:rPr>
        <w:t>- at the following standard number: +32 22999696, or</w:t>
      </w:r>
    </w:p>
    <w:p w14:paraId="16E87B31" w14:textId="77777777" w:rsidR="007B2DA6" w:rsidRPr="005F5D31" w:rsidRDefault="007B2DA6"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r>
        <w:rPr>
          <w:rFonts w:ascii="Verdana" w:hAnsi="Verdana" w:cs="Arial"/>
          <w:sz w:val="20"/>
          <w:lang w:val="en-GB"/>
        </w:rPr>
        <w:t xml:space="preserve">- by email via: </w:t>
      </w:r>
      <w:hyperlink r:id="rId25" w:history="1">
        <w:r w:rsidRPr="00FC7894">
          <w:rPr>
            <w:rStyle w:val="Hyperlink"/>
            <w:rFonts w:ascii="Verdana" w:hAnsi="Verdana" w:cs="Arial"/>
            <w:sz w:val="20"/>
            <w:lang w:val="en-GB"/>
          </w:rPr>
          <w:t>https://europa.eu/european-union/contact_en</w:t>
        </w:r>
      </w:hyperlink>
      <w:r>
        <w:rPr>
          <w:rFonts w:ascii="Verdana" w:hAnsi="Verdana" w:cs="Arial"/>
          <w:sz w:val="20"/>
          <w:lang w:val="en-GB"/>
        </w:rPr>
        <w:t xml:space="preserve"> </w:t>
      </w:r>
    </w:p>
    <w:p w14:paraId="6FCAC477" w14:textId="77777777" w:rsidR="005F5D31" w:rsidRPr="007B2DA6" w:rsidRDefault="005F5D31" w:rsidP="007B2DA6">
      <w:pPr>
        <w:pBdr>
          <w:top w:val="single" w:sz="4" w:space="1" w:color="auto"/>
          <w:left w:val="single" w:sz="4" w:space="1" w:color="auto"/>
          <w:bottom w:val="single" w:sz="4" w:space="1" w:color="auto"/>
          <w:right w:val="single" w:sz="4" w:space="1" w:color="auto"/>
        </w:pBdr>
        <w:spacing w:after="0"/>
        <w:jc w:val="center"/>
        <w:rPr>
          <w:rFonts w:ascii="Verdana" w:hAnsi="Verdana" w:cs="Arial"/>
          <w:b/>
          <w:szCs w:val="24"/>
          <w:lang w:val="en-GB"/>
        </w:rPr>
      </w:pPr>
    </w:p>
    <w:p w14:paraId="50DFF5E0" w14:textId="77777777" w:rsidR="00E132E6" w:rsidRPr="005F5D31" w:rsidRDefault="00E132E6" w:rsidP="007B2DA6">
      <w:pPr>
        <w:pBdr>
          <w:top w:val="single" w:sz="4" w:space="1" w:color="auto"/>
          <w:left w:val="single" w:sz="4" w:space="1" w:color="auto"/>
          <w:bottom w:val="single" w:sz="4" w:space="1" w:color="auto"/>
          <w:right w:val="single" w:sz="4" w:space="1" w:color="auto"/>
        </w:pBdr>
        <w:spacing w:after="0"/>
        <w:jc w:val="center"/>
        <w:rPr>
          <w:rFonts w:ascii="Verdana" w:hAnsi="Verdana" w:cs="Arial"/>
          <w:b/>
          <w:szCs w:val="24"/>
          <w:lang w:val="en-GB"/>
        </w:rPr>
      </w:pPr>
      <w:r w:rsidRPr="005F5D31">
        <w:rPr>
          <w:rFonts w:ascii="Verdana" w:hAnsi="Verdana" w:cs="Arial"/>
          <w:b/>
          <w:szCs w:val="24"/>
          <w:lang w:val="en-GB"/>
        </w:rPr>
        <w:t>FINDING INFORMATION ABOUT THE EU</w:t>
      </w:r>
    </w:p>
    <w:p w14:paraId="3AE87AE7" w14:textId="77777777" w:rsidR="00E132E6" w:rsidRPr="007B2DA6" w:rsidRDefault="00E132E6" w:rsidP="007B2DA6">
      <w:pPr>
        <w:pBdr>
          <w:top w:val="single" w:sz="4" w:space="1" w:color="auto"/>
          <w:left w:val="single" w:sz="4" w:space="1" w:color="auto"/>
          <w:bottom w:val="single" w:sz="4" w:space="1" w:color="auto"/>
          <w:right w:val="single" w:sz="4" w:space="1" w:color="auto"/>
        </w:pBdr>
        <w:spacing w:after="0"/>
        <w:rPr>
          <w:rFonts w:ascii="Verdana" w:hAnsi="Verdana" w:cs="Arial"/>
          <w:b/>
          <w:color w:val="000000"/>
          <w:sz w:val="20"/>
          <w:lang w:val="en-GB"/>
        </w:rPr>
      </w:pPr>
      <w:r w:rsidRPr="007B2DA6">
        <w:rPr>
          <w:rFonts w:ascii="Verdana" w:hAnsi="Verdana" w:cs="Arial"/>
          <w:b/>
          <w:color w:val="000000"/>
          <w:sz w:val="20"/>
          <w:lang w:val="en-GB"/>
        </w:rPr>
        <w:t>Online</w:t>
      </w:r>
    </w:p>
    <w:p w14:paraId="03BFB24F" w14:textId="77777777" w:rsidR="00E132E6" w:rsidRDefault="00E132E6"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r w:rsidRPr="007B2DA6">
        <w:rPr>
          <w:rFonts w:ascii="Verdana" w:hAnsi="Verdana" w:cs="Arial"/>
          <w:sz w:val="20"/>
          <w:lang w:val="en-GB"/>
        </w:rPr>
        <w:t>Information about the European Union in all the official languages of the EU is available on</w:t>
      </w:r>
      <w:r w:rsidR="007B2DA6">
        <w:rPr>
          <w:rFonts w:ascii="Verdana" w:hAnsi="Verdana" w:cs="Arial"/>
          <w:sz w:val="20"/>
          <w:lang w:val="en-GB"/>
        </w:rPr>
        <w:t xml:space="preserve"> </w:t>
      </w:r>
      <w:r w:rsidRPr="007B2DA6">
        <w:rPr>
          <w:rFonts w:ascii="Verdana" w:hAnsi="Verdana" w:cs="Arial"/>
          <w:sz w:val="20"/>
          <w:lang w:val="en-GB"/>
        </w:rPr>
        <w:t xml:space="preserve">the Europa website at: </w:t>
      </w:r>
      <w:hyperlink r:id="rId26" w:history="1">
        <w:r w:rsidR="007B2DA6" w:rsidRPr="00FC7894">
          <w:rPr>
            <w:rStyle w:val="Hyperlink"/>
            <w:rFonts w:ascii="Verdana" w:hAnsi="Verdana" w:cs="Arial"/>
            <w:sz w:val="20"/>
            <w:lang w:val="en-GB"/>
          </w:rPr>
          <w:t>https://europa.eu/european-union/index_en</w:t>
        </w:r>
      </w:hyperlink>
    </w:p>
    <w:p w14:paraId="6C2831A0" w14:textId="77777777" w:rsidR="007B2DA6" w:rsidRPr="007B2DA6" w:rsidRDefault="007B2DA6"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p>
    <w:p w14:paraId="5D04B86A" w14:textId="77777777" w:rsidR="00E132E6" w:rsidRPr="007B2DA6" w:rsidRDefault="00E132E6" w:rsidP="007B2DA6">
      <w:pPr>
        <w:pBdr>
          <w:top w:val="single" w:sz="4" w:space="1" w:color="auto"/>
          <w:left w:val="single" w:sz="4" w:space="1" w:color="auto"/>
          <w:bottom w:val="single" w:sz="4" w:space="1" w:color="auto"/>
          <w:right w:val="single" w:sz="4" w:space="1" w:color="auto"/>
        </w:pBdr>
        <w:spacing w:after="0"/>
        <w:rPr>
          <w:rFonts w:ascii="Verdana" w:hAnsi="Verdana" w:cs="Arial"/>
          <w:b/>
          <w:color w:val="000000"/>
          <w:sz w:val="20"/>
          <w:lang w:val="en-GB"/>
        </w:rPr>
      </w:pPr>
      <w:r w:rsidRPr="007B2DA6">
        <w:rPr>
          <w:rFonts w:ascii="Verdana" w:hAnsi="Verdana" w:cs="Arial"/>
          <w:b/>
          <w:color w:val="000000"/>
          <w:sz w:val="20"/>
          <w:lang w:val="en-GB"/>
        </w:rPr>
        <w:t>EU publications</w:t>
      </w:r>
    </w:p>
    <w:p w14:paraId="1923ACED" w14:textId="77777777" w:rsidR="00E132E6" w:rsidRPr="007B2DA6" w:rsidRDefault="00E132E6"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r w:rsidRPr="007B2DA6">
        <w:rPr>
          <w:rFonts w:ascii="Verdana" w:hAnsi="Verdana" w:cs="Arial"/>
          <w:sz w:val="20"/>
          <w:lang w:val="en-GB"/>
        </w:rPr>
        <w:t>You can download or order free and priced EU publications from:</w:t>
      </w:r>
    </w:p>
    <w:p w14:paraId="08ADC197" w14:textId="77777777" w:rsidR="00E132E6" w:rsidRPr="007B2DA6" w:rsidRDefault="00E132E6" w:rsidP="007B2DA6">
      <w:pPr>
        <w:pBdr>
          <w:top w:val="single" w:sz="4" w:space="1" w:color="auto"/>
          <w:left w:val="single" w:sz="4" w:space="1" w:color="auto"/>
          <w:bottom w:val="single" w:sz="4" w:space="1" w:color="auto"/>
          <w:right w:val="single" w:sz="4" w:space="1" w:color="auto"/>
        </w:pBdr>
        <w:spacing w:after="0"/>
        <w:jc w:val="left"/>
        <w:rPr>
          <w:rFonts w:ascii="Verdana" w:hAnsi="Verdana" w:cs="Arial"/>
          <w:sz w:val="20"/>
          <w:lang w:val="en-GB"/>
        </w:rPr>
      </w:pPr>
      <w:r w:rsidRPr="007B2DA6">
        <w:rPr>
          <w:rFonts w:ascii="Verdana" w:hAnsi="Verdana" w:cs="Arial"/>
          <w:sz w:val="20"/>
          <w:lang w:val="en-GB"/>
        </w:rPr>
        <w:t>https://publications.europa.eu/en/publications. Multiple copies of free publications may be</w:t>
      </w:r>
      <w:r w:rsidR="007B2DA6">
        <w:rPr>
          <w:rFonts w:ascii="Verdana" w:hAnsi="Verdana" w:cs="Arial"/>
          <w:sz w:val="20"/>
          <w:lang w:val="en-GB"/>
        </w:rPr>
        <w:t xml:space="preserve"> </w:t>
      </w:r>
      <w:r w:rsidRPr="007B2DA6">
        <w:rPr>
          <w:rFonts w:ascii="Verdana" w:hAnsi="Verdana" w:cs="Arial"/>
          <w:sz w:val="20"/>
          <w:lang w:val="en-GB"/>
        </w:rPr>
        <w:t>obtained by contacting Europe Direct or your local information centre (see</w:t>
      </w:r>
      <w:r w:rsidR="007B2DA6">
        <w:rPr>
          <w:rFonts w:ascii="Verdana" w:hAnsi="Verdana" w:cs="Arial"/>
          <w:sz w:val="20"/>
          <w:lang w:val="en-GB"/>
        </w:rPr>
        <w:t xml:space="preserve"> </w:t>
      </w:r>
      <w:hyperlink r:id="rId27" w:history="1">
        <w:r w:rsidR="007B2DA6" w:rsidRPr="00FC7894">
          <w:rPr>
            <w:rStyle w:val="Hyperlink"/>
            <w:rFonts w:ascii="Verdana" w:hAnsi="Verdana" w:cs="Arial"/>
            <w:sz w:val="20"/>
            <w:lang w:val="en-GB"/>
          </w:rPr>
          <w:t>https://europa.eu/european-union/contact_en</w:t>
        </w:r>
      </w:hyperlink>
      <w:r w:rsidR="007B2DA6">
        <w:rPr>
          <w:rFonts w:ascii="Verdana" w:hAnsi="Verdana" w:cs="Arial"/>
          <w:sz w:val="20"/>
          <w:lang w:val="en-GB"/>
        </w:rPr>
        <w:t xml:space="preserve"> </w:t>
      </w:r>
      <w:r w:rsidRPr="007B2DA6">
        <w:rPr>
          <w:rFonts w:ascii="Verdana" w:hAnsi="Verdana" w:cs="Arial"/>
          <w:sz w:val="20"/>
          <w:lang w:val="en-GB"/>
        </w:rPr>
        <w:t>).</w:t>
      </w:r>
    </w:p>
    <w:p w14:paraId="0CE867E5" w14:textId="77777777" w:rsidR="007B2DA6" w:rsidRDefault="007B2DA6" w:rsidP="007B2DA6">
      <w:pPr>
        <w:pBdr>
          <w:top w:val="single" w:sz="4" w:space="1" w:color="auto"/>
          <w:left w:val="single" w:sz="4" w:space="1" w:color="auto"/>
          <w:bottom w:val="single" w:sz="4" w:space="1" w:color="auto"/>
          <w:right w:val="single" w:sz="4" w:space="1" w:color="auto"/>
        </w:pBdr>
        <w:spacing w:after="0"/>
        <w:rPr>
          <w:rFonts w:ascii="Verdana" w:hAnsi="Verdana" w:cs="Arial"/>
          <w:b/>
          <w:color w:val="000000"/>
          <w:sz w:val="20"/>
          <w:lang w:val="en-GB"/>
        </w:rPr>
      </w:pPr>
    </w:p>
    <w:p w14:paraId="4AE66BD8" w14:textId="77777777" w:rsidR="00E132E6" w:rsidRPr="007B2DA6" w:rsidRDefault="00E132E6" w:rsidP="007B2DA6">
      <w:pPr>
        <w:pBdr>
          <w:top w:val="single" w:sz="4" w:space="1" w:color="auto"/>
          <w:left w:val="single" w:sz="4" w:space="1" w:color="auto"/>
          <w:bottom w:val="single" w:sz="4" w:space="1" w:color="auto"/>
          <w:right w:val="single" w:sz="4" w:space="1" w:color="auto"/>
        </w:pBdr>
        <w:spacing w:after="0"/>
        <w:rPr>
          <w:rFonts w:ascii="Verdana" w:hAnsi="Verdana" w:cs="Arial"/>
          <w:b/>
          <w:color w:val="000000"/>
          <w:sz w:val="20"/>
          <w:lang w:val="en-GB"/>
        </w:rPr>
      </w:pPr>
      <w:r w:rsidRPr="007B2DA6">
        <w:rPr>
          <w:rFonts w:ascii="Verdana" w:hAnsi="Verdana" w:cs="Arial"/>
          <w:b/>
          <w:color w:val="000000"/>
          <w:sz w:val="20"/>
          <w:lang w:val="en-GB"/>
        </w:rPr>
        <w:t>EU law and related documents</w:t>
      </w:r>
    </w:p>
    <w:p w14:paraId="04C42B64" w14:textId="77777777" w:rsidR="00E132E6" w:rsidRPr="007B2DA6" w:rsidRDefault="00E132E6" w:rsidP="007B2DA6">
      <w:pPr>
        <w:pBdr>
          <w:top w:val="single" w:sz="4" w:space="1" w:color="auto"/>
          <w:left w:val="single" w:sz="4" w:space="1" w:color="auto"/>
          <w:bottom w:val="single" w:sz="4" w:space="1" w:color="auto"/>
          <w:right w:val="single" w:sz="4" w:space="1" w:color="auto"/>
        </w:pBdr>
        <w:autoSpaceDE w:val="0"/>
        <w:autoSpaceDN w:val="0"/>
        <w:adjustRightInd w:val="0"/>
        <w:spacing w:after="0"/>
        <w:jc w:val="left"/>
        <w:rPr>
          <w:rFonts w:ascii="Verdana" w:hAnsi="Verdana" w:cs="ECSquareSansProMedium"/>
          <w:color w:val="000000"/>
          <w:sz w:val="20"/>
          <w:lang w:val="en-GB" w:eastAsia="nl-BE"/>
        </w:rPr>
      </w:pPr>
      <w:r w:rsidRPr="007B2DA6">
        <w:rPr>
          <w:rFonts w:ascii="Verdana" w:hAnsi="Verdana" w:cs="ECSquareSansProMedium"/>
          <w:color w:val="000000"/>
          <w:sz w:val="20"/>
          <w:lang w:val="en-GB" w:eastAsia="nl-BE"/>
        </w:rPr>
        <w:t>For access to legal information from the EU, including all EU law since 1952 in all the official</w:t>
      </w:r>
      <w:r w:rsidR="007B2DA6">
        <w:rPr>
          <w:rFonts w:ascii="Verdana" w:hAnsi="Verdana" w:cs="ECSquareSansProMedium"/>
          <w:color w:val="000000"/>
          <w:sz w:val="20"/>
          <w:lang w:val="en-GB" w:eastAsia="nl-BE"/>
        </w:rPr>
        <w:t xml:space="preserve"> </w:t>
      </w:r>
      <w:r w:rsidRPr="007B2DA6">
        <w:rPr>
          <w:rFonts w:ascii="Verdana" w:hAnsi="Verdana" w:cs="ECSquareSansProMedium"/>
          <w:color w:val="000000"/>
          <w:sz w:val="20"/>
          <w:lang w:val="en-GB" w:eastAsia="nl-BE"/>
        </w:rPr>
        <w:t xml:space="preserve">language versions, go to EUR-Lex at: </w:t>
      </w:r>
      <w:hyperlink r:id="rId28" w:history="1">
        <w:r w:rsidR="007B2DA6" w:rsidRPr="00FC7894">
          <w:rPr>
            <w:rStyle w:val="Hyperlink"/>
            <w:rFonts w:ascii="Verdana" w:hAnsi="Verdana" w:cs="ECSquareSansProMedium"/>
            <w:sz w:val="20"/>
            <w:lang w:val="en-GB" w:eastAsia="nl-BE"/>
          </w:rPr>
          <w:t>http://eur-lex.europa.eu</w:t>
        </w:r>
      </w:hyperlink>
      <w:r w:rsidR="007B2DA6">
        <w:rPr>
          <w:rFonts w:ascii="Verdana" w:hAnsi="Verdana" w:cs="ECSquareSansProMedium"/>
          <w:color w:val="000000"/>
          <w:sz w:val="20"/>
          <w:lang w:val="en-GB" w:eastAsia="nl-BE"/>
        </w:rPr>
        <w:t xml:space="preserve"> </w:t>
      </w:r>
    </w:p>
    <w:p w14:paraId="74C160B5" w14:textId="77777777" w:rsidR="007B2DA6" w:rsidRDefault="007B2DA6" w:rsidP="007B2DA6">
      <w:pPr>
        <w:pBdr>
          <w:top w:val="single" w:sz="4" w:space="1" w:color="auto"/>
          <w:left w:val="single" w:sz="4" w:space="1" w:color="auto"/>
          <w:bottom w:val="single" w:sz="4" w:space="1" w:color="auto"/>
          <w:right w:val="single" w:sz="4" w:space="1" w:color="auto"/>
        </w:pBdr>
        <w:spacing w:after="0"/>
        <w:rPr>
          <w:rFonts w:ascii="Verdana" w:hAnsi="Verdana" w:cs="Arial"/>
          <w:b/>
          <w:color w:val="000000"/>
          <w:sz w:val="20"/>
          <w:lang w:val="en-GB"/>
        </w:rPr>
      </w:pPr>
    </w:p>
    <w:p w14:paraId="39A8079A" w14:textId="77777777" w:rsidR="00E132E6" w:rsidRPr="007B2DA6" w:rsidRDefault="00E132E6" w:rsidP="007B2DA6">
      <w:pPr>
        <w:pBdr>
          <w:top w:val="single" w:sz="4" w:space="1" w:color="auto"/>
          <w:left w:val="single" w:sz="4" w:space="1" w:color="auto"/>
          <w:bottom w:val="single" w:sz="4" w:space="1" w:color="auto"/>
          <w:right w:val="single" w:sz="4" w:space="1" w:color="auto"/>
        </w:pBdr>
        <w:spacing w:after="0"/>
        <w:rPr>
          <w:rFonts w:ascii="Verdana" w:hAnsi="Verdana" w:cs="Arial"/>
          <w:b/>
          <w:color w:val="000000"/>
          <w:sz w:val="20"/>
          <w:lang w:val="en-GB"/>
        </w:rPr>
      </w:pPr>
      <w:r w:rsidRPr="007B2DA6">
        <w:rPr>
          <w:rFonts w:ascii="Verdana" w:hAnsi="Verdana" w:cs="Arial"/>
          <w:b/>
          <w:color w:val="000000"/>
          <w:sz w:val="20"/>
          <w:lang w:val="en-GB"/>
        </w:rPr>
        <w:t>Open data from the EU</w:t>
      </w:r>
    </w:p>
    <w:p w14:paraId="7E385E8E" w14:textId="77777777" w:rsidR="00E132E6" w:rsidRDefault="00E132E6" w:rsidP="007B2DA6">
      <w:pPr>
        <w:pBdr>
          <w:top w:val="single" w:sz="4" w:space="1" w:color="auto"/>
          <w:left w:val="single" w:sz="4" w:space="1" w:color="auto"/>
          <w:bottom w:val="single" w:sz="4" w:space="1" w:color="auto"/>
          <w:right w:val="single" w:sz="4" w:space="1" w:color="auto"/>
        </w:pBdr>
        <w:autoSpaceDE w:val="0"/>
        <w:autoSpaceDN w:val="0"/>
        <w:adjustRightInd w:val="0"/>
        <w:spacing w:after="0"/>
        <w:jc w:val="left"/>
        <w:rPr>
          <w:rFonts w:ascii="Verdana" w:hAnsi="Verdana" w:cs="ECSquareSansProMedium"/>
          <w:color w:val="000000"/>
          <w:sz w:val="20"/>
          <w:lang w:val="en-GB" w:eastAsia="nl-BE"/>
        </w:rPr>
      </w:pPr>
      <w:r w:rsidRPr="007B2DA6">
        <w:rPr>
          <w:rFonts w:ascii="Verdana" w:hAnsi="Verdana" w:cs="ECSquareSansProMedium"/>
          <w:color w:val="000000"/>
          <w:sz w:val="20"/>
          <w:lang w:val="en-GB" w:eastAsia="nl-BE"/>
        </w:rPr>
        <w:t>The EU Open Data Portal (http://data.europa.eu/euodp/en) provides access to datasets from</w:t>
      </w:r>
      <w:r w:rsidR="007B2DA6">
        <w:rPr>
          <w:rFonts w:ascii="Verdana" w:hAnsi="Verdana" w:cs="ECSquareSansProMedium"/>
          <w:color w:val="000000"/>
          <w:sz w:val="20"/>
          <w:lang w:val="en-GB" w:eastAsia="nl-BE"/>
        </w:rPr>
        <w:t xml:space="preserve"> </w:t>
      </w:r>
      <w:r w:rsidRPr="007B2DA6">
        <w:rPr>
          <w:rFonts w:ascii="Verdana" w:hAnsi="Verdana" w:cs="ECSquareSansProMedium"/>
          <w:color w:val="000000"/>
          <w:sz w:val="20"/>
          <w:lang w:val="en-GB" w:eastAsia="nl-BE"/>
        </w:rPr>
        <w:t xml:space="preserve">the EU. Data can be downloaded and reused for free, for both commercial and </w:t>
      </w:r>
      <w:r w:rsidR="007B2DA6">
        <w:rPr>
          <w:rFonts w:ascii="Verdana" w:hAnsi="Verdana" w:cs="ECSquareSansProMedium"/>
          <w:color w:val="000000"/>
          <w:sz w:val="20"/>
          <w:lang w:val="en-GB" w:eastAsia="nl-BE"/>
        </w:rPr>
        <w:t xml:space="preserve">non-commercial </w:t>
      </w:r>
      <w:r w:rsidRPr="007B2DA6">
        <w:rPr>
          <w:rFonts w:ascii="Verdana" w:hAnsi="Verdana" w:cs="ECSquareSansProMedium"/>
          <w:color w:val="000000"/>
          <w:sz w:val="20"/>
          <w:lang w:val="en-GB" w:eastAsia="nl-BE"/>
        </w:rPr>
        <w:t>purposes.</w:t>
      </w:r>
    </w:p>
    <w:p w14:paraId="539075F4" w14:textId="77777777" w:rsidR="007B2DA6" w:rsidRPr="007B2DA6" w:rsidRDefault="007B2DA6" w:rsidP="003B304A">
      <w:pPr>
        <w:pStyle w:val="Body"/>
        <w:rPr>
          <w:lang w:val="en-GB" w:eastAsia="nl-BE"/>
        </w:rPr>
      </w:pPr>
    </w:p>
    <w:p w14:paraId="680A01F5" w14:textId="3E38BE99" w:rsidR="00213AE8" w:rsidRDefault="00213AE8" w:rsidP="003B304A">
      <w:pPr>
        <w:pStyle w:val="Body"/>
        <w:rPr>
          <w:lang w:val="en-GB"/>
        </w:rPr>
      </w:pPr>
    </w:p>
    <w:p w14:paraId="21F4D717" w14:textId="2BC1EE91" w:rsidR="0037757F" w:rsidRDefault="0037757F" w:rsidP="003B304A">
      <w:pPr>
        <w:pStyle w:val="Body"/>
        <w:rPr>
          <w:lang w:val="en-GB"/>
        </w:rPr>
      </w:pPr>
      <w:r>
        <w:rPr>
          <w:lang w:val="en-GB"/>
        </w:rPr>
        <w:br w:type="page"/>
      </w:r>
    </w:p>
    <w:p w14:paraId="49EA08DE" w14:textId="010BF5C1" w:rsidR="0037757F" w:rsidRPr="000F4A43" w:rsidRDefault="000E3F61" w:rsidP="009E7520">
      <w:pPr>
        <w:pStyle w:val="Heading1"/>
        <w:numPr>
          <w:ilvl w:val="0"/>
          <w:numId w:val="0"/>
        </w:numPr>
        <w:ind w:left="480"/>
        <w:rPr>
          <w:lang w:val="en-US"/>
        </w:rPr>
      </w:pPr>
      <w:bookmarkStart w:id="1" w:name="_Toc62825928"/>
      <w:r w:rsidRPr="000F4A43">
        <w:rPr>
          <w:lang w:val="en-US"/>
        </w:rPr>
        <w:t>Executive summary</w:t>
      </w:r>
      <w:bookmarkEnd w:id="1"/>
    </w:p>
    <w:p w14:paraId="35D96E9E" w14:textId="77777777" w:rsidR="003F0556" w:rsidRPr="003F0556" w:rsidRDefault="003F0556" w:rsidP="003F0556">
      <w:pPr>
        <w:pStyle w:val="Body"/>
        <w:rPr>
          <w:rFonts w:eastAsia="Calibri"/>
          <w:lang w:val="en-US"/>
        </w:rPr>
      </w:pPr>
      <w:r w:rsidRPr="003F0556">
        <w:rPr>
          <w:lang w:val="en-US"/>
        </w:rPr>
        <w:t xml:space="preserve">The European Commission (EC) has launched a </w:t>
      </w:r>
      <w:r w:rsidRPr="003F0556">
        <w:rPr>
          <w:b/>
          <w:bCs/>
          <w:lang w:val="en-US"/>
        </w:rPr>
        <w:t>study for strengthening the knowledge base on costs and investments</w:t>
      </w:r>
      <w:r w:rsidRPr="003F0556">
        <w:rPr>
          <w:lang w:val="en-US"/>
        </w:rPr>
        <w:t xml:space="preserve"> (the demand for financial resources) </w:t>
      </w:r>
      <w:r w:rsidRPr="003F0556">
        <w:rPr>
          <w:b/>
          <w:bCs/>
          <w:lang w:val="en-US"/>
        </w:rPr>
        <w:t>and on financing mechanisms</w:t>
      </w:r>
      <w:r w:rsidRPr="003F0556">
        <w:rPr>
          <w:lang w:val="en-US"/>
        </w:rPr>
        <w:t xml:space="preserve"> (the supply of financial resources) that support the implementation of EU water policy. The objective of the study is to provide a </w:t>
      </w:r>
      <w:r w:rsidRPr="003F0556">
        <w:rPr>
          <w:b/>
          <w:bCs/>
          <w:lang w:val="en-US"/>
        </w:rPr>
        <w:t>comprehensive overview of publicly available economic data</w:t>
      </w:r>
      <w:r w:rsidRPr="003F0556">
        <w:rPr>
          <w:lang w:val="en-US"/>
        </w:rPr>
        <w:t xml:space="preserve"> related to the implementation and financing of the Water Framework Directive (WFD) and the Floods Directive (FD), highlighting, and to identify knowledge gaps that need to be filled for supporting informed financing and investment decisions in the water sector in Europe. The study builds in particular on: MS reporting; (socio-economic) studies carried to support the implementation of the two directives; available (including scientific) literature; feedbacks from </w:t>
      </w:r>
      <w:r w:rsidRPr="003F0556">
        <w:rPr>
          <w:rFonts w:cs="Segoe UI"/>
          <w:lang w:val="en-US"/>
        </w:rPr>
        <w:t xml:space="preserve">Member States representatives and experts/economists (before, during and after a (virtual) workshop organised in Brussels on October 6, 2020). </w:t>
      </w:r>
      <w:r w:rsidRPr="003F0556">
        <w:rPr>
          <w:rFonts w:eastAsia="Calibri"/>
          <w:lang w:val="en-US"/>
        </w:rPr>
        <w:t xml:space="preserve"> </w:t>
      </w:r>
    </w:p>
    <w:p w14:paraId="717575AB" w14:textId="77777777" w:rsidR="003F0556" w:rsidRPr="003F0556" w:rsidRDefault="003F0556" w:rsidP="003F0556">
      <w:pPr>
        <w:pStyle w:val="Body"/>
        <w:rPr>
          <w:lang w:val="en-US"/>
        </w:rPr>
      </w:pPr>
      <w:r w:rsidRPr="003F0556">
        <w:rPr>
          <w:rFonts w:eastAsia="Calibri"/>
          <w:lang w:val="en-US"/>
        </w:rPr>
        <w:t xml:space="preserve">Available evidence stresses that the </w:t>
      </w:r>
      <w:r w:rsidRPr="003F0556">
        <w:rPr>
          <w:b/>
          <w:lang w:val="en-US"/>
        </w:rPr>
        <w:t>costs of achieving the environmental objectives of the WFD (i.e. good status</w:t>
      </w:r>
      <w:r w:rsidRPr="003F0556">
        <w:rPr>
          <w:lang w:val="en-US"/>
        </w:rPr>
        <w:t xml:space="preserve"> for all water bodies in Europe) are significant. In total, </w:t>
      </w:r>
      <w:r w:rsidRPr="003F0556">
        <w:rPr>
          <w:b/>
          <w:lang w:val="en-US"/>
        </w:rPr>
        <w:t xml:space="preserve">capital investment costs of the measures </w:t>
      </w:r>
      <w:r w:rsidRPr="003F0556">
        <w:rPr>
          <w:lang w:val="en-US"/>
        </w:rPr>
        <w:t>planned in the 2</w:t>
      </w:r>
      <w:r w:rsidRPr="003F0556">
        <w:rPr>
          <w:vertAlign w:val="superscript"/>
          <w:lang w:val="en-US"/>
        </w:rPr>
        <w:t>nd</w:t>
      </w:r>
      <w:r w:rsidRPr="003F0556">
        <w:rPr>
          <w:lang w:val="en-US"/>
        </w:rPr>
        <w:t xml:space="preserve"> RBMPs</w:t>
      </w:r>
      <w:r w:rsidRPr="003F0556">
        <w:rPr>
          <w:b/>
          <w:lang w:val="en-US"/>
        </w:rPr>
        <w:t xml:space="preserve"> of the WFD reach at least EUR 130 billion</w:t>
      </w:r>
      <w:r w:rsidRPr="003F0556">
        <w:rPr>
          <w:lang w:val="en-US"/>
        </w:rPr>
        <w:t xml:space="preserve">. However, the </w:t>
      </w:r>
      <w:r w:rsidRPr="003F0556">
        <w:rPr>
          <w:b/>
          <w:lang w:val="en-US"/>
        </w:rPr>
        <w:t>knowledge base on costs of planned measures is</w:t>
      </w:r>
      <w:r w:rsidRPr="003F0556">
        <w:rPr>
          <w:lang w:val="en-US"/>
        </w:rPr>
        <w:t xml:space="preserve"> </w:t>
      </w:r>
      <w:r w:rsidRPr="003F0556">
        <w:rPr>
          <w:b/>
          <w:lang w:val="en-US"/>
        </w:rPr>
        <w:t>heterogeneous and incomplete</w:t>
      </w:r>
      <w:r w:rsidRPr="003F0556">
        <w:rPr>
          <w:lang w:val="en-US"/>
        </w:rPr>
        <w:t xml:space="preserve"> with cost estimates being partial, covering capital investment costs with no corresponding estimates of annual operational and maintenance costs in many countries; available for some </w:t>
      </w:r>
      <w:r w:rsidRPr="003F0556">
        <w:rPr>
          <w:iCs/>
          <w:lang w:val="en-US"/>
        </w:rPr>
        <w:t xml:space="preserve">measures, some areas or some sectors </w:t>
      </w:r>
      <w:r w:rsidRPr="003F0556">
        <w:rPr>
          <w:lang w:val="en-US"/>
        </w:rPr>
        <w:t xml:space="preserve">only depending on countries. In general, the knowledge base across countries is stronger for the costs of supplementary measures (capital investment and operational and maintenance costs) in comparison to the costs of basic measures, partly as a result of costs been assessed only for measures for which funding needs to be sourced. Finally, the majority of countries assess costs of measures proposed in a given PoM, with a </w:t>
      </w:r>
      <w:r w:rsidRPr="003F0556">
        <w:rPr>
          <w:b/>
          <w:lang w:val="en-US"/>
        </w:rPr>
        <w:t>few countries only assess the total costs of achieving water policy goals</w:t>
      </w:r>
      <w:r w:rsidRPr="003F0556">
        <w:rPr>
          <w:lang w:val="en-US"/>
        </w:rPr>
        <w:t xml:space="preserve">.. This limits countries capacity to support long-term financing strategies in relation to the implementation of the WFD. </w:t>
      </w:r>
    </w:p>
    <w:p w14:paraId="42300BE5" w14:textId="77777777" w:rsidR="003F0556" w:rsidRPr="003F0556" w:rsidRDefault="003F0556" w:rsidP="003F0556">
      <w:pPr>
        <w:pStyle w:val="Body"/>
        <w:rPr>
          <w:lang w:val="en-US"/>
        </w:rPr>
      </w:pPr>
      <w:r w:rsidRPr="003F0556">
        <w:rPr>
          <w:lang w:val="en-US"/>
        </w:rPr>
        <w:t xml:space="preserve">In order to identify the set of planned measures, Member States are using </w:t>
      </w:r>
      <w:r w:rsidRPr="003F0556">
        <w:rPr>
          <w:b/>
          <w:lang w:val="en-US"/>
        </w:rPr>
        <w:t>economic appraisal methods</w:t>
      </w:r>
      <w:r w:rsidRPr="003F0556">
        <w:rPr>
          <w:lang w:val="en-US"/>
        </w:rPr>
        <w:t>. The WFD stipulates that Programmes of Measures need to include a cost-effective set of measures. While most countries employ Cost-Effectiveness Analysis (CEA) of planned measures, in many instances, the analysis is applied to a sub-set of measures and in combination with qualitative appraisals. Furthermore, an integrated assessment of different types of measures is rarely applied with CEA largely focusing on pollution mitigation measures and fully fledged Cost-Benefit Analysis rarely used by countries.</w:t>
      </w:r>
    </w:p>
    <w:p w14:paraId="484523E3" w14:textId="77777777" w:rsidR="003F0556" w:rsidRPr="003F0556" w:rsidRDefault="003F0556" w:rsidP="003F0556">
      <w:pPr>
        <w:pStyle w:val="Body"/>
        <w:rPr>
          <w:lang w:val="en-US"/>
        </w:rPr>
      </w:pPr>
      <w:r w:rsidRPr="003F0556">
        <w:rPr>
          <w:lang w:val="en-US"/>
        </w:rPr>
        <w:t xml:space="preserve">In the </w:t>
      </w:r>
      <w:r w:rsidRPr="003F0556">
        <w:rPr>
          <w:b/>
          <w:bCs/>
          <w:lang w:val="en-US"/>
        </w:rPr>
        <w:t>context of flooding</w:t>
      </w:r>
      <w:r w:rsidRPr="003F0556">
        <w:rPr>
          <w:lang w:val="en-US"/>
        </w:rPr>
        <w:t xml:space="preserve">, the formulation of flood risk management objectives is heterogeneous across countries and concerns the quantification of flood risk levels, areas, impacts targeted, measure types, and coordination. Generally, objectives are not </w:t>
      </w:r>
      <w:r w:rsidRPr="003F0556">
        <w:rPr>
          <w:b/>
          <w:bCs/>
          <w:lang w:val="en-US"/>
        </w:rPr>
        <w:t>quantified and measurable</w:t>
      </w:r>
      <w:r w:rsidRPr="003F0556">
        <w:rPr>
          <w:lang w:val="en-US"/>
        </w:rPr>
        <w:t xml:space="preserve"> hindering the estimation of the level of effort, the linking to measures, and the estimation of costs and the cost-effectiveness of measures. Measures aiming to reduce the adverse consequences for human health, the environment, cultural heritage and economic activity associated with floods have been put in place in the national FRMPs necessitating substantial capital investment and maintenance costs. </w:t>
      </w:r>
      <w:r w:rsidRPr="003F0556">
        <w:rPr>
          <w:b/>
          <w:bCs/>
          <w:lang w:val="en-US"/>
        </w:rPr>
        <w:t>Total flood risk mitigation costs</w:t>
      </w:r>
      <w:r w:rsidRPr="003F0556">
        <w:rPr>
          <w:lang w:val="en-US"/>
        </w:rPr>
        <w:t xml:space="preserve"> planned in the 1</w:t>
      </w:r>
      <w:r w:rsidRPr="003F0556">
        <w:rPr>
          <w:vertAlign w:val="superscript"/>
          <w:lang w:val="en-US"/>
        </w:rPr>
        <w:t>st</w:t>
      </w:r>
      <w:r w:rsidRPr="003F0556">
        <w:rPr>
          <w:lang w:val="en-US"/>
        </w:rPr>
        <w:t xml:space="preserve"> FRMPs reach at least </w:t>
      </w:r>
      <w:r w:rsidRPr="003F0556">
        <w:rPr>
          <w:b/>
          <w:bCs/>
          <w:lang w:val="en-US"/>
        </w:rPr>
        <w:t>EUR 14 billion</w:t>
      </w:r>
      <w:r w:rsidRPr="003F0556">
        <w:rPr>
          <w:lang w:val="en-US"/>
        </w:rPr>
        <w:t>, but these figures should be interpreted with caution as the knowledge base on costs is heterogeneous and incomplete. Not all countries report costs in 1</w:t>
      </w:r>
      <w:r w:rsidRPr="003F0556">
        <w:rPr>
          <w:vertAlign w:val="superscript"/>
          <w:lang w:val="en-US"/>
        </w:rPr>
        <w:t>st</w:t>
      </w:r>
      <w:r w:rsidRPr="003F0556">
        <w:rPr>
          <w:lang w:val="en-US"/>
        </w:rPr>
        <w:t xml:space="preserve"> FRMPs and cost estimations are often partial covering specific types of measures, areas or cost categories.  Detailed information on </w:t>
      </w:r>
      <w:r w:rsidRPr="003F0556">
        <w:rPr>
          <w:b/>
          <w:bCs/>
          <w:lang w:val="en-US"/>
        </w:rPr>
        <w:t>costs per flood risk component</w:t>
      </w:r>
      <w:r w:rsidRPr="003F0556">
        <w:rPr>
          <w:lang w:val="en-US"/>
        </w:rPr>
        <w:t xml:space="preserve"> (prevention, protection, preparedness, and recovery) or per type of measure (structural/non-structural) is lacking. Few countries report on future </w:t>
      </w:r>
      <w:r w:rsidRPr="003F0556">
        <w:rPr>
          <w:b/>
          <w:bCs/>
          <w:lang w:val="en-US"/>
        </w:rPr>
        <w:t>investment needs</w:t>
      </w:r>
      <w:r w:rsidRPr="003F0556">
        <w:rPr>
          <w:lang w:val="en-US"/>
        </w:rPr>
        <w:t xml:space="preserve"> and information is heterogeneous as concerns the use of time horizons and scenarios.</w:t>
      </w:r>
    </w:p>
    <w:p w14:paraId="1F7E912F" w14:textId="77777777" w:rsidR="003F0556" w:rsidRPr="003F0556" w:rsidRDefault="003F0556" w:rsidP="003F0556">
      <w:pPr>
        <w:pStyle w:val="Body"/>
        <w:rPr>
          <w:lang w:val="en-US"/>
        </w:rPr>
      </w:pPr>
      <w:r w:rsidRPr="003F0556">
        <w:rPr>
          <w:lang w:val="en-US"/>
        </w:rPr>
        <w:t xml:space="preserve">A wide range of flood risk reducing measures is applied in countries targeting specifically prevention, protection, prepared, and recovery. There seems to be a specific emphasis on structural measures. </w:t>
      </w:r>
      <w:r w:rsidRPr="003F0556">
        <w:rPr>
          <w:b/>
          <w:bCs/>
          <w:lang w:val="en-US"/>
        </w:rPr>
        <w:t>Costs and effectiveness of non-structural measures</w:t>
      </w:r>
      <w:r w:rsidRPr="003F0556">
        <w:rPr>
          <w:lang w:val="en-US"/>
        </w:rPr>
        <w:t xml:space="preserve"> are often difficult to quantify and, therefore, these types of measures are often discarded in economic ranking procedures. Few countries provide detailed information about the application of </w:t>
      </w:r>
      <w:r w:rsidRPr="003F0556">
        <w:rPr>
          <w:b/>
          <w:bCs/>
          <w:lang w:val="en-US"/>
        </w:rPr>
        <w:t>natural flood management options</w:t>
      </w:r>
      <w:r w:rsidRPr="003F0556">
        <w:rPr>
          <w:lang w:val="en-US"/>
        </w:rPr>
        <w:t xml:space="preserve">. Most countries apply some form of </w:t>
      </w:r>
      <w:r w:rsidRPr="003F0556">
        <w:rPr>
          <w:b/>
          <w:bCs/>
          <w:lang w:val="en-US"/>
        </w:rPr>
        <w:t>economic appraisal approaches</w:t>
      </w:r>
      <w:r w:rsidRPr="003F0556">
        <w:rPr>
          <w:lang w:val="en-US"/>
        </w:rPr>
        <w:t xml:space="preserve"> to evaluate measures. However, in many cases it is unclear if and how the results have been used for </w:t>
      </w:r>
      <w:r w:rsidRPr="003F0556">
        <w:rPr>
          <w:b/>
          <w:bCs/>
          <w:lang w:val="en-US"/>
        </w:rPr>
        <w:t>the selection and prioritization of measures</w:t>
      </w:r>
      <w:r w:rsidRPr="003F0556">
        <w:rPr>
          <w:lang w:val="en-US"/>
        </w:rPr>
        <w:t xml:space="preserve">.  The completeness of </w:t>
      </w:r>
      <w:r w:rsidRPr="003F0556">
        <w:rPr>
          <w:b/>
          <w:bCs/>
          <w:lang w:val="en-US"/>
        </w:rPr>
        <w:t>cost-benefit analysis</w:t>
      </w:r>
      <w:r w:rsidRPr="003F0556">
        <w:rPr>
          <w:lang w:val="en-US"/>
        </w:rPr>
        <w:t xml:space="preserve"> differs across countries that apply this method. </w:t>
      </w:r>
      <w:r w:rsidRPr="003F0556">
        <w:rPr>
          <w:b/>
          <w:bCs/>
          <w:lang w:val="en-US"/>
        </w:rPr>
        <w:t>Environmental benefits</w:t>
      </w:r>
      <w:r w:rsidRPr="003F0556">
        <w:rPr>
          <w:lang w:val="en-US"/>
        </w:rPr>
        <w:t xml:space="preserve"> are rarely considered, even though these can be especially important for the evaluation of non-structural measures and natural flood management options. In these cases, the </w:t>
      </w:r>
      <w:r w:rsidRPr="003F0556">
        <w:rPr>
          <w:b/>
          <w:bCs/>
          <w:lang w:val="en-US"/>
        </w:rPr>
        <w:t>combination of cost-benefit analysis with multi-criteria analysis</w:t>
      </w:r>
      <w:r w:rsidRPr="003F0556">
        <w:rPr>
          <w:lang w:val="en-US"/>
        </w:rPr>
        <w:t xml:space="preserve"> seems to be promising as it allows to capture environmental benefits that can be decisive. </w:t>
      </w:r>
    </w:p>
    <w:p w14:paraId="55948A1F" w14:textId="77777777" w:rsidR="003F0556" w:rsidRPr="003F0556" w:rsidRDefault="003F0556" w:rsidP="003F0556">
      <w:pPr>
        <w:pStyle w:val="Body"/>
        <w:rPr>
          <w:lang w:val="en-US"/>
        </w:rPr>
      </w:pPr>
      <w:r w:rsidRPr="003F0556">
        <w:rPr>
          <w:lang w:val="en-US"/>
        </w:rPr>
        <w:t xml:space="preserve">When it comes to </w:t>
      </w:r>
      <w:r w:rsidRPr="003F0556">
        <w:rPr>
          <w:b/>
          <w:bCs/>
          <w:lang w:val="en-US"/>
        </w:rPr>
        <w:t>financing the management of water ecosystems/resources and floods</w:t>
      </w:r>
      <w:r w:rsidRPr="003F0556">
        <w:rPr>
          <w:lang w:val="en-US"/>
        </w:rPr>
        <w:t xml:space="preserve">, data and information are scattered and heterogeneous across MS – making it difficult to get a good understanding of the current situation, challenges and bottlenecks in delivering financial resources in line with the ambitions of both directives. The most important funding sources for water management in Europe are </w:t>
      </w:r>
      <w:r w:rsidRPr="003F0556">
        <w:rPr>
          <w:b/>
          <w:bCs/>
          <w:lang w:val="en-US"/>
        </w:rPr>
        <w:t>water and sanitation tariffs, EU funds and national public funds</w:t>
      </w:r>
      <w:r w:rsidRPr="003F0556">
        <w:rPr>
          <w:lang w:val="en-US"/>
        </w:rPr>
        <w:t xml:space="preserve">. </w:t>
      </w:r>
      <w:r w:rsidRPr="003F0556">
        <w:rPr>
          <w:b/>
          <w:bCs/>
          <w:lang w:val="en-US"/>
        </w:rPr>
        <w:t>Abstraction and pollution charges</w:t>
      </w:r>
      <w:r w:rsidRPr="003F0556">
        <w:rPr>
          <w:lang w:val="en-US"/>
        </w:rPr>
        <w:t xml:space="preserve"> are in place in several Member States and generate significant revenues. However, revenues from such charges are not always earmarked to water management and are sometimes directed to the Central Government budget or are allocated to regional, local or municipal budgets. </w:t>
      </w:r>
      <w:r w:rsidRPr="003F0556">
        <w:rPr>
          <w:b/>
          <w:bCs/>
          <w:lang w:val="en-US"/>
        </w:rPr>
        <w:t xml:space="preserve">Private investments </w:t>
      </w:r>
      <w:r w:rsidRPr="003F0556">
        <w:rPr>
          <w:lang w:val="en-US"/>
        </w:rPr>
        <w:t xml:space="preserve">to support the implementation of the two Directives are limited, suggesting untapped potential for funding. Some </w:t>
      </w:r>
      <w:r w:rsidRPr="003F0556">
        <w:rPr>
          <w:b/>
          <w:bCs/>
          <w:lang w:val="en-US"/>
        </w:rPr>
        <w:t>innovative funding arrangements</w:t>
      </w:r>
      <w:r w:rsidRPr="003F0556">
        <w:rPr>
          <w:lang w:val="en-US"/>
        </w:rPr>
        <w:t xml:space="preserve">, such as for example PES schemes, or financial assistance schemes combining public funding and financial participation by recipients (e.g. farmers), </w:t>
      </w:r>
      <w:r w:rsidRPr="0068109F">
        <w:rPr>
          <w:lang w:val="en-US"/>
        </w:rPr>
        <w:t>or an environmental fund financed by hydropower companies are used in some Member States..</w:t>
      </w:r>
    </w:p>
    <w:p w14:paraId="3E839D21" w14:textId="15629913" w:rsidR="003F0556" w:rsidRDefault="00F442A6" w:rsidP="003F0556">
      <w:pPr>
        <w:pStyle w:val="Body"/>
        <w:rPr>
          <w:b/>
          <w:bCs/>
          <w:lang w:val="en-US"/>
        </w:rPr>
      </w:pPr>
      <w:r>
        <w:rPr>
          <w:b/>
          <w:bCs/>
          <w:lang w:val="en-US"/>
        </w:rPr>
        <w:t>Financial c</w:t>
      </w:r>
      <w:r w:rsidR="003F0556" w:rsidRPr="003F0556">
        <w:rPr>
          <w:b/>
          <w:bCs/>
          <w:lang w:val="en-US"/>
        </w:rPr>
        <w:t>ost-recovery levels</w:t>
      </w:r>
      <w:r w:rsidR="003F0556" w:rsidRPr="003F0556">
        <w:rPr>
          <w:lang w:val="en-US"/>
        </w:rPr>
        <w:t xml:space="preserve"> in Member States for the water and sanitation sector </w:t>
      </w:r>
      <w:r w:rsidR="005E5008">
        <w:rPr>
          <w:lang w:val="en-US"/>
        </w:rPr>
        <w:t xml:space="preserve">(excluding irrigation) </w:t>
      </w:r>
      <w:r w:rsidR="003F0556" w:rsidRPr="003F0556">
        <w:rPr>
          <w:lang w:val="en-US"/>
        </w:rPr>
        <w:t xml:space="preserve">can be equal to 100% or higher (9 Member States). Five Member States record cost-recovery rates between 90 and 100%, with six Member States having cost recovery levels between 80 and 90%. Finally, cost recovery levels are below 80% for 4 Member States, with information not been available for an additional 3 Member States. The comparison between cost recovery levels and affordability of water and sanitation expenditures in the EU revealed that </w:t>
      </w:r>
      <w:r w:rsidR="003F0556" w:rsidRPr="003F0556">
        <w:rPr>
          <w:b/>
          <w:bCs/>
          <w:lang w:val="en-US"/>
        </w:rPr>
        <w:t>full cost recovery levels</w:t>
      </w:r>
      <w:r w:rsidR="003F0556" w:rsidRPr="003F0556">
        <w:rPr>
          <w:lang w:val="en-US"/>
        </w:rPr>
        <w:t xml:space="preserve"> – and also cost-recovery levels between 90 and 100% - </w:t>
      </w:r>
      <w:r w:rsidR="003F0556" w:rsidRPr="003F0556">
        <w:rPr>
          <w:b/>
          <w:bCs/>
          <w:lang w:val="en-US"/>
        </w:rPr>
        <w:t>do not compromise on average the affordability of water services</w:t>
      </w:r>
      <w:r w:rsidR="0068109F">
        <w:rPr>
          <w:b/>
          <w:bCs/>
          <w:lang w:val="en-US"/>
        </w:rPr>
        <w:t xml:space="preserve"> </w:t>
      </w:r>
      <w:r w:rsidR="0068109F" w:rsidRPr="0068109F">
        <w:rPr>
          <w:lang w:val="en-US"/>
        </w:rPr>
        <w:t>– although affordability issues might still be experienced by some households.</w:t>
      </w:r>
      <w:r w:rsidR="003F0556" w:rsidRPr="003F0556">
        <w:rPr>
          <w:b/>
          <w:bCs/>
          <w:lang w:val="en-US"/>
        </w:rPr>
        <w:t xml:space="preserve"> </w:t>
      </w:r>
    </w:p>
    <w:p w14:paraId="02972714" w14:textId="733D8629" w:rsidR="00DB4303" w:rsidRPr="00DB4303" w:rsidRDefault="00DB4303" w:rsidP="003F0556">
      <w:pPr>
        <w:pStyle w:val="Body"/>
        <w:rPr>
          <w:lang w:val="en-GB"/>
        </w:rPr>
      </w:pPr>
      <w:r>
        <w:rPr>
          <w:lang w:val="en-US"/>
        </w:rPr>
        <w:t xml:space="preserve">When it comes to </w:t>
      </w:r>
      <w:r w:rsidRPr="00A12AB1">
        <w:rPr>
          <w:b/>
          <w:bCs/>
          <w:lang w:val="en-US"/>
        </w:rPr>
        <w:t>irrigation</w:t>
      </w:r>
      <w:r w:rsidR="00A12AB1" w:rsidRPr="00A12AB1">
        <w:rPr>
          <w:b/>
          <w:bCs/>
          <w:lang w:val="en-US"/>
        </w:rPr>
        <w:t xml:space="preserve"> water supply</w:t>
      </w:r>
      <w:r>
        <w:rPr>
          <w:lang w:val="en-US"/>
        </w:rPr>
        <w:t xml:space="preserve">, </w:t>
      </w:r>
      <w:r>
        <w:rPr>
          <w:lang w:val="en-GB"/>
        </w:rPr>
        <w:t>the assessment suggests that</w:t>
      </w:r>
      <w:r w:rsidRPr="00DB4303">
        <w:rPr>
          <w:lang w:val="en-GB"/>
        </w:rPr>
        <w:t xml:space="preserve"> </w:t>
      </w:r>
      <w:r w:rsidRPr="00A12AB1">
        <w:rPr>
          <w:lang w:val="en-GB"/>
        </w:rPr>
        <w:t>the financial aspects of the provision of irrigation water seem to be given less attention at the EU level. Data are often scattered, and the implementation of the cost</w:t>
      </w:r>
      <w:r w:rsidRPr="00DB4303">
        <w:rPr>
          <w:lang w:val="en-GB"/>
        </w:rPr>
        <w:t xml:space="preserve">-recovery principle is often weak. </w:t>
      </w:r>
    </w:p>
    <w:p w14:paraId="5A2FDAF8" w14:textId="77777777" w:rsidR="003F0556" w:rsidRPr="003F0556" w:rsidRDefault="003F0556" w:rsidP="003F0556">
      <w:pPr>
        <w:pStyle w:val="Body"/>
        <w:rPr>
          <w:lang w:val="en-US"/>
        </w:rPr>
      </w:pPr>
      <w:r w:rsidRPr="003F0556">
        <w:rPr>
          <w:lang w:val="en-US"/>
        </w:rPr>
        <w:t xml:space="preserve">The assessment carried out illustrates the </w:t>
      </w:r>
      <w:r w:rsidRPr="003F0556">
        <w:rPr>
          <w:b/>
          <w:bCs/>
          <w:lang w:val="en-US"/>
        </w:rPr>
        <w:t>current application of economic assessment methods</w:t>
      </w:r>
      <w:r w:rsidRPr="003F0556">
        <w:rPr>
          <w:lang w:val="en-US"/>
        </w:rPr>
        <w:t xml:space="preserve"> in the frame of the implementation of the WFD and FD. Some economic knowledge receives </w:t>
      </w:r>
      <w:r w:rsidRPr="003F0556">
        <w:rPr>
          <w:b/>
          <w:bCs/>
          <w:lang w:val="en-US"/>
        </w:rPr>
        <w:t>very limited attention</w:t>
      </w:r>
      <w:r w:rsidRPr="003F0556">
        <w:rPr>
          <w:lang w:val="en-US"/>
        </w:rPr>
        <w:t xml:space="preserve"> in the planning process of the WFD and FD, and water policy making in general. These include </w:t>
      </w:r>
      <w:r w:rsidRPr="003F0556">
        <w:rPr>
          <w:i/>
          <w:iCs/>
          <w:lang w:val="en-US"/>
        </w:rPr>
        <w:t>inter alias</w:t>
      </w:r>
      <w:r w:rsidRPr="003F0556">
        <w:rPr>
          <w:lang w:val="en-US"/>
        </w:rPr>
        <w:t xml:space="preserve"> information on: </w:t>
      </w:r>
      <w:r w:rsidRPr="003F0556">
        <w:rPr>
          <w:b/>
          <w:bCs/>
          <w:lang w:val="en-US"/>
        </w:rPr>
        <w:t>operational and maintenance costs</w:t>
      </w:r>
      <w:r w:rsidRPr="003F0556">
        <w:rPr>
          <w:lang w:val="en-US"/>
        </w:rPr>
        <w:t xml:space="preserve"> of the majority of measures (apart for measures related to water services); </w:t>
      </w:r>
      <w:r w:rsidRPr="003F0556">
        <w:rPr>
          <w:b/>
          <w:bCs/>
          <w:lang w:val="en-US"/>
        </w:rPr>
        <w:t>costs of the FD measures</w:t>
      </w:r>
      <w:r w:rsidRPr="003F0556">
        <w:rPr>
          <w:lang w:val="en-US"/>
        </w:rPr>
        <w:t xml:space="preserve"> when these are carried out at the local levels; the </w:t>
      </w:r>
      <w:r w:rsidRPr="003F0556">
        <w:rPr>
          <w:b/>
          <w:bCs/>
          <w:lang w:val="en-US"/>
        </w:rPr>
        <w:t>non-financial economic impacts</w:t>
      </w:r>
      <w:r w:rsidRPr="003F0556">
        <w:rPr>
          <w:lang w:val="en-US"/>
        </w:rPr>
        <w:t xml:space="preserve"> of measures, including their macro-economic impacts; costs of </w:t>
      </w:r>
      <w:r w:rsidRPr="003F0556">
        <w:rPr>
          <w:b/>
          <w:bCs/>
          <w:lang w:val="en-US"/>
        </w:rPr>
        <w:t>measures proposed for addressing hydro-morphological</w:t>
      </w:r>
      <w:r w:rsidRPr="003F0556">
        <w:rPr>
          <w:lang w:val="en-US"/>
        </w:rPr>
        <w:t xml:space="preserve"> pressures (note: with costs often very dependent from local conditions including access to land); costs (and benefits) of </w:t>
      </w:r>
      <w:r w:rsidRPr="003F0556">
        <w:rPr>
          <w:b/>
          <w:bCs/>
          <w:lang w:val="en-US"/>
        </w:rPr>
        <w:t>multifunctional measures</w:t>
      </w:r>
      <w:r w:rsidRPr="003F0556">
        <w:rPr>
          <w:lang w:val="en-US"/>
        </w:rPr>
        <w:t xml:space="preserve"> (nature-based solutions) that can benefit both the WFD and the FD. Furthermore, the </w:t>
      </w:r>
      <w:r w:rsidRPr="003F0556">
        <w:rPr>
          <w:b/>
          <w:bCs/>
          <w:lang w:val="en-US"/>
        </w:rPr>
        <w:t>total costs required for achieving policy goals</w:t>
      </w:r>
      <w:r w:rsidRPr="003F0556">
        <w:rPr>
          <w:lang w:val="en-US"/>
        </w:rPr>
        <w:t xml:space="preserve"> for both the WFD and the FD while accounting for future climate (an area not well covered in the WFD implementation) and socio-economic global changes are often not known. Nevertheless also the </w:t>
      </w:r>
      <w:r w:rsidRPr="003F0556">
        <w:rPr>
          <w:b/>
          <w:bCs/>
          <w:lang w:val="en-US"/>
        </w:rPr>
        <w:t>negative impacts</w:t>
      </w:r>
      <w:r w:rsidRPr="003F0556">
        <w:rPr>
          <w:lang w:val="en-US"/>
        </w:rPr>
        <w:t xml:space="preserve"> that striving for the goals set in the VPD could have on the EU’s climate change mitigation/adaptation targets </w:t>
      </w:r>
      <w:r w:rsidRPr="003F0556">
        <w:rPr>
          <w:b/>
          <w:bCs/>
          <w:lang w:val="en-US"/>
        </w:rPr>
        <w:t>should be taken into account and calculated</w:t>
      </w:r>
      <w:r w:rsidRPr="003F0556">
        <w:rPr>
          <w:lang w:val="en-US"/>
        </w:rPr>
        <w:t xml:space="preserve"> in order to get a correct view of the </w:t>
      </w:r>
      <w:r w:rsidRPr="003F0556">
        <w:rPr>
          <w:b/>
          <w:bCs/>
          <w:lang w:val="en-US"/>
        </w:rPr>
        <w:t>total costs of the policy goals</w:t>
      </w:r>
      <w:r w:rsidRPr="003F0556">
        <w:rPr>
          <w:lang w:val="en-US"/>
        </w:rPr>
        <w:t xml:space="preserve"> set in the WFD and FD.</w:t>
      </w:r>
    </w:p>
    <w:p w14:paraId="78F05014" w14:textId="77777777" w:rsidR="003F0556" w:rsidRPr="003F0556" w:rsidRDefault="003F0556" w:rsidP="003F0556">
      <w:pPr>
        <w:pStyle w:val="Body"/>
        <w:rPr>
          <w:lang w:val="en-US"/>
        </w:rPr>
      </w:pPr>
      <w:r w:rsidRPr="003F0556">
        <w:rPr>
          <w:lang w:val="en-US"/>
        </w:rPr>
        <w:t xml:space="preserve">There is very limited evidence on </w:t>
      </w:r>
      <w:r w:rsidRPr="003F0556">
        <w:rPr>
          <w:b/>
          <w:bCs/>
          <w:lang w:val="en-US"/>
        </w:rPr>
        <w:t>how the results of economic assessments are used for/support the selection and prioritisation of measures</w:t>
      </w:r>
      <w:r w:rsidRPr="003F0556">
        <w:rPr>
          <w:lang w:val="en-US"/>
        </w:rPr>
        <w:t xml:space="preserve">. In some cases, it is clear that the choice of measures is made independently of the outcome of economic assessments, in particular when some measures (e.g. basic measures) have to be implemented anyway and monopolize the bulk of (readily) available (public) financial resources. In other cases, economic assessments are carried out </w:t>
      </w:r>
      <w:r w:rsidRPr="003F0556">
        <w:rPr>
          <w:i/>
          <w:iCs/>
          <w:lang w:val="en-US"/>
        </w:rPr>
        <w:t>ex-post</w:t>
      </w:r>
      <w:r w:rsidRPr="003F0556">
        <w:rPr>
          <w:lang w:val="en-US"/>
        </w:rPr>
        <w:t xml:space="preserve"> without informing the selection of measures to respond to reporting requirements. In the majority of cases, the selection of measures under the WFD and FD PoMs carried out at the river basin scale accounts for financial resources readily available (with some, but limited, iterations between cost assessment and the search for financial resources) as set in public institution budgets or resulting from negotiated revenues from water-related charges. Thus, priorities in investments do rarely affect financing sources and instruments directly – as changes in financing instruments mostly originate from nationally-driven policy/political processes.  Still, and as highlighted above, (</w:t>
      </w:r>
      <w:r w:rsidRPr="003F0556">
        <w:rPr>
          <w:b/>
          <w:bCs/>
          <w:lang w:val="en-US"/>
        </w:rPr>
        <w:t>new) instruments</w:t>
      </w:r>
      <w:r w:rsidRPr="003F0556">
        <w:rPr>
          <w:lang w:val="en-US"/>
        </w:rPr>
        <w:t xml:space="preserve"> (e.g. environmental charges and taxes, payment for ecosystem services, </w:t>
      </w:r>
      <w:r w:rsidRPr="00A12AB1">
        <w:rPr>
          <w:lang w:val="en-US"/>
        </w:rPr>
        <w:t>environmental funds financed by hydropower operators</w:t>
      </w:r>
      <w:r w:rsidRPr="003F0556">
        <w:rPr>
          <w:lang w:val="en-US"/>
        </w:rPr>
        <w:t xml:space="preserve">…) are emerging in different MS, including mechanisms that involve the private sector. Sharing experience among Member States on how they are designed and implemented, and how they perform in terms of the additional financial resources provided and effectiveness could help supporting their wider implementation. </w:t>
      </w:r>
    </w:p>
    <w:p w14:paraId="363D165D" w14:textId="77777777" w:rsidR="003F0556" w:rsidRPr="003F0556" w:rsidRDefault="003F0556" w:rsidP="003F0556">
      <w:pPr>
        <w:pStyle w:val="Body"/>
        <w:rPr>
          <w:lang w:val="en-US"/>
        </w:rPr>
      </w:pPr>
      <w:r w:rsidRPr="003F0556">
        <w:rPr>
          <w:lang w:val="en-US"/>
        </w:rPr>
        <w:t xml:space="preserve">Pursuant to Article 4(5) of the WFD Member States may aim to achieve less stringent environmental objectives for specific bodies of water </w:t>
      </w:r>
      <w:r w:rsidRPr="003F0556">
        <w:rPr>
          <w:i/>
          <w:iCs/>
          <w:lang w:val="en-US"/>
        </w:rPr>
        <w:t>inter alia</w:t>
      </w:r>
      <w:r w:rsidRPr="003F0556">
        <w:rPr>
          <w:lang w:val="en-US"/>
        </w:rPr>
        <w:t xml:space="preserve"> when they are so affected by human activity that the achievement of the normal objectives of the WFD would be disproportionately expensive. Thus, if public funding was available for these situations, this could bridge the cost gap and erase the need for applying less stringent environmental objectives and thereby significantly improve the possibilities for achieving the overall goal set in the WFD. The amount of public funding needed and the most cost-efficient way to bridge this gap should be evaluated in future studies.</w:t>
      </w:r>
    </w:p>
    <w:p w14:paraId="42DF9AF8" w14:textId="71C7592D" w:rsidR="000E3F61" w:rsidRDefault="000E3F61" w:rsidP="003B304A">
      <w:pPr>
        <w:pStyle w:val="Body"/>
        <w:rPr>
          <w:lang w:val="en-US"/>
        </w:rPr>
      </w:pPr>
    </w:p>
    <w:p w14:paraId="07B50DC9" w14:textId="0BCC7987" w:rsidR="00A12AB1" w:rsidRDefault="00A12AB1" w:rsidP="003B304A">
      <w:pPr>
        <w:pStyle w:val="Body"/>
        <w:rPr>
          <w:lang w:val="en-US"/>
        </w:rPr>
      </w:pPr>
    </w:p>
    <w:p w14:paraId="3E5ED8CE" w14:textId="1C343AF0" w:rsidR="00A12AB1" w:rsidRDefault="00A12AB1" w:rsidP="003B304A">
      <w:pPr>
        <w:pStyle w:val="Body"/>
        <w:rPr>
          <w:lang w:val="en-US"/>
        </w:rPr>
      </w:pPr>
      <w:r>
        <w:rPr>
          <w:lang w:val="en-US"/>
        </w:rPr>
        <w:br w:type="page"/>
      </w:r>
    </w:p>
    <w:p w14:paraId="033653BD" w14:textId="7A69F5DC" w:rsidR="004B015E" w:rsidRPr="00E65E3D" w:rsidRDefault="004B015E" w:rsidP="00E65E3D">
      <w:pPr>
        <w:pStyle w:val="Heading1"/>
        <w:numPr>
          <w:ilvl w:val="0"/>
          <w:numId w:val="0"/>
        </w:numPr>
        <w:ind w:left="480" w:hanging="480"/>
      </w:pPr>
      <w:bookmarkStart w:id="2" w:name="_Toc62825929"/>
      <w:r>
        <w:t>Table of contents</w:t>
      </w:r>
      <w:bookmarkEnd w:id="2"/>
    </w:p>
    <w:sdt>
      <w:sdtPr>
        <w:rPr>
          <w:rFonts w:ascii="Times New Roman" w:eastAsia="Times New Roman" w:hAnsi="Times New Roman" w:cs="Times New Roman"/>
          <w:b w:val="0"/>
          <w:bCs w:val="0"/>
          <w:color w:val="auto"/>
          <w:sz w:val="24"/>
          <w:szCs w:val="20"/>
          <w:lang w:val="it-IT"/>
        </w:rPr>
        <w:id w:val="-919171757"/>
        <w:docPartObj>
          <w:docPartGallery w:val="Table of Contents"/>
          <w:docPartUnique/>
        </w:docPartObj>
      </w:sdtPr>
      <w:sdtEndPr>
        <w:rPr>
          <w:lang w:val="fr-FR"/>
        </w:rPr>
      </w:sdtEndPr>
      <w:sdtContent>
        <w:p w14:paraId="52DB0F78" w14:textId="2452AD07" w:rsidR="00E65E3D" w:rsidRDefault="00E65E3D">
          <w:pPr>
            <w:pStyle w:val="TOCHeading"/>
          </w:pPr>
        </w:p>
        <w:p w14:paraId="297F218E" w14:textId="741B6229" w:rsidR="00E65E3D" w:rsidRDefault="00E65E3D">
          <w:pPr>
            <w:pStyle w:val="TOC1"/>
            <w:rPr>
              <w:rFonts w:asciiTheme="minorHAnsi" w:eastAsiaTheme="minorEastAsia" w:hAnsiTheme="minorHAnsi" w:cstheme="minorBidi"/>
              <w:caps w:val="0"/>
              <w:noProof/>
              <w:sz w:val="22"/>
              <w:szCs w:val="22"/>
              <w:lang w:val="it-IT" w:eastAsia="it-IT"/>
            </w:rPr>
          </w:pPr>
          <w:r>
            <w:fldChar w:fldCharType="begin"/>
          </w:r>
          <w:r>
            <w:instrText xml:space="preserve"> TOC \o "1-3" \h \z \u </w:instrText>
          </w:r>
          <w:r>
            <w:fldChar w:fldCharType="separate"/>
          </w:r>
          <w:hyperlink w:anchor="_Toc62825928" w:history="1">
            <w:r w:rsidRPr="000E1C5C">
              <w:rPr>
                <w:rStyle w:val="Hyperlink"/>
                <w:noProof/>
                <w:lang w:val="en-US"/>
              </w:rPr>
              <w:t>Executive summary</w:t>
            </w:r>
            <w:r>
              <w:rPr>
                <w:noProof/>
                <w:webHidden/>
              </w:rPr>
              <w:tab/>
            </w:r>
            <w:r>
              <w:rPr>
                <w:noProof/>
                <w:webHidden/>
              </w:rPr>
              <w:fldChar w:fldCharType="begin"/>
            </w:r>
            <w:r>
              <w:rPr>
                <w:noProof/>
                <w:webHidden/>
              </w:rPr>
              <w:instrText xml:space="preserve"> PAGEREF _Toc62825928 \h </w:instrText>
            </w:r>
            <w:r>
              <w:rPr>
                <w:noProof/>
                <w:webHidden/>
              </w:rPr>
            </w:r>
            <w:r>
              <w:rPr>
                <w:noProof/>
                <w:webHidden/>
              </w:rPr>
              <w:fldChar w:fldCharType="separate"/>
            </w:r>
            <w:r>
              <w:rPr>
                <w:noProof/>
                <w:webHidden/>
              </w:rPr>
              <w:t>6</w:t>
            </w:r>
            <w:r>
              <w:rPr>
                <w:noProof/>
                <w:webHidden/>
              </w:rPr>
              <w:fldChar w:fldCharType="end"/>
            </w:r>
          </w:hyperlink>
        </w:p>
        <w:p w14:paraId="0D370780" w14:textId="25782929" w:rsidR="00E65E3D" w:rsidRDefault="009A1671">
          <w:pPr>
            <w:pStyle w:val="TOC1"/>
            <w:rPr>
              <w:rFonts w:asciiTheme="minorHAnsi" w:eastAsiaTheme="minorEastAsia" w:hAnsiTheme="minorHAnsi" w:cstheme="minorBidi"/>
              <w:caps w:val="0"/>
              <w:noProof/>
              <w:sz w:val="22"/>
              <w:szCs w:val="22"/>
              <w:lang w:val="it-IT" w:eastAsia="it-IT"/>
            </w:rPr>
          </w:pPr>
          <w:hyperlink w:anchor="_Toc62825929" w:history="1">
            <w:r w:rsidR="00E65E3D" w:rsidRPr="000E1C5C">
              <w:rPr>
                <w:rStyle w:val="Hyperlink"/>
                <w:noProof/>
              </w:rPr>
              <w:t>Table of contents</w:t>
            </w:r>
            <w:r w:rsidR="00E65E3D">
              <w:rPr>
                <w:noProof/>
                <w:webHidden/>
              </w:rPr>
              <w:tab/>
            </w:r>
            <w:r w:rsidR="00E65E3D">
              <w:rPr>
                <w:noProof/>
                <w:webHidden/>
              </w:rPr>
              <w:fldChar w:fldCharType="begin"/>
            </w:r>
            <w:r w:rsidR="00E65E3D">
              <w:rPr>
                <w:noProof/>
                <w:webHidden/>
              </w:rPr>
              <w:instrText xml:space="preserve"> PAGEREF _Toc62825929 \h </w:instrText>
            </w:r>
            <w:r w:rsidR="00E65E3D">
              <w:rPr>
                <w:noProof/>
                <w:webHidden/>
              </w:rPr>
            </w:r>
            <w:r w:rsidR="00E65E3D">
              <w:rPr>
                <w:noProof/>
                <w:webHidden/>
              </w:rPr>
              <w:fldChar w:fldCharType="separate"/>
            </w:r>
            <w:r w:rsidR="00E65E3D">
              <w:rPr>
                <w:noProof/>
                <w:webHidden/>
              </w:rPr>
              <w:t>9</w:t>
            </w:r>
            <w:r w:rsidR="00E65E3D">
              <w:rPr>
                <w:noProof/>
                <w:webHidden/>
              </w:rPr>
              <w:fldChar w:fldCharType="end"/>
            </w:r>
          </w:hyperlink>
        </w:p>
        <w:p w14:paraId="132774D9" w14:textId="4E161312" w:rsidR="00E65E3D" w:rsidRDefault="009A1671">
          <w:pPr>
            <w:pStyle w:val="TOC1"/>
            <w:rPr>
              <w:rFonts w:asciiTheme="minorHAnsi" w:eastAsiaTheme="minorEastAsia" w:hAnsiTheme="minorHAnsi" w:cstheme="minorBidi"/>
              <w:caps w:val="0"/>
              <w:noProof/>
              <w:sz w:val="22"/>
              <w:szCs w:val="22"/>
              <w:lang w:val="it-IT" w:eastAsia="it-IT"/>
            </w:rPr>
          </w:pPr>
          <w:hyperlink w:anchor="_Toc62825930" w:history="1">
            <w:r w:rsidR="00E65E3D" w:rsidRPr="000E1C5C">
              <w:rPr>
                <w:rStyle w:val="Hyperlink"/>
                <w:noProof/>
              </w:rPr>
              <w:t>1.</w:t>
            </w:r>
            <w:r w:rsidR="00E65E3D">
              <w:rPr>
                <w:rFonts w:asciiTheme="minorHAnsi" w:eastAsiaTheme="minorEastAsia" w:hAnsiTheme="minorHAnsi" w:cstheme="minorBidi"/>
                <w:caps w:val="0"/>
                <w:noProof/>
                <w:sz w:val="22"/>
                <w:szCs w:val="22"/>
                <w:lang w:val="it-IT" w:eastAsia="it-IT"/>
              </w:rPr>
              <w:tab/>
            </w:r>
            <w:r w:rsidR="00E65E3D" w:rsidRPr="000E1C5C">
              <w:rPr>
                <w:rStyle w:val="Hyperlink"/>
                <w:noProof/>
              </w:rPr>
              <w:t>Background</w:t>
            </w:r>
            <w:r w:rsidR="00E65E3D">
              <w:rPr>
                <w:noProof/>
                <w:webHidden/>
              </w:rPr>
              <w:tab/>
            </w:r>
            <w:r w:rsidR="00E65E3D">
              <w:rPr>
                <w:noProof/>
                <w:webHidden/>
              </w:rPr>
              <w:fldChar w:fldCharType="begin"/>
            </w:r>
            <w:r w:rsidR="00E65E3D">
              <w:rPr>
                <w:noProof/>
                <w:webHidden/>
              </w:rPr>
              <w:instrText xml:space="preserve"> PAGEREF _Toc62825930 \h </w:instrText>
            </w:r>
            <w:r w:rsidR="00E65E3D">
              <w:rPr>
                <w:noProof/>
                <w:webHidden/>
              </w:rPr>
            </w:r>
            <w:r w:rsidR="00E65E3D">
              <w:rPr>
                <w:noProof/>
                <w:webHidden/>
              </w:rPr>
              <w:fldChar w:fldCharType="separate"/>
            </w:r>
            <w:r w:rsidR="00E65E3D">
              <w:rPr>
                <w:noProof/>
                <w:webHidden/>
              </w:rPr>
              <w:t>10</w:t>
            </w:r>
            <w:r w:rsidR="00E65E3D">
              <w:rPr>
                <w:noProof/>
                <w:webHidden/>
              </w:rPr>
              <w:fldChar w:fldCharType="end"/>
            </w:r>
          </w:hyperlink>
        </w:p>
        <w:p w14:paraId="6BBA56E9" w14:textId="2B66CE2C" w:rsidR="00E65E3D" w:rsidRDefault="009A1671">
          <w:pPr>
            <w:pStyle w:val="TOC1"/>
            <w:rPr>
              <w:rFonts w:asciiTheme="minorHAnsi" w:eastAsiaTheme="minorEastAsia" w:hAnsiTheme="minorHAnsi" w:cstheme="minorBidi"/>
              <w:caps w:val="0"/>
              <w:noProof/>
              <w:sz w:val="22"/>
              <w:szCs w:val="22"/>
              <w:lang w:val="it-IT" w:eastAsia="it-IT"/>
            </w:rPr>
          </w:pPr>
          <w:hyperlink w:anchor="_Toc62825931" w:history="1">
            <w:r w:rsidR="00E65E3D" w:rsidRPr="000E1C5C">
              <w:rPr>
                <w:rStyle w:val="Hyperlink"/>
                <w:noProof/>
              </w:rPr>
              <w:t>2.</w:t>
            </w:r>
            <w:r w:rsidR="00E65E3D">
              <w:rPr>
                <w:rFonts w:asciiTheme="minorHAnsi" w:eastAsiaTheme="minorEastAsia" w:hAnsiTheme="minorHAnsi" w:cstheme="minorBidi"/>
                <w:caps w:val="0"/>
                <w:noProof/>
                <w:sz w:val="22"/>
                <w:szCs w:val="22"/>
                <w:lang w:val="it-IT" w:eastAsia="it-IT"/>
              </w:rPr>
              <w:tab/>
            </w:r>
            <w:r w:rsidR="00E65E3D" w:rsidRPr="000E1C5C">
              <w:rPr>
                <w:rStyle w:val="Hyperlink"/>
                <w:noProof/>
              </w:rPr>
              <w:t>The study in a nutshell</w:t>
            </w:r>
            <w:r w:rsidR="00E65E3D">
              <w:rPr>
                <w:noProof/>
                <w:webHidden/>
              </w:rPr>
              <w:tab/>
            </w:r>
            <w:r w:rsidR="00E65E3D">
              <w:rPr>
                <w:noProof/>
                <w:webHidden/>
              </w:rPr>
              <w:fldChar w:fldCharType="begin"/>
            </w:r>
            <w:r w:rsidR="00E65E3D">
              <w:rPr>
                <w:noProof/>
                <w:webHidden/>
              </w:rPr>
              <w:instrText xml:space="preserve"> PAGEREF _Toc62825931 \h </w:instrText>
            </w:r>
            <w:r w:rsidR="00E65E3D">
              <w:rPr>
                <w:noProof/>
                <w:webHidden/>
              </w:rPr>
            </w:r>
            <w:r w:rsidR="00E65E3D">
              <w:rPr>
                <w:noProof/>
                <w:webHidden/>
              </w:rPr>
              <w:fldChar w:fldCharType="separate"/>
            </w:r>
            <w:r w:rsidR="00E65E3D">
              <w:rPr>
                <w:noProof/>
                <w:webHidden/>
              </w:rPr>
              <w:t>12</w:t>
            </w:r>
            <w:r w:rsidR="00E65E3D">
              <w:rPr>
                <w:noProof/>
                <w:webHidden/>
              </w:rPr>
              <w:fldChar w:fldCharType="end"/>
            </w:r>
          </w:hyperlink>
        </w:p>
        <w:p w14:paraId="66A51DAE" w14:textId="4DAA58EF" w:rsidR="00E65E3D" w:rsidRDefault="009A1671">
          <w:pPr>
            <w:pStyle w:val="TOC1"/>
            <w:rPr>
              <w:rFonts w:asciiTheme="minorHAnsi" w:eastAsiaTheme="minorEastAsia" w:hAnsiTheme="minorHAnsi" w:cstheme="minorBidi"/>
              <w:caps w:val="0"/>
              <w:noProof/>
              <w:sz w:val="22"/>
              <w:szCs w:val="22"/>
              <w:lang w:val="it-IT" w:eastAsia="it-IT"/>
            </w:rPr>
          </w:pPr>
          <w:hyperlink w:anchor="_Toc62825932" w:history="1">
            <w:r w:rsidR="00E65E3D" w:rsidRPr="000E1C5C">
              <w:rPr>
                <w:rStyle w:val="Hyperlink"/>
                <w:noProof/>
              </w:rPr>
              <w:t>3.</w:t>
            </w:r>
            <w:r w:rsidR="00E65E3D">
              <w:rPr>
                <w:rFonts w:asciiTheme="minorHAnsi" w:eastAsiaTheme="minorEastAsia" w:hAnsiTheme="minorHAnsi" w:cstheme="minorBidi"/>
                <w:caps w:val="0"/>
                <w:noProof/>
                <w:sz w:val="22"/>
                <w:szCs w:val="22"/>
                <w:lang w:val="it-IT" w:eastAsia="it-IT"/>
              </w:rPr>
              <w:tab/>
            </w:r>
            <w:r w:rsidR="00E65E3D" w:rsidRPr="000E1C5C">
              <w:rPr>
                <w:rStyle w:val="Hyperlink"/>
                <w:noProof/>
              </w:rPr>
              <w:t>Setting the scene</w:t>
            </w:r>
            <w:r w:rsidR="00E65E3D">
              <w:rPr>
                <w:noProof/>
                <w:webHidden/>
              </w:rPr>
              <w:tab/>
            </w:r>
            <w:r w:rsidR="00E65E3D">
              <w:rPr>
                <w:noProof/>
                <w:webHidden/>
              </w:rPr>
              <w:fldChar w:fldCharType="begin"/>
            </w:r>
            <w:r w:rsidR="00E65E3D">
              <w:rPr>
                <w:noProof/>
                <w:webHidden/>
              </w:rPr>
              <w:instrText xml:space="preserve"> PAGEREF _Toc62825932 \h </w:instrText>
            </w:r>
            <w:r w:rsidR="00E65E3D">
              <w:rPr>
                <w:noProof/>
                <w:webHidden/>
              </w:rPr>
            </w:r>
            <w:r w:rsidR="00E65E3D">
              <w:rPr>
                <w:noProof/>
                <w:webHidden/>
              </w:rPr>
              <w:fldChar w:fldCharType="separate"/>
            </w:r>
            <w:r w:rsidR="00E65E3D">
              <w:rPr>
                <w:noProof/>
                <w:webHidden/>
              </w:rPr>
              <w:t>14</w:t>
            </w:r>
            <w:r w:rsidR="00E65E3D">
              <w:rPr>
                <w:noProof/>
                <w:webHidden/>
              </w:rPr>
              <w:fldChar w:fldCharType="end"/>
            </w:r>
          </w:hyperlink>
        </w:p>
        <w:p w14:paraId="677091EC" w14:textId="7014DBF5"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33" w:history="1">
            <w:r w:rsidR="00E65E3D" w:rsidRPr="000E1C5C">
              <w:rPr>
                <w:rStyle w:val="Hyperlink"/>
                <w:noProof/>
              </w:rPr>
              <w:t>3.1.</w:t>
            </w:r>
            <w:r w:rsidR="00E65E3D">
              <w:rPr>
                <w:rFonts w:asciiTheme="minorHAnsi" w:eastAsiaTheme="minorEastAsia" w:hAnsiTheme="minorHAnsi" w:cstheme="minorBidi"/>
                <w:noProof/>
                <w:sz w:val="22"/>
                <w:szCs w:val="22"/>
                <w:lang w:val="it-IT" w:eastAsia="it-IT"/>
              </w:rPr>
              <w:tab/>
            </w:r>
            <w:r w:rsidR="00E65E3D" w:rsidRPr="000E1C5C">
              <w:rPr>
                <w:rStyle w:val="Hyperlink"/>
                <w:noProof/>
              </w:rPr>
              <w:t>State of water resources</w:t>
            </w:r>
            <w:r w:rsidR="00E65E3D">
              <w:rPr>
                <w:noProof/>
                <w:webHidden/>
              </w:rPr>
              <w:tab/>
            </w:r>
            <w:r w:rsidR="00E65E3D">
              <w:rPr>
                <w:noProof/>
                <w:webHidden/>
              </w:rPr>
              <w:fldChar w:fldCharType="begin"/>
            </w:r>
            <w:r w:rsidR="00E65E3D">
              <w:rPr>
                <w:noProof/>
                <w:webHidden/>
              </w:rPr>
              <w:instrText xml:space="preserve"> PAGEREF _Toc62825933 \h </w:instrText>
            </w:r>
            <w:r w:rsidR="00E65E3D">
              <w:rPr>
                <w:noProof/>
                <w:webHidden/>
              </w:rPr>
            </w:r>
            <w:r w:rsidR="00E65E3D">
              <w:rPr>
                <w:noProof/>
                <w:webHidden/>
              </w:rPr>
              <w:fldChar w:fldCharType="separate"/>
            </w:r>
            <w:r w:rsidR="00E65E3D">
              <w:rPr>
                <w:noProof/>
                <w:webHidden/>
              </w:rPr>
              <w:t>14</w:t>
            </w:r>
            <w:r w:rsidR="00E65E3D">
              <w:rPr>
                <w:noProof/>
                <w:webHidden/>
              </w:rPr>
              <w:fldChar w:fldCharType="end"/>
            </w:r>
          </w:hyperlink>
        </w:p>
        <w:p w14:paraId="649AF249" w14:textId="3D51F0B6"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34" w:history="1">
            <w:r w:rsidR="00E65E3D" w:rsidRPr="000E1C5C">
              <w:rPr>
                <w:rStyle w:val="Hyperlink"/>
                <w:noProof/>
                <w:lang w:val="en-GB"/>
              </w:rPr>
              <w:t>3.2.</w:t>
            </w:r>
            <w:r w:rsidR="00E65E3D">
              <w:rPr>
                <w:rFonts w:asciiTheme="minorHAnsi" w:eastAsiaTheme="minorEastAsia" w:hAnsiTheme="minorHAnsi" w:cstheme="minorBidi"/>
                <w:noProof/>
                <w:sz w:val="22"/>
                <w:szCs w:val="22"/>
                <w:lang w:val="it-IT" w:eastAsia="it-IT"/>
              </w:rPr>
              <w:tab/>
            </w:r>
            <w:r w:rsidR="00E65E3D" w:rsidRPr="000E1C5C">
              <w:rPr>
                <w:rStyle w:val="Hyperlink"/>
                <w:noProof/>
                <w:lang w:val="en-GB"/>
              </w:rPr>
              <w:t>Key pressures on water resources</w:t>
            </w:r>
            <w:r w:rsidR="00E65E3D">
              <w:rPr>
                <w:noProof/>
                <w:webHidden/>
              </w:rPr>
              <w:tab/>
            </w:r>
            <w:r w:rsidR="00E65E3D">
              <w:rPr>
                <w:noProof/>
                <w:webHidden/>
              </w:rPr>
              <w:fldChar w:fldCharType="begin"/>
            </w:r>
            <w:r w:rsidR="00E65E3D">
              <w:rPr>
                <w:noProof/>
                <w:webHidden/>
              </w:rPr>
              <w:instrText xml:space="preserve"> PAGEREF _Toc62825934 \h </w:instrText>
            </w:r>
            <w:r w:rsidR="00E65E3D">
              <w:rPr>
                <w:noProof/>
                <w:webHidden/>
              </w:rPr>
            </w:r>
            <w:r w:rsidR="00E65E3D">
              <w:rPr>
                <w:noProof/>
                <w:webHidden/>
              </w:rPr>
              <w:fldChar w:fldCharType="separate"/>
            </w:r>
            <w:r w:rsidR="00E65E3D">
              <w:rPr>
                <w:noProof/>
                <w:webHidden/>
              </w:rPr>
              <w:t>15</w:t>
            </w:r>
            <w:r w:rsidR="00E65E3D">
              <w:rPr>
                <w:noProof/>
                <w:webHidden/>
              </w:rPr>
              <w:fldChar w:fldCharType="end"/>
            </w:r>
          </w:hyperlink>
        </w:p>
        <w:p w14:paraId="274DB569" w14:textId="2AB4B310"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35" w:history="1">
            <w:r w:rsidR="00E65E3D" w:rsidRPr="000E1C5C">
              <w:rPr>
                <w:rStyle w:val="Hyperlink"/>
                <w:noProof/>
                <w:lang w:val="en-GB"/>
              </w:rPr>
              <w:t>3.3.</w:t>
            </w:r>
            <w:r w:rsidR="00E65E3D">
              <w:rPr>
                <w:rFonts w:asciiTheme="minorHAnsi" w:eastAsiaTheme="minorEastAsia" w:hAnsiTheme="minorHAnsi" w:cstheme="minorBidi"/>
                <w:noProof/>
                <w:sz w:val="22"/>
                <w:szCs w:val="22"/>
                <w:lang w:val="it-IT" w:eastAsia="it-IT"/>
              </w:rPr>
              <w:tab/>
            </w:r>
            <w:r w:rsidR="00E65E3D" w:rsidRPr="000E1C5C">
              <w:rPr>
                <w:rStyle w:val="Hyperlink"/>
                <w:noProof/>
                <w:lang w:val="en-GB"/>
              </w:rPr>
              <w:t>Flood risk</w:t>
            </w:r>
            <w:r w:rsidR="00E65E3D">
              <w:rPr>
                <w:noProof/>
                <w:webHidden/>
              </w:rPr>
              <w:tab/>
            </w:r>
            <w:r w:rsidR="00E65E3D">
              <w:rPr>
                <w:noProof/>
                <w:webHidden/>
              </w:rPr>
              <w:fldChar w:fldCharType="begin"/>
            </w:r>
            <w:r w:rsidR="00E65E3D">
              <w:rPr>
                <w:noProof/>
                <w:webHidden/>
              </w:rPr>
              <w:instrText xml:space="preserve"> PAGEREF _Toc62825935 \h </w:instrText>
            </w:r>
            <w:r w:rsidR="00E65E3D">
              <w:rPr>
                <w:noProof/>
                <w:webHidden/>
              </w:rPr>
            </w:r>
            <w:r w:rsidR="00E65E3D">
              <w:rPr>
                <w:noProof/>
                <w:webHidden/>
              </w:rPr>
              <w:fldChar w:fldCharType="separate"/>
            </w:r>
            <w:r w:rsidR="00E65E3D">
              <w:rPr>
                <w:noProof/>
                <w:webHidden/>
              </w:rPr>
              <w:t>18</w:t>
            </w:r>
            <w:r w:rsidR="00E65E3D">
              <w:rPr>
                <w:noProof/>
                <w:webHidden/>
              </w:rPr>
              <w:fldChar w:fldCharType="end"/>
            </w:r>
          </w:hyperlink>
        </w:p>
        <w:p w14:paraId="6B353D48" w14:textId="2ABC61A7" w:rsidR="00E65E3D" w:rsidRDefault="009A1671">
          <w:pPr>
            <w:pStyle w:val="TOC1"/>
            <w:rPr>
              <w:rFonts w:asciiTheme="minorHAnsi" w:eastAsiaTheme="minorEastAsia" w:hAnsiTheme="minorHAnsi" w:cstheme="minorBidi"/>
              <w:caps w:val="0"/>
              <w:noProof/>
              <w:sz w:val="22"/>
              <w:szCs w:val="22"/>
              <w:lang w:val="it-IT" w:eastAsia="it-IT"/>
            </w:rPr>
          </w:pPr>
          <w:hyperlink w:anchor="_Toc62825936" w:history="1">
            <w:r w:rsidR="00E65E3D" w:rsidRPr="000E1C5C">
              <w:rPr>
                <w:rStyle w:val="Hyperlink"/>
                <w:noProof/>
                <w:lang w:val="en-US"/>
              </w:rPr>
              <w:t>4.</w:t>
            </w:r>
            <w:r w:rsidR="00E65E3D">
              <w:rPr>
                <w:rFonts w:asciiTheme="minorHAnsi" w:eastAsiaTheme="minorEastAsia" w:hAnsiTheme="minorHAnsi" w:cstheme="minorBidi"/>
                <w:caps w:val="0"/>
                <w:noProof/>
                <w:sz w:val="22"/>
                <w:szCs w:val="22"/>
                <w:lang w:val="it-IT" w:eastAsia="it-IT"/>
              </w:rPr>
              <w:tab/>
            </w:r>
            <w:r w:rsidR="00E65E3D" w:rsidRPr="000E1C5C">
              <w:rPr>
                <w:rStyle w:val="Hyperlink"/>
                <w:noProof/>
                <w:lang w:val="en-US"/>
              </w:rPr>
              <w:t>Financing strategies to support the achievement of water policy goals: main issues and elements of a logical framework</w:t>
            </w:r>
            <w:r w:rsidR="00E65E3D">
              <w:rPr>
                <w:noProof/>
                <w:webHidden/>
              </w:rPr>
              <w:tab/>
            </w:r>
            <w:r w:rsidR="00E65E3D">
              <w:rPr>
                <w:noProof/>
                <w:webHidden/>
              </w:rPr>
              <w:fldChar w:fldCharType="begin"/>
            </w:r>
            <w:r w:rsidR="00E65E3D">
              <w:rPr>
                <w:noProof/>
                <w:webHidden/>
              </w:rPr>
              <w:instrText xml:space="preserve"> PAGEREF _Toc62825936 \h </w:instrText>
            </w:r>
            <w:r w:rsidR="00E65E3D">
              <w:rPr>
                <w:noProof/>
                <w:webHidden/>
              </w:rPr>
            </w:r>
            <w:r w:rsidR="00E65E3D">
              <w:rPr>
                <w:noProof/>
                <w:webHidden/>
              </w:rPr>
              <w:fldChar w:fldCharType="separate"/>
            </w:r>
            <w:r w:rsidR="00E65E3D">
              <w:rPr>
                <w:noProof/>
                <w:webHidden/>
              </w:rPr>
              <w:t>20</w:t>
            </w:r>
            <w:r w:rsidR="00E65E3D">
              <w:rPr>
                <w:noProof/>
                <w:webHidden/>
              </w:rPr>
              <w:fldChar w:fldCharType="end"/>
            </w:r>
          </w:hyperlink>
        </w:p>
        <w:p w14:paraId="747CDF93" w14:textId="00A560D9"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37" w:history="1">
            <w:r w:rsidR="00E65E3D" w:rsidRPr="000E1C5C">
              <w:rPr>
                <w:rStyle w:val="Hyperlink"/>
                <w:noProof/>
                <w:lang w:val="en-US"/>
              </w:rPr>
              <w:t>4.1.</w:t>
            </w:r>
            <w:r w:rsidR="00E65E3D">
              <w:rPr>
                <w:rFonts w:asciiTheme="minorHAnsi" w:eastAsiaTheme="minorEastAsia" w:hAnsiTheme="minorHAnsi" w:cstheme="minorBidi"/>
                <w:noProof/>
                <w:sz w:val="22"/>
                <w:szCs w:val="22"/>
                <w:lang w:val="it-IT" w:eastAsia="it-IT"/>
              </w:rPr>
              <w:tab/>
            </w:r>
            <w:r w:rsidR="00E65E3D" w:rsidRPr="000E1C5C">
              <w:rPr>
                <w:rStyle w:val="Hyperlink"/>
                <w:noProof/>
                <w:lang w:val="en-US"/>
              </w:rPr>
              <w:t xml:space="preserve">Why is a (more strategic) financial approach to water resources management </w:t>
            </w:r>
            <w:r w:rsidR="00E65E3D" w:rsidRPr="000E1C5C">
              <w:rPr>
                <w:rStyle w:val="Hyperlink"/>
                <w:rFonts w:ascii="Calibri" w:hAnsi="Calibri" w:cs="Calibri"/>
                <w:noProof/>
                <w:lang w:val="en-US"/>
              </w:rPr>
              <w:t xml:space="preserve">(WRM) </w:t>
            </w:r>
            <w:r w:rsidR="00E65E3D" w:rsidRPr="000E1C5C">
              <w:rPr>
                <w:rStyle w:val="Hyperlink"/>
                <w:noProof/>
                <w:lang w:val="en-US"/>
              </w:rPr>
              <w:t>needed?</w:t>
            </w:r>
            <w:r w:rsidR="00E65E3D">
              <w:rPr>
                <w:noProof/>
                <w:webHidden/>
              </w:rPr>
              <w:tab/>
            </w:r>
            <w:r w:rsidR="00E65E3D">
              <w:rPr>
                <w:noProof/>
                <w:webHidden/>
              </w:rPr>
              <w:fldChar w:fldCharType="begin"/>
            </w:r>
            <w:r w:rsidR="00E65E3D">
              <w:rPr>
                <w:noProof/>
                <w:webHidden/>
              </w:rPr>
              <w:instrText xml:space="preserve"> PAGEREF _Toc62825937 \h </w:instrText>
            </w:r>
            <w:r w:rsidR="00E65E3D">
              <w:rPr>
                <w:noProof/>
                <w:webHidden/>
              </w:rPr>
            </w:r>
            <w:r w:rsidR="00E65E3D">
              <w:rPr>
                <w:noProof/>
                <w:webHidden/>
              </w:rPr>
              <w:fldChar w:fldCharType="separate"/>
            </w:r>
            <w:r w:rsidR="00E65E3D">
              <w:rPr>
                <w:noProof/>
                <w:webHidden/>
              </w:rPr>
              <w:t>20</w:t>
            </w:r>
            <w:r w:rsidR="00E65E3D">
              <w:rPr>
                <w:noProof/>
                <w:webHidden/>
              </w:rPr>
              <w:fldChar w:fldCharType="end"/>
            </w:r>
          </w:hyperlink>
        </w:p>
        <w:p w14:paraId="759A044F" w14:textId="3262D800"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38" w:history="1">
            <w:r w:rsidR="00E65E3D" w:rsidRPr="000E1C5C">
              <w:rPr>
                <w:rStyle w:val="Hyperlink"/>
                <w:noProof/>
                <w:lang w:val="en-US"/>
              </w:rPr>
              <w:t>4.2.</w:t>
            </w:r>
            <w:r w:rsidR="00E65E3D">
              <w:rPr>
                <w:rFonts w:asciiTheme="minorHAnsi" w:eastAsiaTheme="minorEastAsia" w:hAnsiTheme="minorHAnsi" w:cstheme="minorBidi"/>
                <w:noProof/>
                <w:sz w:val="22"/>
                <w:szCs w:val="22"/>
                <w:lang w:val="it-IT" w:eastAsia="it-IT"/>
              </w:rPr>
              <w:tab/>
            </w:r>
            <w:r w:rsidR="00E65E3D" w:rsidRPr="000E1C5C">
              <w:rPr>
                <w:rStyle w:val="Hyperlink"/>
                <w:noProof/>
                <w:lang w:val="en-US"/>
              </w:rPr>
              <w:t>Why is it critical to connect financing to WRM in a more determined way?</w:t>
            </w:r>
            <w:r w:rsidR="00E65E3D">
              <w:rPr>
                <w:noProof/>
                <w:webHidden/>
              </w:rPr>
              <w:tab/>
            </w:r>
            <w:r w:rsidR="00E65E3D">
              <w:rPr>
                <w:noProof/>
                <w:webHidden/>
              </w:rPr>
              <w:fldChar w:fldCharType="begin"/>
            </w:r>
            <w:r w:rsidR="00E65E3D">
              <w:rPr>
                <w:noProof/>
                <w:webHidden/>
              </w:rPr>
              <w:instrText xml:space="preserve"> PAGEREF _Toc62825938 \h </w:instrText>
            </w:r>
            <w:r w:rsidR="00E65E3D">
              <w:rPr>
                <w:noProof/>
                <w:webHidden/>
              </w:rPr>
            </w:r>
            <w:r w:rsidR="00E65E3D">
              <w:rPr>
                <w:noProof/>
                <w:webHidden/>
              </w:rPr>
              <w:fldChar w:fldCharType="separate"/>
            </w:r>
            <w:r w:rsidR="00E65E3D">
              <w:rPr>
                <w:noProof/>
                <w:webHidden/>
              </w:rPr>
              <w:t>21</w:t>
            </w:r>
            <w:r w:rsidR="00E65E3D">
              <w:rPr>
                <w:noProof/>
                <w:webHidden/>
              </w:rPr>
              <w:fldChar w:fldCharType="end"/>
            </w:r>
          </w:hyperlink>
        </w:p>
        <w:p w14:paraId="30A438EC" w14:textId="3E7A6F9E"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39" w:history="1">
            <w:r w:rsidR="00E65E3D" w:rsidRPr="000E1C5C">
              <w:rPr>
                <w:rStyle w:val="Hyperlink"/>
                <w:noProof/>
                <w:lang w:val="en-US"/>
              </w:rPr>
              <w:t>4.1.</w:t>
            </w:r>
            <w:r w:rsidR="00E65E3D">
              <w:rPr>
                <w:rFonts w:asciiTheme="minorHAnsi" w:eastAsiaTheme="minorEastAsia" w:hAnsiTheme="minorHAnsi" w:cstheme="minorBidi"/>
                <w:noProof/>
                <w:sz w:val="22"/>
                <w:szCs w:val="22"/>
                <w:lang w:val="it-IT" w:eastAsia="it-IT"/>
              </w:rPr>
              <w:tab/>
            </w:r>
            <w:r w:rsidR="00E65E3D" w:rsidRPr="000E1C5C">
              <w:rPr>
                <w:rStyle w:val="Hyperlink"/>
                <w:noProof/>
                <w:lang w:val="en-US"/>
              </w:rPr>
              <w:t>Why money is not the only constraint: challenges in fund absorption</w:t>
            </w:r>
            <w:r w:rsidR="00E65E3D">
              <w:rPr>
                <w:noProof/>
                <w:webHidden/>
              </w:rPr>
              <w:tab/>
            </w:r>
            <w:r w:rsidR="00E65E3D">
              <w:rPr>
                <w:noProof/>
                <w:webHidden/>
              </w:rPr>
              <w:fldChar w:fldCharType="begin"/>
            </w:r>
            <w:r w:rsidR="00E65E3D">
              <w:rPr>
                <w:noProof/>
                <w:webHidden/>
              </w:rPr>
              <w:instrText xml:space="preserve"> PAGEREF _Toc62825939 \h </w:instrText>
            </w:r>
            <w:r w:rsidR="00E65E3D">
              <w:rPr>
                <w:noProof/>
                <w:webHidden/>
              </w:rPr>
            </w:r>
            <w:r w:rsidR="00E65E3D">
              <w:rPr>
                <w:noProof/>
                <w:webHidden/>
              </w:rPr>
              <w:fldChar w:fldCharType="separate"/>
            </w:r>
            <w:r w:rsidR="00E65E3D">
              <w:rPr>
                <w:noProof/>
                <w:webHidden/>
              </w:rPr>
              <w:t>22</w:t>
            </w:r>
            <w:r w:rsidR="00E65E3D">
              <w:rPr>
                <w:noProof/>
                <w:webHidden/>
              </w:rPr>
              <w:fldChar w:fldCharType="end"/>
            </w:r>
          </w:hyperlink>
        </w:p>
        <w:p w14:paraId="272870B4" w14:textId="3F169BB8"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40" w:history="1">
            <w:r w:rsidR="00E65E3D" w:rsidRPr="000E1C5C">
              <w:rPr>
                <w:rStyle w:val="Hyperlink"/>
                <w:noProof/>
                <w:lang w:val="en-US"/>
              </w:rPr>
              <w:t>4.1.</w:t>
            </w:r>
            <w:r w:rsidR="00E65E3D">
              <w:rPr>
                <w:rFonts w:asciiTheme="minorHAnsi" w:eastAsiaTheme="minorEastAsia" w:hAnsiTheme="minorHAnsi" w:cstheme="minorBidi"/>
                <w:noProof/>
                <w:sz w:val="22"/>
                <w:szCs w:val="22"/>
                <w:lang w:val="it-IT" w:eastAsia="it-IT"/>
              </w:rPr>
              <w:tab/>
            </w:r>
            <w:r w:rsidR="00E65E3D" w:rsidRPr="000E1C5C">
              <w:rPr>
                <w:rStyle w:val="Hyperlink"/>
                <w:noProof/>
                <w:lang w:val="en-US"/>
              </w:rPr>
              <w:t>The different dimensions of strategic water financing</w:t>
            </w:r>
            <w:r w:rsidR="00E65E3D">
              <w:rPr>
                <w:noProof/>
                <w:webHidden/>
              </w:rPr>
              <w:tab/>
            </w:r>
            <w:r w:rsidR="00E65E3D">
              <w:rPr>
                <w:noProof/>
                <w:webHidden/>
              </w:rPr>
              <w:fldChar w:fldCharType="begin"/>
            </w:r>
            <w:r w:rsidR="00E65E3D">
              <w:rPr>
                <w:noProof/>
                <w:webHidden/>
              </w:rPr>
              <w:instrText xml:space="preserve"> PAGEREF _Toc62825940 \h </w:instrText>
            </w:r>
            <w:r w:rsidR="00E65E3D">
              <w:rPr>
                <w:noProof/>
                <w:webHidden/>
              </w:rPr>
            </w:r>
            <w:r w:rsidR="00E65E3D">
              <w:rPr>
                <w:noProof/>
                <w:webHidden/>
              </w:rPr>
              <w:fldChar w:fldCharType="separate"/>
            </w:r>
            <w:r w:rsidR="00E65E3D">
              <w:rPr>
                <w:noProof/>
                <w:webHidden/>
              </w:rPr>
              <w:t>23</w:t>
            </w:r>
            <w:r w:rsidR="00E65E3D">
              <w:rPr>
                <w:noProof/>
                <w:webHidden/>
              </w:rPr>
              <w:fldChar w:fldCharType="end"/>
            </w:r>
          </w:hyperlink>
        </w:p>
        <w:p w14:paraId="5578815B" w14:textId="6D62DC24" w:rsidR="00E65E3D" w:rsidRDefault="009A1671">
          <w:pPr>
            <w:pStyle w:val="TOC1"/>
            <w:rPr>
              <w:rFonts w:asciiTheme="minorHAnsi" w:eastAsiaTheme="minorEastAsia" w:hAnsiTheme="minorHAnsi" w:cstheme="minorBidi"/>
              <w:caps w:val="0"/>
              <w:noProof/>
              <w:sz w:val="22"/>
              <w:szCs w:val="22"/>
              <w:lang w:val="it-IT" w:eastAsia="it-IT"/>
            </w:rPr>
          </w:pPr>
          <w:hyperlink w:anchor="_Toc62825941" w:history="1">
            <w:r w:rsidR="00E65E3D" w:rsidRPr="000E1C5C">
              <w:rPr>
                <w:rStyle w:val="Hyperlink"/>
                <w:noProof/>
                <w:lang w:val="en-US"/>
              </w:rPr>
              <w:t>5.</w:t>
            </w:r>
            <w:r w:rsidR="00E65E3D">
              <w:rPr>
                <w:rFonts w:asciiTheme="minorHAnsi" w:eastAsiaTheme="minorEastAsia" w:hAnsiTheme="minorHAnsi" w:cstheme="minorBidi"/>
                <w:caps w:val="0"/>
                <w:noProof/>
                <w:sz w:val="22"/>
                <w:szCs w:val="22"/>
                <w:lang w:val="it-IT" w:eastAsia="it-IT"/>
              </w:rPr>
              <w:tab/>
            </w:r>
            <w:r w:rsidR="00E65E3D" w:rsidRPr="000E1C5C">
              <w:rPr>
                <w:rStyle w:val="Hyperlink"/>
                <w:noProof/>
                <w:lang w:val="en-US"/>
              </w:rPr>
              <w:t>Assessing the efforts (costs) required for achieving water policy goals</w:t>
            </w:r>
            <w:r w:rsidR="00E65E3D">
              <w:rPr>
                <w:noProof/>
                <w:webHidden/>
              </w:rPr>
              <w:tab/>
            </w:r>
            <w:r w:rsidR="00E65E3D">
              <w:rPr>
                <w:noProof/>
                <w:webHidden/>
              </w:rPr>
              <w:fldChar w:fldCharType="begin"/>
            </w:r>
            <w:r w:rsidR="00E65E3D">
              <w:rPr>
                <w:noProof/>
                <w:webHidden/>
              </w:rPr>
              <w:instrText xml:space="preserve"> PAGEREF _Toc62825941 \h </w:instrText>
            </w:r>
            <w:r w:rsidR="00E65E3D">
              <w:rPr>
                <w:noProof/>
                <w:webHidden/>
              </w:rPr>
            </w:r>
            <w:r w:rsidR="00E65E3D">
              <w:rPr>
                <w:noProof/>
                <w:webHidden/>
              </w:rPr>
              <w:fldChar w:fldCharType="separate"/>
            </w:r>
            <w:r w:rsidR="00E65E3D">
              <w:rPr>
                <w:noProof/>
                <w:webHidden/>
              </w:rPr>
              <w:t>28</w:t>
            </w:r>
            <w:r w:rsidR="00E65E3D">
              <w:rPr>
                <w:noProof/>
                <w:webHidden/>
              </w:rPr>
              <w:fldChar w:fldCharType="end"/>
            </w:r>
          </w:hyperlink>
        </w:p>
        <w:p w14:paraId="0B076358" w14:textId="53E026C9"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42" w:history="1">
            <w:r w:rsidR="00E65E3D" w:rsidRPr="000E1C5C">
              <w:rPr>
                <w:rStyle w:val="Hyperlink"/>
                <w:noProof/>
                <w:lang w:val="en-US"/>
              </w:rPr>
              <w:t>5.1.</w:t>
            </w:r>
            <w:r w:rsidR="00E65E3D">
              <w:rPr>
                <w:rFonts w:asciiTheme="minorHAnsi" w:eastAsiaTheme="minorEastAsia" w:hAnsiTheme="minorHAnsi" w:cstheme="minorBidi"/>
                <w:noProof/>
                <w:sz w:val="22"/>
                <w:szCs w:val="22"/>
                <w:lang w:val="it-IT" w:eastAsia="it-IT"/>
              </w:rPr>
              <w:tab/>
            </w:r>
            <w:r w:rsidR="00E65E3D" w:rsidRPr="000E1C5C">
              <w:rPr>
                <w:rStyle w:val="Hyperlink"/>
                <w:rFonts w:cs="Segoe UI"/>
                <w:noProof/>
                <w:lang w:val="en-US"/>
              </w:rPr>
              <w:t>What do we know about costs and future level of efforts?</w:t>
            </w:r>
            <w:r w:rsidR="00E65E3D">
              <w:rPr>
                <w:noProof/>
                <w:webHidden/>
              </w:rPr>
              <w:tab/>
            </w:r>
            <w:r w:rsidR="00E65E3D">
              <w:rPr>
                <w:noProof/>
                <w:webHidden/>
              </w:rPr>
              <w:fldChar w:fldCharType="begin"/>
            </w:r>
            <w:r w:rsidR="00E65E3D">
              <w:rPr>
                <w:noProof/>
                <w:webHidden/>
              </w:rPr>
              <w:instrText xml:space="preserve"> PAGEREF _Toc62825942 \h </w:instrText>
            </w:r>
            <w:r w:rsidR="00E65E3D">
              <w:rPr>
                <w:noProof/>
                <w:webHidden/>
              </w:rPr>
            </w:r>
            <w:r w:rsidR="00E65E3D">
              <w:rPr>
                <w:noProof/>
                <w:webHidden/>
              </w:rPr>
              <w:fldChar w:fldCharType="separate"/>
            </w:r>
            <w:r w:rsidR="00E65E3D">
              <w:rPr>
                <w:noProof/>
                <w:webHidden/>
              </w:rPr>
              <w:t>28</w:t>
            </w:r>
            <w:r w:rsidR="00E65E3D">
              <w:rPr>
                <w:noProof/>
                <w:webHidden/>
              </w:rPr>
              <w:fldChar w:fldCharType="end"/>
            </w:r>
          </w:hyperlink>
        </w:p>
        <w:p w14:paraId="357ACDEF" w14:textId="5116B327"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43" w:history="1">
            <w:r w:rsidR="00E65E3D" w:rsidRPr="000E1C5C">
              <w:rPr>
                <w:rStyle w:val="Hyperlink"/>
                <w:rFonts w:cs="Segoe UI"/>
                <w:noProof/>
                <w:lang w:val="en-US"/>
              </w:rPr>
              <w:t>5.2.</w:t>
            </w:r>
            <w:r w:rsidR="00E65E3D">
              <w:rPr>
                <w:rFonts w:asciiTheme="minorHAnsi" w:eastAsiaTheme="minorEastAsia" w:hAnsiTheme="minorHAnsi" w:cstheme="minorBidi"/>
                <w:noProof/>
                <w:sz w:val="22"/>
                <w:szCs w:val="22"/>
                <w:lang w:val="it-IT" w:eastAsia="it-IT"/>
              </w:rPr>
              <w:tab/>
            </w:r>
            <w:r w:rsidR="00E65E3D" w:rsidRPr="000E1C5C">
              <w:rPr>
                <w:rStyle w:val="Hyperlink"/>
                <w:rFonts w:cs="Segoe UI"/>
                <w:noProof/>
                <w:lang w:val="en-US"/>
              </w:rPr>
              <w:t>Which current practice in applying methods and tools for assessing costs?</w:t>
            </w:r>
            <w:r w:rsidR="00E65E3D">
              <w:rPr>
                <w:noProof/>
                <w:webHidden/>
              </w:rPr>
              <w:tab/>
            </w:r>
            <w:r w:rsidR="00E65E3D">
              <w:rPr>
                <w:noProof/>
                <w:webHidden/>
              </w:rPr>
              <w:fldChar w:fldCharType="begin"/>
            </w:r>
            <w:r w:rsidR="00E65E3D">
              <w:rPr>
                <w:noProof/>
                <w:webHidden/>
              </w:rPr>
              <w:instrText xml:space="preserve"> PAGEREF _Toc62825943 \h </w:instrText>
            </w:r>
            <w:r w:rsidR="00E65E3D">
              <w:rPr>
                <w:noProof/>
                <w:webHidden/>
              </w:rPr>
            </w:r>
            <w:r w:rsidR="00E65E3D">
              <w:rPr>
                <w:noProof/>
                <w:webHidden/>
              </w:rPr>
              <w:fldChar w:fldCharType="separate"/>
            </w:r>
            <w:r w:rsidR="00E65E3D">
              <w:rPr>
                <w:noProof/>
                <w:webHidden/>
              </w:rPr>
              <w:t>42</w:t>
            </w:r>
            <w:r w:rsidR="00E65E3D">
              <w:rPr>
                <w:noProof/>
                <w:webHidden/>
              </w:rPr>
              <w:fldChar w:fldCharType="end"/>
            </w:r>
          </w:hyperlink>
        </w:p>
        <w:p w14:paraId="433B0EAF" w14:textId="5671D344" w:rsidR="00E65E3D" w:rsidRDefault="009A1671">
          <w:pPr>
            <w:pStyle w:val="TOC1"/>
            <w:rPr>
              <w:rFonts w:asciiTheme="minorHAnsi" w:eastAsiaTheme="minorEastAsia" w:hAnsiTheme="minorHAnsi" w:cstheme="minorBidi"/>
              <w:caps w:val="0"/>
              <w:noProof/>
              <w:sz w:val="22"/>
              <w:szCs w:val="22"/>
              <w:lang w:val="it-IT" w:eastAsia="it-IT"/>
            </w:rPr>
          </w:pPr>
          <w:hyperlink w:anchor="_Toc62825944" w:history="1">
            <w:r w:rsidR="00E65E3D" w:rsidRPr="000E1C5C">
              <w:rPr>
                <w:rStyle w:val="Hyperlink"/>
                <w:noProof/>
                <w:lang w:val="en-US"/>
              </w:rPr>
              <w:t>6.</w:t>
            </w:r>
            <w:r w:rsidR="00E65E3D">
              <w:rPr>
                <w:rFonts w:asciiTheme="minorHAnsi" w:eastAsiaTheme="minorEastAsia" w:hAnsiTheme="minorHAnsi" w:cstheme="minorBidi"/>
                <w:caps w:val="0"/>
                <w:noProof/>
                <w:sz w:val="22"/>
                <w:szCs w:val="22"/>
                <w:lang w:val="it-IT" w:eastAsia="it-IT"/>
              </w:rPr>
              <w:tab/>
            </w:r>
            <w:r w:rsidR="00E65E3D" w:rsidRPr="000E1C5C">
              <w:rPr>
                <w:rStyle w:val="Hyperlink"/>
                <w:noProof/>
                <w:lang w:val="en-US"/>
              </w:rPr>
              <w:t>Mobilising financial resources to support the achievement of water policy goals</w:t>
            </w:r>
            <w:r w:rsidR="00E65E3D">
              <w:rPr>
                <w:noProof/>
                <w:webHidden/>
              </w:rPr>
              <w:tab/>
            </w:r>
            <w:r w:rsidR="00E65E3D">
              <w:rPr>
                <w:noProof/>
                <w:webHidden/>
              </w:rPr>
              <w:fldChar w:fldCharType="begin"/>
            </w:r>
            <w:r w:rsidR="00E65E3D">
              <w:rPr>
                <w:noProof/>
                <w:webHidden/>
              </w:rPr>
              <w:instrText xml:space="preserve"> PAGEREF _Toc62825944 \h </w:instrText>
            </w:r>
            <w:r w:rsidR="00E65E3D">
              <w:rPr>
                <w:noProof/>
                <w:webHidden/>
              </w:rPr>
            </w:r>
            <w:r w:rsidR="00E65E3D">
              <w:rPr>
                <w:noProof/>
                <w:webHidden/>
              </w:rPr>
              <w:fldChar w:fldCharType="separate"/>
            </w:r>
            <w:r w:rsidR="00E65E3D">
              <w:rPr>
                <w:noProof/>
                <w:webHidden/>
              </w:rPr>
              <w:t>48</w:t>
            </w:r>
            <w:r w:rsidR="00E65E3D">
              <w:rPr>
                <w:noProof/>
                <w:webHidden/>
              </w:rPr>
              <w:fldChar w:fldCharType="end"/>
            </w:r>
          </w:hyperlink>
        </w:p>
        <w:p w14:paraId="4BAF26A4" w14:textId="519D98AF"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45" w:history="1">
            <w:r w:rsidR="00E65E3D" w:rsidRPr="000E1C5C">
              <w:rPr>
                <w:rStyle w:val="Hyperlink"/>
                <w:noProof/>
                <w:lang w:val="en-US"/>
              </w:rPr>
              <w:t>6.1.</w:t>
            </w:r>
            <w:r w:rsidR="00E65E3D">
              <w:rPr>
                <w:rFonts w:asciiTheme="minorHAnsi" w:eastAsiaTheme="minorEastAsia" w:hAnsiTheme="minorHAnsi" w:cstheme="minorBidi"/>
                <w:noProof/>
                <w:sz w:val="22"/>
                <w:szCs w:val="22"/>
                <w:lang w:val="it-IT" w:eastAsia="it-IT"/>
              </w:rPr>
              <w:tab/>
            </w:r>
            <w:r w:rsidR="00E65E3D" w:rsidRPr="000E1C5C">
              <w:rPr>
                <w:rStyle w:val="Hyperlink"/>
                <w:noProof/>
                <w:lang w:val="en-US"/>
              </w:rPr>
              <w:t>What do we know about financing?</w:t>
            </w:r>
            <w:r w:rsidR="00E65E3D">
              <w:rPr>
                <w:noProof/>
                <w:webHidden/>
              </w:rPr>
              <w:tab/>
            </w:r>
            <w:r w:rsidR="00E65E3D">
              <w:rPr>
                <w:noProof/>
                <w:webHidden/>
              </w:rPr>
              <w:fldChar w:fldCharType="begin"/>
            </w:r>
            <w:r w:rsidR="00E65E3D">
              <w:rPr>
                <w:noProof/>
                <w:webHidden/>
              </w:rPr>
              <w:instrText xml:space="preserve"> PAGEREF _Toc62825945 \h </w:instrText>
            </w:r>
            <w:r w:rsidR="00E65E3D">
              <w:rPr>
                <w:noProof/>
                <w:webHidden/>
              </w:rPr>
            </w:r>
            <w:r w:rsidR="00E65E3D">
              <w:rPr>
                <w:noProof/>
                <w:webHidden/>
              </w:rPr>
              <w:fldChar w:fldCharType="separate"/>
            </w:r>
            <w:r w:rsidR="00E65E3D">
              <w:rPr>
                <w:noProof/>
                <w:webHidden/>
              </w:rPr>
              <w:t>48</w:t>
            </w:r>
            <w:r w:rsidR="00E65E3D">
              <w:rPr>
                <w:noProof/>
                <w:webHidden/>
              </w:rPr>
              <w:fldChar w:fldCharType="end"/>
            </w:r>
          </w:hyperlink>
        </w:p>
        <w:p w14:paraId="196A3DF8" w14:textId="5614C30F"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46" w:history="1">
            <w:r w:rsidR="00E65E3D" w:rsidRPr="000E1C5C">
              <w:rPr>
                <w:rStyle w:val="Hyperlink"/>
                <w:noProof/>
                <w:lang w:val="en-GB"/>
              </w:rPr>
              <w:t>6.2.</w:t>
            </w:r>
            <w:r w:rsidR="00E65E3D">
              <w:rPr>
                <w:rFonts w:asciiTheme="minorHAnsi" w:eastAsiaTheme="minorEastAsia" w:hAnsiTheme="minorHAnsi" w:cstheme="minorBidi"/>
                <w:noProof/>
                <w:sz w:val="22"/>
                <w:szCs w:val="22"/>
                <w:lang w:val="it-IT" w:eastAsia="it-IT"/>
              </w:rPr>
              <w:tab/>
            </w:r>
            <w:r w:rsidR="00E65E3D" w:rsidRPr="000E1C5C">
              <w:rPr>
                <w:rStyle w:val="Hyperlink"/>
                <w:noProof/>
                <w:lang w:val="en-US"/>
              </w:rPr>
              <w:t>What are implications on cost-recovery?</w:t>
            </w:r>
            <w:r w:rsidR="00E65E3D">
              <w:rPr>
                <w:noProof/>
                <w:webHidden/>
              </w:rPr>
              <w:tab/>
            </w:r>
            <w:r w:rsidR="00E65E3D">
              <w:rPr>
                <w:noProof/>
                <w:webHidden/>
              </w:rPr>
              <w:fldChar w:fldCharType="begin"/>
            </w:r>
            <w:r w:rsidR="00E65E3D">
              <w:rPr>
                <w:noProof/>
                <w:webHidden/>
              </w:rPr>
              <w:instrText xml:space="preserve"> PAGEREF _Toc62825946 \h </w:instrText>
            </w:r>
            <w:r w:rsidR="00E65E3D">
              <w:rPr>
                <w:noProof/>
                <w:webHidden/>
              </w:rPr>
            </w:r>
            <w:r w:rsidR="00E65E3D">
              <w:rPr>
                <w:noProof/>
                <w:webHidden/>
              </w:rPr>
              <w:fldChar w:fldCharType="separate"/>
            </w:r>
            <w:r w:rsidR="00E65E3D">
              <w:rPr>
                <w:noProof/>
                <w:webHidden/>
              </w:rPr>
              <w:t>60</w:t>
            </w:r>
            <w:r w:rsidR="00E65E3D">
              <w:rPr>
                <w:noProof/>
                <w:webHidden/>
              </w:rPr>
              <w:fldChar w:fldCharType="end"/>
            </w:r>
          </w:hyperlink>
        </w:p>
        <w:p w14:paraId="1BD80526" w14:textId="3E2C3E44" w:rsidR="00E65E3D" w:rsidRDefault="009A1671">
          <w:pPr>
            <w:pStyle w:val="TOC1"/>
            <w:rPr>
              <w:rFonts w:asciiTheme="minorHAnsi" w:eastAsiaTheme="minorEastAsia" w:hAnsiTheme="minorHAnsi" w:cstheme="minorBidi"/>
              <w:caps w:val="0"/>
              <w:noProof/>
              <w:sz w:val="22"/>
              <w:szCs w:val="22"/>
              <w:lang w:val="it-IT" w:eastAsia="it-IT"/>
            </w:rPr>
          </w:pPr>
          <w:hyperlink w:anchor="_Toc62825947" w:history="1">
            <w:r w:rsidR="00E65E3D" w:rsidRPr="000E1C5C">
              <w:rPr>
                <w:rStyle w:val="Hyperlink"/>
                <w:noProof/>
                <w:lang w:val="en-US"/>
              </w:rPr>
              <w:t>7.</w:t>
            </w:r>
            <w:r w:rsidR="00E65E3D">
              <w:rPr>
                <w:rFonts w:asciiTheme="minorHAnsi" w:eastAsiaTheme="minorEastAsia" w:hAnsiTheme="minorHAnsi" w:cstheme="minorBidi"/>
                <w:caps w:val="0"/>
                <w:noProof/>
                <w:sz w:val="22"/>
                <w:szCs w:val="22"/>
                <w:lang w:val="it-IT" w:eastAsia="it-IT"/>
              </w:rPr>
              <w:tab/>
            </w:r>
            <w:r w:rsidR="00E65E3D" w:rsidRPr="000E1C5C">
              <w:rPr>
                <w:rStyle w:val="Hyperlink"/>
                <w:noProof/>
                <w:lang w:val="en-US"/>
              </w:rPr>
              <w:t>Putting main results into a wider perspective</w:t>
            </w:r>
            <w:r w:rsidR="00E65E3D">
              <w:rPr>
                <w:noProof/>
                <w:webHidden/>
              </w:rPr>
              <w:tab/>
            </w:r>
            <w:r w:rsidR="00E65E3D">
              <w:rPr>
                <w:noProof/>
                <w:webHidden/>
              </w:rPr>
              <w:fldChar w:fldCharType="begin"/>
            </w:r>
            <w:r w:rsidR="00E65E3D">
              <w:rPr>
                <w:noProof/>
                <w:webHidden/>
              </w:rPr>
              <w:instrText xml:space="preserve"> PAGEREF _Toc62825947 \h </w:instrText>
            </w:r>
            <w:r w:rsidR="00E65E3D">
              <w:rPr>
                <w:noProof/>
                <w:webHidden/>
              </w:rPr>
            </w:r>
            <w:r w:rsidR="00E65E3D">
              <w:rPr>
                <w:noProof/>
                <w:webHidden/>
              </w:rPr>
              <w:fldChar w:fldCharType="separate"/>
            </w:r>
            <w:r w:rsidR="00E65E3D">
              <w:rPr>
                <w:noProof/>
                <w:webHidden/>
              </w:rPr>
              <w:t>69</w:t>
            </w:r>
            <w:r w:rsidR="00E65E3D">
              <w:rPr>
                <w:noProof/>
                <w:webHidden/>
              </w:rPr>
              <w:fldChar w:fldCharType="end"/>
            </w:r>
          </w:hyperlink>
        </w:p>
        <w:p w14:paraId="494A432B" w14:textId="1A561C09"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48" w:history="1">
            <w:r w:rsidR="00E65E3D" w:rsidRPr="000E1C5C">
              <w:rPr>
                <w:rStyle w:val="Hyperlink"/>
                <w:rFonts w:eastAsia="Calibri"/>
                <w:noProof/>
                <w:lang w:val="en-US"/>
              </w:rPr>
              <w:t>7.1.</w:t>
            </w:r>
            <w:r w:rsidR="00E65E3D">
              <w:rPr>
                <w:rFonts w:asciiTheme="minorHAnsi" w:eastAsiaTheme="minorEastAsia" w:hAnsiTheme="minorHAnsi" w:cstheme="minorBidi"/>
                <w:noProof/>
                <w:sz w:val="22"/>
                <w:szCs w:val="22"/>
                <w:lang w:val="it-IT" w:eastAsia="it-IT"/>
              </w:rPr>
              <w:tab/>
            </w:r>
            <w:r w:rsidR="00E65E3D" w:rsidRPr="000E1C5C">
              <w:rPr>
                <w:rStyle w:val="Hyperlink"/>
                <w:rFonts w:eastAsia="Calibri"/>
                <w:noProof/>
                <w:lang w:val="en-US"/>
              </w:rPr>
              <w:t>Main results: Assessing the costs of the Water Framework Directive</w:t>
            </w:r>
            <w:r w:rsidR="00E65E3D">
              <w:rPr>
                <w:noProof/>
                <w:webHidden/>
              </w:rPr>
              <w:tab/>
            </w:r>
            <w:r w:rsidR="00E65E3D">
              <w:rPr>
                <w:noProof/>
                <w:webHidden/>
              </w:rPr>
              <w:fldChar w:fldCharType="begin"/>
            </w:r>
            <w:r w:rsidR="00E65E3D">
              <w:rPr>
                <w:noProof/>
                <w:webHidden/>
              </w:rPr>
              <w:instrText xml:space="preserve"> PAGEREF _Toc62825948 \h </w:instrText>
            </w:r>
            <w:r w:rsidR="00E65E3D">
              <w:rPr>
                <w:noProof/>
                <w:webHidden/>
              </w:rPr>
            </w:r>
            <w:r w:rsidR="00E65E3D">
              <w:rPr>
                <w:noProof/>
                <w:webHidden/>
              </w:rPr>
              <w:fldChar w:fldCharType="separate"/>
            </w:r>
            <w:r w:rsidR="00E65E3D">
              <w:rPr>
                <w:noProof/>
                <w:webHidden/>
              </w:rPr>
              <w:t>69</w:t>
            </w:r>
            <w:r w:rsidR="00E65E3D">
              <w:rPr>
                <w:noProof/>
                <w:webHidden/>
              </w:rPr>
              <w:fldChar w:fldCharType="end"/>
            </w:r>
          </w:hyperlink>
        </w:p>
        <w:p w14:paraId="40FFA396" w14:textId="3C7312D6"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49" w:history="1">
            <w:r w:rsidR="00E65E3D" w:rsidRPr="000E1C5C">
              <w:rPr>
                <w:rStyle w:val="Hyperlink"/>
                <w:rFonts w:eastAsia="Calibri"/>
                <w:noProof/>
                <w:lang w:val="en-US"/>
              </w:rPr>
              <w:t>7.2.</w:t>
            </w:r>
            <w:r w:rsidR="00E65E3D">
              <w:rPr>
                <w:rFonts w:asciiTheme="minorHAnsi" w:eastAsiaTheme="minorEastAsia" w:hAnsiTheme="minorHAnsi" w:cstheme="minorBidi"/>
                <w:noProof/>
                <w:sz w:val="22"/>
                <w:szCs w:val="22"/>
                <w:lang w:val="it-IT" w:eastAsia="it-IT"/>
              </w:rPr>
              <w:tab/>
            </w:r>
            <w:r w:rsidR="00E65E3D" w:rsidRPr="000E1C5C">
              <w:rPr>
                <w:rStyle w:val="Hyperlink"/>
                <w:rFonts w:eastAsia="Calibri"/>
                <w:noProof/>
                <w:lang w:val="en-US"/>
              </w:rPr>
              <w:t>Main results: Assessing the costs of the Floods Directive</w:t>
            </w:r>
            <w:r w:rsidR="00E65E3D">
              <w:rPr>
                <w:noProof/>
                <w:webHidden/>
              </w:rPr>
              <w:tab/>
            </w:r>
            <w:r w:rsidR="00E65E3D">
              <w:rPr>
                <w:noProof/>
                <w:webHidden/>
              </w:rPr>
              <w:fldChar w:fldCharType="begin"/>
            </w:r>
            <w:r w:rsidR="00E65E3D">
              <w:rPr>
                <w:noProof/>
                <w:webHidden/>
              </w:rPr>
              <w:instrText xml:space="preserve"> PAGEREF _Toc62825949 \h </w:instrText>
            </w:r>
            <w:r w:rsidR="00E65E3D">
              <w:rPr>
                <w:noProof/>
                <w:webHidden/>
              </w:rPr>
            </w:r>
            <w:r w:rsidR="00E65E3D">
              <w:rPr>
                <w:noProof/>
                <w:webHidden/>
              </w:rPr>
              <w:fldChar w:fldCharType="separate"/>
            </w:r>
            <w:r w:rsidR="00E65E3D">
              <w:rPr>
                <w:noProof/>
                <w:webHidden/>
              </w:rPr>
              <w:t>70</w:t>
            </w:r>
            <w:r w:rsidR="00E65E3D">
              <w:rPr>
                <w:noProof/>
                <w:webHidden/>
              </w:rPr>
              <w:fldChar w:fldCharType="end"/>
            </w:r>
          </w:hyperlink>
        </w:p>
        <w:p w14:paraId="2A33789A" w14:textId="1078392B"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50" w:history="1">
            <w:r w:rsidR="00E65E3D" w:rsidRPr="000E1C5C">
              <w:rPr>
                <w:rStyle w:val="Hyperlink"/>
                <w:rFonts w:eastAsia="Calibri"/>
                <w:noProof/>
                <w:lang w:val="en-US"/>
              </w:rPr>
              <w:t>7.3.</w:t>
            </w:r>
            <w:r w:rsidR="00E65E3D">
              <w:rPr>
                <w:rFonts w:asciiTheme="minorHAnsi" w:eastAsiaTheme="minorEastAsia" w:hAnsiTheme="minorHAnsi" w:cstheme="minorBidi"/>
                <w:noProof/>
                <w:sz w:val="22"/>
                <w:szCs w:val="22"/>
                <w:lang w:val="it-IT" w:eastAsia="it-IT"/>
              </w:rPr>
              <w:tab/>
            </w:r>
            <w:r w:rsidR="00E65E3D" w:rsidRPr="000E1C5C">
              <w:rPr>
                <w:rStyle w:val="Hyperlink"/>
                <w:rFonts w:eastAsia="Calibri"/>
                <w:noProof/>
                <w:lang w:val="en-US"/>
              </w:rPr>
              <w:t>Main results: Financing of Measures</w:t>
            </w:r>
            <w:r w:rsidR="00E65E3D">
              <w:rPr>
                <w:noProof/>
                <w:webHidden/>
              </w:rPr>
              <w:tab/>
            </w:r>
            <w:r w:rsidR="00E65E3D">
              <w:rPr>
                <w:noProof/>
                <w:webHidden/>
              </w:rPr>
              <w:fldChar w:fldCharType="begin"/>
            </w:r>
            <w:r w:rsidR="00E65E3D">
              <w:rPr>
                <w:noProof/>
                <w:webHidden/>
              </w:rPr>
              <w:instrText xml:space="preserve"> PAGEREF _Toc62825950 \h </w:instrText>
            </w:r>
            <w:r w:rsidR="00E65E3D">
              <w:rPr>
                <w:noProof/>
                <w:webHidden/>
              </w:rPr>
            </w:r>
            <w:r w:rsidR="00E65E3D">
              <w:rPr>
                <w:noProof/>
                <w:webHidden/>
              </w:rPr>
              <w:fldChar w:fldCharType="separate"/>
            </w:r>
            <w:r w:rsidR="00E65E3D">
              <w:rPr>
                <w:noProof/>
                <w:webHidden/>
              </w:rPr>
              <w:t>71</w:t>
            </w:r>
            <w:r w:rsidR="00E65E3D">
              <w:rPr>
                <w:noProof/>
                <w:webHidden/>
              </w:rPr>
              <w:fldChar w:fldCharType="end"/>
            </w:r>
          </w:hyperlink>
        </w:p>
        <w:p w14:paraId="13A66DE3" w14:textId="2398E580" w:rsidR="00E65E3D" w:rsidRDefault="009A1671">
          <w:pPr>
            <w:pStyle w:val="TOC2"/>
            <w:tabs>
              <w:tab w:val="left" w:pos="1077"/>
            </w:tabs>
            <w:rPr>
              <w:rFonts w:asciiTheme="minorHAnsi" w:eastAsiaTheme="minorEastAsia" w:hAnsiTheme="minorHAnsi" w:cstheme="minorBidi"/>
              <w:noProof/>
              <w:sz w:val="22"/>
              <w:szCs w:val="22"/>
              <w:lang w:val="it-IT" w:eastAsia="it-IT"/>
            </w:rPr>
          </w:pPr>
          <w:hyperlink w:anchor="_Toc62825951" w:history="1">
            <w:r w:rsidR="00E65E3D" w:rsidRPr="000E1C5C">
              <w:rPr>
                <w:rStyle w:val="Hyperlink"/>
                <w:rFonts w:eastAsia="Calibri"/>
                <w:noProof/>
                <w:lang w:val="en-US"/>
              </w:rPr>
              <w:t>7.4.</w:t>
            </w:r>
            <w:r w:rsidR="00E65E3D">
              <w:rPr>
                <w:rFonts w:asciiTheme="minorHAnsi" w:eastAsiaTheme="minorEastAsia" w:hAnsiTheme="minorHAnsi" w:cstheme="minorBidi"/>
                <w:noProof/>
                <w:sz w:val="22"/>
                <w:szCs w:val="22"/>
                <w:lang w:val="it-IT" w:eastAsia="it-IT"/>
              </w:rPr>
              <w:tab/>
            </w:r>
            <w:r w:rsidR="00E65E3D" w:rsidRPr="000E1C5C">
              <w:rPr>
                <w:rStyle w:val="Hyperlink"/>
                <w:rFonts w:eastAsia="Calibri"/>
                <w:noProof/>
                <w:lang w:val="en-US"/>
              </w:rPr>
              <w:t>Putting the assessment results into perspective: discussion</w:t>
            </w:r>
            <w:r w:rsidR="00E65E3D">
              <w:rPr>
                <w:noProof/>
                <w:webHidden/>
              </w:rPr>
              <w:tab/>
            </w:r>
            <w:r w:rsidR="00E65E3D">
              <w:rPr>
                <w:noProof/>
                <w:webHidden/>
              </w:rPr>
              <w:fldChar w:fldCharType="begin"/>
            </w:r>
            <w:r w:rsidR="00E65E3D">
              <w:rPr>
                <w:noProof/>
                <w:webHidden/>
              </w:rPr>
              <w:instrText xml:space="preserve"> PAGEREF _Toc62825951 \h </w:instrText>
            </w:r>
            <w:r w:rsidR="00E65E3D">
              <w:rPr>
                <w:noProof/>
                <w:webHidden/>
              </w:rPr>
            </w:r>
            <w:r w:rsidR="00E65E3D">
              <w:rPr>
                <w:noProof/>
                <w:webHidden/>
              </w:rPr>
              <w:fldChar w:fldCharType="separate"/>
            </w:r>
            <w:r w:rsidR="00E65E3D">
              <w:rPr>
                <w:noProof/>
                <w:webHidden/>
              </w:rPr>
              <w:t>73</w:t>
            </w:r>
            <w:r w:rsidR="00E65E3D">
              <w:rPr>
                <w:noProof/>
                <w:webHidden/>
              </w:rPr>
              <w:fldChar w:fldCharType="end"/>
            </w:r>
          </w:hyperlink>
        </w:p>
        <w:p w14:paraId="72D24AF2" w14:textId="4D36C964" w:rsidR="00E65E3D" w:rsidRDefault="009A1671">
          <w:pPr>
            <w:pStyle w:val="TOC1"/>
            <w:rPr>
              <w:rFonts w:asciiTheme="minorHAnsi" w:eastAsiaTheme="minorEastAsia" w:hAnsiTheme="minorHAnsi" w:cstheme="minorBidi"/>
              <w:caps w:val="0"/>
              <w:noProof/>
              <w:sz w:val="22"/>
              <w:szCs w:val="22"/>
              <w:lang w:val="it-IT" w:eastAsia="it-IT"/>
            </w:rPr>
          </w:pPr>
          <w:hyperlink w:anchor="_Toc62825952" w:history="1">
            <w:r w:rsidR="00E65E3D" w:rsidRPr="000E1C5C">
              <w:rPr>
                <w:rStyle w:val="Hyperlink"/>
                <w:noProof/>
                <w:lang w:val="en-US"/>
              </w:rPr>
              <w:t>8.</w:t>
            </w:r>
            <w:r w:rsidR="00E65E3D">
              <w:rPr>
                <w:rFonts w:asciiTheme="minorHAnsi" w:eastAsiaTheme="minorEastAsia" w:hAnsiTheme="minorHAnsi" w:cstheme="minorBidi"/>
                <w:caps w:val="0"/>
                <w:noProof/>
                <w:sz w:val="22"/>
                <w:szCs w:val="22"/>
                <w:lang w:val="it-IT" w:eastAsia="it-IT"/>
              </w:rPr>
              <w:tab/>
            </w:r>
            <w:r w:rsidR="00E65E3D" w:rsidRPr="000E1C5C">
              <w:rPr>
                <w:rStyle w:val="Hyperlink"/>
                <w:noProof/>
                <w:lang w:val="en-US"/>
              </w:rPr>
              <w:t>Conclusions - Strengthening strategic financing in Member States: areas for further work</w:t>
            </w:r>
            <w:r w:rsidR="00E65E3D">
              <w:rPr>
                <w:noProof/>
                <w:webHidden/>
              </w:rPr>
              <w:tab/>
            </w:r>
            <w:r w:rsidR="00E65E3D">
              <w:rPr>
                <w:noProof/>
                <w:webHidden/>
              </w:rPr>
              <w:fldChar w:fldCharType="begin"/>
            </w:r>
            <w:r w:rsidR="00E65E3D">
              <w:rPr>
                <w:noProof/>
                <w:webHidden/>
              </w:rPr>
              <w:instrText xml:space="preserve"> PAGEREF _Toc62825952 \h </w:instrText>
            </w:r>
            <w:r w:rsidR="00E65E3D">
              <w:rPr>
                <w:noProof/>
                <w:webHidden/>
              </w:rPr>
            </w:r>
            <w:r w:rsidR="00E65E3D">
              <w:rPr>
                <w:noProof/>
                <w:webHidden/>
              </w:rPr>
              <w:fldChar w:fldCharType="separate"/>
            </w:r>
            <w:r w:rsidR="00E65E3D">
              <w:rPr>
                <w:noProof/>
                <w:webHidden/>
              </w:rPr>
              <w:t>78</w:t>
            </w:r>
            <w:r w:rsidR="00E65E3D">
              <w:rPr>
                <w:noProof/>
                <w:webHidden/>
              </w:rPr>
              <w:fldChar w:fldCharType="end"/>
            </w:r>
          </w:hyperlink>
        </w:p>
        <w:p w14:paraId="38ED497C" w14:textId="49D8D7CC" w:rsidR="00E65E3D" w:rsidRDefault="00E65E3D">
          <w:r>
            <w:rPr>
              <w:b/>
              <w:bCs/>
            </w:rPr>
            <w:fldChar w:fldCharType="end"/>
          </w:r>
        </w:p>
      </w:sdtContent>
    </w:sdt>
    <w:p w14:paraId="1D780D24" w14:textId="219CEC88" w:rsidR="004B015E" w:rsidRDefault="004B015E" w:rsidP="003B304A">
      <w:pPr>
        <w:pStyle w:val="Body"/>
        <w:rPr>
          <w:lang w:val="en-US"/>
        </w:rPr>
      </w:pPr>
    </w:p>
    <w:p w14:paraId="1C2AD7B4" w14:textId="32A1D402" w:rsidR="004B015E" w:rsidRDefault="004B015E" w:rsidP="003B304A">
      <w:pPr>
        <w:pStyle w:val="Body"/>
        <w:rPr>
          <w:lang w:val="en-US"/>
        </w:rPr>
      </w:pPr>
    </w:p>
    <w:p w14:paraId="054F0C60" w14:textId="449A6277" w:rsidR="004B015E" w:rsidRDefault="004B015E" w:rsidP="003B304A">
      <w:pPr>
        <w:pStyle w:val="Body"/>
        <w:rPr>
          <w:lang w:val="en-US"/>
        </w:rPr>
      </w:pPr>
    </w:p>
    <w:p w14:paraId="71C053C8" w14:textId="13835C73" w:rsidR="004B015E" w:rsidRDefault="004B015E" w:rsidP="003B304A">
      <w:pPr>
        <w:pStyle w:val="Body"/>
        <w:rPr>
          <w:lang w:val="en-US"/>
        </w:rPr>
      </w:pPr>
      <w:r>
        <w:rPr>
          <w:lang w:val="en-US"/>
        </w:rPr>
        <w:br w:type="page"/>
      </w:r>
    </w:p>
    <w:p w14:paraId="317E65E5" w14:textId="437AABC2" w:rsidR="004B015E" w:rsidRDefault="00763725" w:rsidP="009E7520">
      <w:pPr>
        <w:pStyle w:val="Heading1"/>
      </w:pPr>
      <w:bookmarkStart w:id="3" w:name="_Toc62825930"/>
      <w:r>
        <w:t>Background</w:t>
      </w:r>
      <w:bookmarkEnd w:id="3"/>
    </w:p>
    <w:p w14:paraId="7F417550" w14:textId="0D3E755A" w:rsidR="00763725" w:rsidRDefault="00763725" w:rsidP="003B304A">
      <w:pPr>
        <w:pStyle w:val="Body"/>
        <w:rPr>
          <w:lang w:val="en-US"/>
        </w:rPr>
      </w:pPr>
    </w:p>
    <w:p w14:paraId="2FC67295" w14:textId="77777777" w:rsidR="00763725" w:rsidRPr="00763725" w:rsidRDefault="00763725" w:rsidP="00763725">
      <w:pPr>
        <w:pStyle w:val="Body"/>
        <w:rPr>
          <w:lang w:val="en-GB"/>
        </w:rPr>
      </w:pPr>
      <w:r w:rsidRPr="00763725">
        <w:rPr>
          <w:lang w:val="en-GB"/>
        </w:rPr>
        <w:t xml:space="preserve">From its first efforts in regulating the management of water resources in the second half of the 1970, in particular with the adoption of Directives addressing the quality of surface, bathing or drinking waters, the European Union has progressively established a comprehensive policy framework supporting the integrated and sustainable management of water resources and aquatic ecosystems. The </w:t>
      </w:r>
      <w:r w:rsidRPr="00763725">
        <w:rPr>
          <w:b/>
          <w:bCs/>
          <w:lang w:val="en-GB"/>
        </w:rPr>
        <w:t>Water Framework Directive</w:t>
      </w:r>
      <w:r w:rsidRPr="00763725">
        <w:rPr>
          <w:lang w:val="en-GB"/>
        </w:rPr>
        <w:t xml:space="preserve"> (2000/60/EC)</w:t>
      </w:r>
      <w:r w:rsidRPr="00763725">
        <w:rPr>
          <w:vertAlign w:val="superscript"/>
          <w:lang w:val="en-GB"/>
        </w:rPr>
        <w:footnoteReference w:id="1"/>
      </w:r>
      <w:r w:rsidRPr="00763725">
        <w:rPr>
          <w:lang w:val="en-GB"/>
        </w:rPr>
        <w:t xml:space="preserve"> and the </w:t>
      </w:r>
      <w:r w:rsidRPr="00763725">
        <w:rPr>
          <w:b/>
          <w:bCs/>
          <w:lang w:val="en-GB"/>
        </w:rPr>
        <w:t>Floods Directive</w:t>
      </w:r>
      <w:r w:rsidRPr="00763725">
        <w:rPr>
          <w:lang w:val="en-GB"/>
        </w:rPr>
        <w:t xml:space="preserve"> (2007/60/EC)</w:t>
      </w:r>
      <w:r w:rsidRPr="00763725">
        <w:rPr>
          <w:vertAlign w:val="superscript"/>
          <w:lang w:val="en-GB"/>
        </w:rPr>
        <w:footnoteReference w:id="2"/>
      </w:r>
      <w:r w:rsidRPr="00763725">
        <w:rPr>
          <w:lang w:val="en-GB"/>
        </w:rPr>
        <w:t xml:space="preserve"> are two pillars of this policy framework: </w:t>
      </w:r>
    </w:p>
    <w:p w14:paraId="6B268B01" w14:textId="77777777" w:rsidR="00763725" w:rsidRPr="00763725" w:rsidRDefault="00763725" w:rsidP="00A13462">
      <w:pPr>
        <w:pStyle w:val="Body"/>
        <w:numPr>
          <w:ilvl w:val="0"/>
          <w:numId w:val="22"/>
        </w:numPr>
        <w:rPr>
          <w:lang w:val="en-GB"/>
        </w:rPr>
      </w:pPr>
      <w:r w:rsidRPr="00763725">
        <w:rPr>
          <w:lang w:val="en-GB"/>
        </w:rPr>
        <w:t xml:space="preserve">Adopted in 2000, the Water Framework Directive (WFD) builds on the integration of economic and ecological perspectives for supporting the achievement by 2015 of good water status for all surface, groundwater, estuarian and coastal waters in Europe. The Directive has provisions for extending the 2015 deadline to 2027; </w:t>
      </w:r>
    </w:p>
    <w:p w14:paraId="40AF8D24" w14:textId="77777777" w:rsidR="00763725" w:rsidRPr="00763725" w:rsidRDefault="00763725" w:rsidP="00A13462">
      <w:pPr>
        <w:pStyle w:val="Body"/>
        <w:numPr>
          <w:ilvl w:val="0"/>
          <w:numId w:val="22"/>
        </w:numPr>
        <w:rPr>
          <w:lang w:val="en-GB"/>
        </w:rPr>
      </w:pPr>
      <w:r w:rsidRPr="00763725">
        <w:rPr>
          <w:lang w:val="en-GB"/>
        </w:rPr>
        <w:t xml:space="preserve">Adopted 7 years later, the Floods Directive (FD) aims at reducing the risks of flood damage within the EU, a goal that has gained political attention in light of recent increased flooding across Europe and of climate change. </w:t>
      </w:r>
    </w:p>
    <w:p w14:paraId="29C66796" w14:textId="77777777" w:rsidR="00763725" w:rsidRPr="00763725" w:rsidRDefault="00763725" w:rsidP="00763725">
      <w:pPr>
        <w:pStyle w:val="Body"/>
        <w:rPr>
          <w:lang w:val="en-GB"/>
        </w:rPr>
      </w:pPr>
      <w:r w:rsidRPr="00763725">
        <w:rPr>
          <w:lang w:val="en-GB"/>
        </w:rPr>
        <w:t xml:space="preserve">Although the two Directives have different (complementary) policy objectives, they have much in common. They </w:t>
      </w:r>
      <w:r w:rsidRPr="00763725">
        <w:rPr>
          <w:b/>
          <w:bCs/>
          <w:lang w:val="en-GB"/>
        </w:rPr>
        <w:t>share similar management philosophies</w:t>
      </w:r>
      <w:r w:rsidRPr="00763725">
        <w:rPr>
          <w:lang w:val="en-GB"/>
        </w:rPr>
        <w:t xml:space="preserve"> building on: a strong reliance on sound assessments for monitoring progress and supporting management decisions; 6 year management cycles that aim at guiding efforts (in terms of more sustainable practices, infrastructure investments, incentives to water transition…) to prioritise issues accounting for progress in implementation and new emerging challenges; the role given to stakeholder consultation for supporting the implementation process; and, the consideration given to economic principles, assessments and instruments. They also share a </w:t>
      </w:r>
      <w:r w:rsidRPr="00763725">
        <w:rPr>
          <w:b/>
          <w:bCs/>
          <w:lang w:val="en-GB"/>
        </w:rPr>
        <w:t>high level of ambition</w:t>
      </w:r>
      <w:r w:rsidRPr="00763725">
        <w:rPr>
          <w:lang w:val="en-GB"/>
        </w:rPr>
        <w:t xml:space="preserve"> requiring significant efforts to reach their objectives although with different time frames (by 2027 for the WFD, not specified for the FD). </w:t>
      </w:r>
    </w:p>
    <w:p w14:paraId="3B80A03D" w14:textId="77777777" w:rsidR="00763725" w:rsidRPr="00763725" w:rsidRDefault="00763725" w:rsidP="00763725">
      <w:pPr>
        <w:pStyle w:val="Body"/>
        <w:rPr>
          <w:lang w:val="en-GB"/>
        </w:rPr>
      </w:pPr>
      <w:r w:rsidRPr="00763725">
        <w:rPr>
          <w:lang w:val="en-GB"/>
        </w:rPr>
        <w:t>After more than a decade (already two for the WFD) of framework building and implementation, the high ambition of both Directives is partly confirmed in light of the progress already made towards achieving their objectives. Despite significant efforts, the majority of Member states (MS) fails to achieve good water status for all waters</w:t>
      </w:r>
      <w:r w:rsidRPr="00763725">
        <w:rPr>
          <w:vertAlign w:val="superscript"/>
          <w:lang w:val="en-GB"/>
        </w:rPr>
        <w:footnoteReference w:id="3"/>
      </w:r>
      <w:r w:rsidRPr="00763725">
        <w:rPr>
          <w:lang w:val="en-GB"/>
        </w:rPr>
        <w:t xml:space="preserve">. Although there has been progress on many indicators, improvements in water body status from the first to the second WFD river basin management cycle have been limited, highlighting the </w:t>
      </w:r>
      <w:r w:rsidRPr="00763725">
        <w:rPr>
          <w:b/>
          <w:bCs/>
          <w:lang w:val="en-GB"/>
        </w:rPr>
        <w:t>many challenges MS are facing in implementing this Directive</w:t>
      </w:r>
      <w:r w:rsidRPr="00763725">
        <w:rPr>
          <w:vertAlign w:val="superscript"/>
          <w:lang w:val="en-GB"/>
        </w:rPr>
        <w:footnoteReference w:id="4"/>
      </w:r>
      <w:r w:rsidRPr="00763725">
        <w:rPr>
          <w:lang w:val="en-GB"/>
        </w:rPr>
        <w:t xml:space="preserve">. </w:t>
      </w:r>
    </w:p>
    <w:p w14:paraId="50900738" w14:textId="77777777" w:rsidR="00763725" w:rsidRPr="00763725" w:rsidRDefault="00763725" w:rsidP="00763725">
      <w:pPr>
        <w:pStyle w:val="Body"/>
        <w:rPr>
          <w:lang w:val="en-GB"/>
        </w:rPr>
      </w:pPr>
      <w:r w:rsidRPr="00763725">
        <w:rPr>
          <w:lang w:val="en-GB"/>
        </w:rPr>
        <w:t xml:space="preserve">One of these challenges relate to the </w:t>
      </w:r>
      <w:r w:rsidRPr="00763725">
        <w:rPr>
          <w:b/>
          <w:bCs/>
          <w:lang w:val="en-GB"/>
        </w:rPr>
        <w:t>insufficient</w:t>
      </w:r>
      <w:r w:rsidRPr="00763725">
        <w:rPr>
          <w:lang w:val="en-GB"/>
        </w:rPr>
        <w:t xml:space="preserve"> resolution</w:t>
      </w:r>
      <w:r w:rsidRPr="00763725">
        <w:rPr>
          <w:b/>
          <w:bCs/>
          <w:lang w:val="en-GB"/>
        </w:rPr>
        <w:t xml:space="preserve"> given to economic and financial issues</w:t>
      </w:r>
      <w:r w:rsidRPr="00763725">
        <w:rPr>
          <w:lang w:val="en-GB"/>
        </w:rPr>
        <w:t xml:space="preserve"> and solutions in the implementation process. </w:t>
      </w:r>
    </w:p>
    <w:p w14:paraId="4071DEFD" w14:textId="77777777" w:rsidR="00763725" w:rsidRPr="00763725" w:rsidRDefault="00763725" w:rsidP="00A13462">
      <w:pPr>
        <w:pStyle w:val="Body"/>
        <w:numPr>
          <w:ilvl w:val="0"/>
          <w:numId w:val="23"/>
        </w:numPr>
        <w:rPr>
          <w:lang w:val="en-GB"/>
        </w:rPr>
      </w:pPr>
      <w:r w:rsidRPr="00763725">
        <w:rPr>
          <w:lang w:val="en-GB"/>
        </w:rPr>
        <w:t xml:space="preserve">Although many MS carry out </w:t>
      </w:r>
      <w:r w:rsidRPr="00763725">
        <w:rPr>
          <w:b/>
          <w:bCs/>
          <w:lang w:val="en-GB"/>
        </w:rPr>
        <w:t>economic assessments</w:t>
      </w:r>
      <w:r w:rsidRPr="00763725">
        <w:rPr>
          <w:lang w:val="en-GB"/>
        </w:rPr>
        <w:t xml:space="preserve"> of measures proposed for both Directives, the soundness of these assessments and the use of their results for supporting prioritisation and the selection of actions is unclear. The 2019 WFD &amp; FD implementation report</w:t>
      </w:r>
      <w:r w:rsidRPr="00763725">
        <w:rPr>
          <w:vertAlign w:val="superscript"/>
          <w:lang w:val="en-GB"/>
        </w:rPr>
        <w:footnoteReference w:id="5"/>
      </w:r>
      <w:r w:rsidRPr="00763725">
        <w:rPr>
          <w:lang w:val="en-GB"/>
        </w:rPr>
        <w:t xml:space="preserve">, for example, stresses that: </w:t>
      </w:r>
      <w:r w:rsidRPr="00763725">
        <w:rPr>
          <w:i/>
          <w:iCs/>
          <w:lang w:val="en-GB"/>
        </w:rPr>
        <w:t>Significant gaps remain in translating… economic analys[</w:t>
      </w:r>
      <w:r w:rsidRPr="00763725">
        <w:rPr>
          <w:lang w:val="en-GB"/>
        </w:rPr>
        <w:t>e</w:t>
      </w:r>
      <w:r w:rsidRPr="00763725">
        <w:rPr>
          <w:i/>
          <w:iCs/>
          <w:lang w:val="en-GB"/>
        </w:rPr>
        <w:t>]s into concrete measures. Further progress in the economic underpinning of the Programme of Measures would greatly facilitate water-related decisions and investments.</w:t>
      </w:r>
      <w:r w:rsidRPr="00763725">
        <w:rPr>
          <w:lang w:val="en-GB"/>
        </w:rPr>
        <w:t xml:space="preserve"> The same conclusion is reached in the integrated assessment of the WFD</w:t>
      </w:r>
      <w:r w:rsidRPr="00763725">
        <w:rPr>
          <w:vertAlign w:val="superscript"/>
          <w:lang w:val="en-GB"/>
        </w:rPr>
        <w:footnoteReference w:id="6"/>
      </w:r>
      <w:r w:rsidRPr="00763725">
        <w:rPr>
          <w:lang w:val="en-GB"/>
        </w:rPr>
        <w:t xml:space="preserve"> that states: </w:t>
      </w:r>
      <w:r w:rsidRPr="00763725">
        <w:rPr>
          <w:i/>
          <w:iCs/>
          <w:lang w:val="en-GB"/>
        </w:rPr>
        <w:t>It is also unclear how economic assessments… play a role in the selection and design of measures.</w:t>
      </w:r>
    </w:p>
    <w:p w14:paraId="6B845C1C" w14:textId="77777777" w:rsidR="00763725" w:rsidRPr="00763725" w:rsidRDefault="00763725" w:rsidP="00A13462">
      <w:pPr>
        <w:pStyle w:val="Body"/>
        <w:numPr>
          <w:ilvl w:val="0"/>
          <w:numId w:val="23"/>
        </w:numPr>
        <w:rPr>
          <w:lang w:val="en-GB"/>
        </w:rPr>
      </w:pPr>
      <w:r w:rsidRPr="00763725">
        <w:rPr>
          <w:lang w:val="en-GB"/>
        </w:rPr>
        <w:t xml:space="preserve">The insufficient mobilisation of financial resources, and bottlenecks faced by the administrations in charge of the Directives’ implementation in </w:t>
      </w:r>
      <w:r w:rsidRPr="00763725">
        <w:rPr>
          <w:b/>
          <w:bCs/>
          <w:lang w:val="en-GB"/>
        </w:rPr>
        <w:t>securing adequate</w:t>
      </w:r>
      <w:r w:rsidRPr="00763725">
        <w:rPr>
          <w:lang w:val="en-GB"/>
        </w:rPr>
        <w:t xml:space="preserve"> </w:t>
      </w:r>
      <w:r w:rsidRPr="00763725">
        <w:rPr>
          <w:b/>
          <w:bCs/>
          <w:lang w:val="en-GB"/>
        </w:rPr>
        <w:t>financial resources</w:t>
      </w:r>
      <w:r w:rsidRPr="00763725">
        <w:rPr>
          <w:lang w:val="en-GB"/>
        </w:rPr>
        <w:t xml:space="preserve"> for supporting measures and investments has also been highlighted. While the management plans of both Directives do often identify (sometimes in an elementary way) funding sources that can be mobilised for supporting implementation, the effective allocation of financial resources from these sources remains unclear. As stated by the integrated assessment of the WFD</w:t>
      </w:r>
      <w:r w:rsidRPr="00763725">
        <w:rPr>
          <w:vertAlign w:val="superscript"/>
          <w:lang w:val="en-GB"/>
        </w:rPr>
        <w:footnoteReference w:id="7"/>
      </w:r>
      <w:r w:rsidRPr="00763725">
        <w:rPr>
          <w:lang w:val="en-GB"/>
        </w:rPr>
        <w:t xml:space="preserve">: </w:t>
      </w:r>
      <w:r w:rsidRPr="00763725">
        <w:rPr>
          <w:i/>
          <w:iCs/>
          <w:lang w:val="en-GB"/>
        </w:rPr>
        <w:t>Financing and the availability of sufficient financial resources is seen as a key factor impacting the implementation of measures, in particular (but not only) in MS when there are no financing mechanisms dedicated to water or to the environment…. New sources of financing will need to be identified to supplement existing (sometimes limited) funding.</w:t>
      </w:r>
    </w:p>
    <w:p w14:paraId="4FCE93F5" w14:textId="77777777" w:rsidR="00763725" w:rsidRPr="00763725" w:rsidRDefault="00763725" w:rsidP="00763725">
      <w:pPr>
        <w:pStyle w:val="Body"/>
        <w:rPr>
          <w:lang w:val="en-GB"/>
        </w:rPr>
      </w:pPr>
      <w:r w:rsidRPr="00763725">
        <w:rPr>
          <w:lang w:val="en-GB"/>
        </w:rPr>
        <w:t xml:space="preserve">The limited attention to economic and financing issues may contribute to, and at the same time partly owe its existence to, a limited </w:t>
      </w:r>
      <w:r w:rsidRPr="00763725">
        <w:rPr>
          <w:b/>
          <w:bCs/>
          <w:lang w:val="en-GB"/>
        </w:rPr>
        <w:t>economic and financial knowledge base</w:t>
      </w:r>
      <w:r w:rsidRPr="00763725">
        <w:rPr>
          <w:lang w:val="en-GB"/>
        </w:rPr>
        <w:t xml:space="preserve"> (in terms of both “quantity” and “quality”), with difficulties in accessing economic and financial data. This is translated in the economic and financial data provided via the formal reporting mechanisms of both Directives that are scanty and not homogeneous. Thus, while many recognise the significant financial efforts that would be required to achieve the objectives of both Directives, evidence on the short-term and long-term costs demonstrating the magnitude of the efforts and concentrate minds of decision makers at the level of individual MS and at the European scale is not readily available. Information on current cost-recovery levels provided in MS WFD reports are not complemented by information on financial revenues from water-dedicated economic instruments, and how these revenues are used (or not) to support measures that are priority for contributing to the achievement of the set environmental objectives. And the financial resources effectively secured or potentially available to support water and flood management, in particular when coming from other sectors financing (e.g. agriculture, energy, biodiversity…), are unknown. Without sufficient sound economic and financial knowledge, strategic long-term planning and priority setting, that can support the achievements of the objectives of both Directives, will not materialise. </w:t>
      </w:r>
    </w:p>
    <w:p w14:paraId="3028B7C4" w14:textId="77777777" w:rsidR="00763725" w:rsidRPr="00763725" w:rsidRDefault="00763725" w:rsidP="003B304A">
      <w:pPr>
        <w:pStyle w:val="Body"/>
        <w:rPr>
          <w:lang w:val="en-GB"/>
        </w:rPr>
      </w:pPr>
    </w:p>
    <w:p w14:paraId="4290E383" w14:textId="4B74FA25" w:rsidR="00A12AB1" w:rsidRDefault="00A12AB1" w:rsidP="003B304A">
      <w:pPr>
        <w:pStyle w:val="Body"/>
        <w:rPr>
          <w:lang w:val="en-US"/>
        </w:rPr>
      </w:pPr>
    </w:p>
    <w:p w14:paraId="61AD4A4F" w14:textId="3E3C5EE1" w:rsidR="007524C6" w:rsidRDefault="007524C6" w:rsidP="003B304A">
      <w:pPr>
        <w:pStyle w:val="Body"/>
        <w:rPr>
          <w:lang w:val="en-US"/>
        </w:rPr>
      </w:pPr>
      <w:r>
        <w:rPr>
          <w:lang w:val="en-US"/>
        </w:rPr>
        <w:br w:type="page"/>
      </w:r>
    </w:p>
    <w:p w14:paraId="2D10BEEC" w14:textId="3F512003" w:rsidR="00A12AB1" w:rsidRDefault="00FF4526" w:rsidP="009E7520">
      <w:pPr>
        <w:pStyle w:val="Heading1"/>
      </w:pPr>
      <w:bookmarkStart w:id="4" w:name="_Toc62825931"/>
      <w:r>
        <w:t>The study in a nutshell</w:t>
      </w:r>
      <w:bookmarkEnd w:id="4"/>
    </w:p>
    <w:p w14:paraId="3E853F21" w14:textId="77777777" w:rsidR="00FF4526" w:rsidRPr="00FF4526" w:rsidRDefault="00FF4526" w:rsidP="00FF4526">
      <w:pPr>
        <w:pStyle w:val="Body"/>
        <w:rPr>
          <w:lang w:val="en-GB"/>
        </w:rPr>
      </w:pPr>
      <w:r w:rsidRPr="00FF4526">
        <w:rPr>
          <w:lang w:val="en-GB"/>
        </w:rPr>
        <w:t xml:space="preserve">The European Commission (EC) has launched a </w:t>
      </w:r>
      <w:r w:rsidRPr="00FF4526">
        <w:rPr>
          <w:b/>
          <w:bCs/>
          <w:lang w:val="en-GB"/>
        </w:rPr>
        <w:t>study for strengthening the knowledge base on costs and investments</w:t>
      </w:r>
      <w:r w:rsidRPr="00FF4526">
        <w:rPr>
          <w:lang w:val="en-GB"/>
        </w:rPr>
        <w:t xml:space="preserve"> (the demand for financial resources) </w:t>
      </w:r>
      <w:r w:rsidRPr="00FF4526">
        <w:rPr>
          <w:b/>
          <w:bCs/>
          <w:lang w:val="en-GB"/>
        </w:rPr>
        <w:t>and on financing mechanisms</w:t>
      </w:r>
      <w:r w:rsidRPr="00FF4526">
        <w:rPr>
          <w:lang w:val="en-GB"/>
        </w:rPr>
        <w:t xml:space="preserve"> (the supply of financial resources) that support the implementation of EU water policy. The objective of the study is to provide a </w:t>
      </w:r>
      <w:r w:rsidRPr="00FF4526">
        <w:rPr>
          <w:b/>
          <w:bCs/>
          <w:lang w:val="en-GB"/>
        </w:rPr>
        <w:t>comprehensive overview of publicly available economic data</w:t>
      </w:r>
      <w:r w:rsidRPr="00FF4526">
        <w:rPr>
          <w:lang w:val="en-GB"/>
        </w:rPr>
        <w:t xml:space="preserve"> related to the implementation and financing of the Water Framework Directive (WFD) and the Floods Directive (FD), highlighting, in particular, knowledge gaps that need to be filled for supporting informed financing and investment decisions in the water sector in Europe.  </w:t>
      </w:r>
    </w:p>
    <w:p w14:paraId="18D3BCD7" w14:textId="63589EB5" w:rsidR="00FF4526" w:rsidRPr="00FF4526" w:rsidRDefault="00FF4526" w:rsidP="00FF4526">
      <w:pPr>
        <w:pStyle w:val="Body"/>
        <w:rPr>
          <w:lang w:val="en-GB"/>
        </w:rPr>
      </w:pPr>
      <w:r w:rsidRPr="00FF4526">
        <w:rPr>
          <w:lang w:val="en-GB"/>
        </w:rPr>
        <w:t xml:space="preserve">This study builds on past efforts in developing and structuring the water economic knowledge base in Europe, in particular MS reporting in WISE and the EC-funded Blue 2 study, WFD/FD compliance assessments, integrated assessment of the 2nd RBMPs, and the Fitness Check. It feeds into the cooperation established between the EC and the OECD to assess solutions for closing sustainably the financing gaps that the European water sector experiences. In particular, it: (a) mobilises results obtained during the first stage of this cooperation on the financing of the water (service) sector; and (b) contributes to further efforts for identifying financing solutions that can support the WFD and FD implementation. </w:t>
      </w:r>
    </w:p>
    <w:p w14:paraId="0E005482" w14:textId="77777777" w:rsidR="00FF4526" w:rsidRPr="00FF4526" w:rsidRDefault="00FF4526" w:rsidP="00FF4526">
      <w:pPr>
        <w:pStyle w:val="Body"/>
        <w:rPr>
          <w:lang w:val="en-GB"/>
        </w:rPr>
      </w:pPr>
      <w:r w:rsidRPr="00FF4526">
        <w:rPr>
          <w:lang w:val="en-GB"/>
        </w:rPr>
        <w:t>The study has carried out the following activities:</w:t>
      </w:r>
    </w:p>
    <w:p w14:paraId="3DB6AEE2" w14:textId="77777777" w:rsidR="00FF4526" w:rsidRPr="00FF4526" w:rsidRDefault="00FF4526" w:rsidP="00A13462">
      <w:pPr>
        <w:pStyle w:val="Body"/>
        <w:numPr>
          <w:ilvl w:val="0"/>
          <w:numId w:val="25"/>
        </w:numPr>
        <w:rPr>
          <w:lang w:val="en-GB"/>
        </w:rPr>
      </w:pPr>
      <w:r w:rsidRPr="00FF4526">
        <w:rPr>
          <w:lang w:val="en-GB"/>
        </w:rPr>
        <w:t xml:space="preserve">A compilation and presentation of an </w:t>
      </w:r>
      <w:r w:rsidRPr="00FF4526">
        <w:rPr>
          <w:b/>
          <w:bCs/>
          <w:lang w:val="en-GB"/>
        </w:rPr>
        <w:t>overview of the current situation and challenges faced by water and flood management</w:t>
      </w:r>
      <w:r w:rsidRPr="00FF4526">
        <w:rPr>
          <w:lang w:val="en-GB"/>
        </w:rPr>
        <w:t xml:space="preserve"> in MS – combining information on the state of waters, key pressures imposed by human activities, socio-economic development, as well as the level of efforts (current expenditure) for addressing these challenges;</w:t>
      </w:r>
    </w:p>
    <w:p w14:paraId="245FDBA9" w14:textId="77777777" w:rsidR="00FF4526" w:rsidRPr="00FF4526" w:rsidRDefault="00FF4526" w:rsidP="00A13462">
      <w:pPr>
        <w:pStyle w:val="Body"/>
        <w:numPr>
          <w:ilvl w:val="0"/>
          <w:numId w:val="25"/>
        </w:numPr>
        <w:rPr>
          <w:lang w:val="en-GB"/>
        </w:rPr>
      </w:pPr>
      <w:r w:rsidRPr="00FF4526">
        <w:rPr>
          <w:lang w:val="en-GB"/>
        </w:rPr>
        <w:t xml:space="preserve">Using a common template, the </w:t>
      </w:r>
      <w:r w:rsidRPr="00FF4526">
        <w:rPr>
          <w:b/>
          <w:bCs/>
          <w:lang w:val="en-GB"/>
        </w:rPr>
        <w:t xml:space="preserve">gathering and structuring of data </w:t>
      </w:r>
      <w:r w:rsidRPr="00FF4526">
        <w:rPr>
          <w:lang w:val="en-GB"/>
        </w:rPr>
        <w:t>on the economic and financial aspects of water and flood management (in particular in relation to costs, economic assessments, benefits, financial sources and revenues, cost-recovery…). This has helped develop an overview of existing economic and financial knowledge and of knowledge gaps. It also contributed to the identification of barriers faced by MS in the application and use of economic methods, and in steps taken to address financing challenges thereby supporting the cost-effective achievement of both Directives’ objectives;</w:t>
      </w:r>
    </w:p>
    <w:p w14:paraId="0C7AA7C8" w14:textId="77777777" w:rsidR="00FF4526" w:rsidRPr="00FF4526" w:rsidRDefault="00FF4526" w:rsidP="00A13462">
      <w:pPr>
        <w:pStyle w:val="Body"/>
        <w:numPr>
          <w:ilvl w:val="0"/>
          <w:numId w:val="25"/>
        </w:numPr>
        <w:rPr>
          <w:lang w:val="en-GB"/>
        </w:rPr>
      </w:pPr>
      <w:r w:rsidRPr="00FF4526">
        <w:rPr>
          <w:lang w:val="en-GB"/>
        </w:rPr>
        <w:t xml:space="preserve">The </w:t>
      </w:r>
      <w:r w:rsidRPr="00FF4526">
        <w:rPr>
          <w:b/>
          <w:bCs/>
          <w:lang w:val="en-GB"/>
        </w:rPr>
        <w:t xml:space="preserve">(peer) review of the economic knowledge </w:t>
      </w:r>
      <w:r w:rsidRPr="00FF4526">
        <w:rPr>
          <w:lang w:val="en-GB"/>
        </w:rPr>
        <w:t>collated through: (1) surveying MS representatives and experts/economists</w:t>
      </w:r>
      <w:r w:rsidRPr="00FF4526">
        <w:rPr>
          <w:vertAlign w:val="superscript"/>
          <w:lang w:val="en-GB"/>
        </w:rPr>
        <w:footnoteReference w:id="8"/>
      </w:r>
      <w:r w:rsidRPr="00FF4526">
        <w:rPr>
          <w:lang w:val="en-GB"/>
        </w:rPr>
        <w:t>; and (2) presenting (partial) results at a (virtual) workshop organised in Brussels on October 6, 2020</w:t>
      </w:r>
      <w:r w:rsidRPr="00FF4526">
        <w:rPr>
          <w:vertAlign w:val="superscript"/>
          <w:lang w:val="en-GB"/>
        </w:rPr>
        <w:footnoteReference w:id="9"/>
      </w:r>
      <w:r w:rsidRPr="00FF4526">
        <w:rPr>
          <w:lang w:val="en-GB"/>
        </w:rPr>
        <w:t xml:space="preserve">. The workshop helped collate feedback and additional sources of information for consolidating the knowledge base. It also helped identify and discuss mechanisms and solutions that could help strengthen strategic approaches to financing that support the implementation of the WFD and FD. Feedback received have helped revise and consolidate the information on the economic and financial dimensions of the WFD and FD; </w:t>
      </w:r>
    </w:p>
    <w:p w14:paraId="58835EC6" w14:textId="77777777" w:rsidR="00FF4526" w:rsidRPr="00FF4526" w:rsidRDefault="00FF4526" w:rsidP="00A13462">
      <w:pPr>
        <w:pStyle w:val="Body"/>
        <w:numPr>
          <w:ilvl w:val="0"/>
          <w:numId w:val="25"/>
        </w:numPr>
        <w:rPr>
          <w:lang w:val="en-GB"/>
        </w:rPr>
      </w:pPr>
      <w:r w:rsidRPr="00FF4526">
        <w:rPr>
          <w:lang w:val="en-GB"/>
        </w:rPr>
        <w:t xml:space="preserve">The </w:t>
      </w:r>
      <w:r w:rsidRPr="00FF4526">
        <w:rPr>
          <w:b/>
          <w:bCs/>
          <w:lang w:val="en-GB"/>
        </w:rPr>
        <w:t>development of a study report</w:t>
      </w:r>
      <w:r w:rsidRPr="00FF4526">
        <w:rPr>
          <w:lang w:val="en-GB"/>
        </w:rPr>
        <w:t xml:space="preserve"> (the present report) to synthesise the information gathered throughout the project and highlight, in particular, key knowledge gaps that would need to be bridged for supporting sounder investment and financial decisions. </w:t>
      </w:r>
    </w:p>
    <w:p w14:paraId="42D7B7D5" w14:textId="77777777" w:rsidR="00FF4526" w:rsidRPr="00FF4526" w:rsidRDefault="00FF4526" w:rsidP="00FF4526">
      <w:pPr>
        <w:pStyle w:val="Body"/>
        <w:rPr>
          <w:lang w:val="en-GB"/>
        </w:rPr>
      </w:pPr>
      <w:r w:rsidRPr="00FF4526">
        <w:rPr>
          <w:lang w:val="en-GB"/>
        </w:rPr>
        <w:t xml:space="preserve">Launched in January 2020 and ending in January 2021, the study has been implemented by a consortium led by Wood, with ACTeon as technical lead and IMDEA Water, the Baltic Environmental Forum, Denkstatt, the Institute for European Environmental Policy, Oikos, the National Technical University of Athens and VITO as partners.  </w:t>
      </w:r>
    </w:p>
    <w:p w14:paraId="793A2CA1" w14:textId="47CF2382" w:rsidR="00A12AB1" w:rsidRPr="00FF4526" w:rsidRDefault="00A12AB1" w:rsidP="003B304A">
      <w:pPr>
        <w:pStyle w:val="Body"/>
        <w:rPr>
          <w:lang w:val="en-GB"/>
        </w:rPr>
      </w:pPr>
    </w:p>
    <w:p w14:paraId="7092185A" w14:textId="2FBD24A4" w:rsidR="00A12AB1" w:rsidRDefault="00A12AB1" w:rsidP="003B304A">
      <w:pPr>
        <w:pStyle w:val="Body"/>
        <w:rPr>
          <w:lang w:val="en-US"/>
        </w:rPr>
      </w:pPr>
    </w:p>
    <w:p w14:paraId="06336972" w14:textId="1A0A9AF8" w:rsidR="00A12AB1" w:rsidRDefault="00A12AB1" w:rsidP="003B304A">
      <w:pPr>
        <w:pStyle w:val="Body"/>
        <w:rPr>
          <w:lang w:val="en-US"/>
        </w:rPr>
      </w:pPr>
    </w:p>
    <w:p w14:paraId="23E7E1DB" w14:textId="04BE1358" w:rsidR="00124CBC" w:rsidRDefault="00124CBC" w:rsidP="003B304A">
      <w:pPr>
        <w:pStyle w:val="Body"/>
        <w:rPr>
          <w:lang w:val="en-US"/>
        </w:rPr>
      </w:pPr>
      <w:r>
        <w:rPr>
          <w:lang w:val="en-US"/>
        </w:rPr>
        <w:br w:type="page"/>
      </w:r>
    </w:p>
    <w:p w14:paraId="0AF8D35E" w14:textId="38CE4D33" w:rsidR="00124CBC" w:rsidRDefault="00124CBC" w:rsidP="009E7520">
      <w:pPr>
        <w:pStyle w:val="Heading1"/>
      </w:pPr>
      <w:bookmarkStart w:id="5" w:name="_Toc62825932"/>
      <w:r>
        <w:t>Setting the scene</w:t>
      </w:r>
      <w:bookmarkEnd w:id="5"/>
    </w:p>
    <w:p w14:paraId="7E203DD3" w14:textId="7F4300DB" w:rsidR="00124CBC" w:rsidRDefault="001449F2" w:rsidP="009E7520">
      <w:pPr>
        <w:pStyle w:val="Heading2"/>
      </w:pPr>
      <w:bookmarkStart w:id="6" w:name="_Toc62825933"/>
      <w:r>
        <w:t>State of water resources</w:t>
      </w:r>
      <w:bookmarkEnd w:id="6"/>
    </w:p>
    <w:p w14:paraId="1AF5F2EF" w14:textId="77777777" w:rsidR="007303B7" w:rsidRPr="007303B7" w:rsidRDefault="007303B7" w:rsidP="007303B7">
      <w:pPr>
        <w:pStyle w:val="Body"/>
        <w:rPr>
          <w:lang w:val="en-GB"/>
        </w:rPr>
      </w:pPr>
      <w:r w:rsidRPr="007303B7">
        <w:rPr>
          <w:lang w:val="en-GB"/>
        </w:rPr>
        <w:t>The WFD aimed to achieve good status of surface and groundwater bodies across the EU by 2015 (bar for exemptions).</w:t>
      </w:r>
    </w:p>
    <w:p w14:paraId="68757531" w14:textId="537AF9E2" w:rsidR="007303B7" w:rsidRDefault="007303B7" w:rsidP="007303B7">
      <w:pPr>
        <w:pStyle w:val="Body"/>
        <w:rPr>
          <w:lang w:val="en-GB"/>
        </w:rPr>
      </w:pPr>
      <w:r w:rsidRPr="007303B7">
        <w:rPr>
          <w:lang w:val="en-GB"/>
        </w:rPr>
        <w:t>In the 2</w:t>
      </w:r>
      <w:r w:rsidRPr="007303B7">
        <w:rPr>
          <w:vertAlign w:val="superscript"/>
          <w:lang w:val="en-GB"/>
        </w:rPr>
        <w:t>nd</w:t>
      </w:r>
      <w:r w:rsidRPr="007303B7">
        <w:rPr>
          <w:lang w:val="en-GB"/>
        </w:rPr>
        <w:t xml:space="preserve"> river basin management planning cycle, </w:t>
      </w:r>
      <w:r w:rsidRPr="007303B7">
        <w:rPr>
          <w:b/>
          <w:lang w:val="en-GB"/>
        </w:rPr>
        <w:t>40% of surface waters</w:t>
      </w:r>
      <w:r w:rsidRPr="007303B7">
        <w:rPr>
          <w:lang w:val="en-GB"/>
        </w:rPr>
        <w:t xml:space="preserve"> (rivers, lakes and transitional and coastal waters) </w:t>
      </w:r>
      <w:r w:rsidRPr="007303B7">
        <w:rPr>
          <w:b/>
          <w:lang w:val="en-GB"/>
        </w:rPr>
        <w:t>are in good ecological status or potential</w:t>
      </w:r>
      <w:r w:rsidRPr="007303B7">
        <w:rPr>
          <w:lang w:val="en-GB"/>
        </w:rPr>
        <w:t xml:space="preserve"> (up from 39% in the 1</w:t>
      </w:r>
      <w:r w:rsidRPr="007303B7">
        <w:rPr>
          <w:vertAlign w:val="superscript"/>
          <w:lang w:val="en-GB"/>
        </w:rPr>
        <w:t>st</w:t>
      </w:r>
      <w:r w:rsidRPr="007303B7">
        <w:rPr>
          <w:lang w:val="en-GB"/>
        </w:rPr>
        <w:t xml:space="preserve"> RBMPs) as presented in the Figure below. </w:t>
      </w:r>
    </w:p>
    <w:p w14:paraId="2FD13196" w14:textId="77777777" w:rsidR="009E7520" w:rsidRPr="007303B7" w:rsidRDefault="009E7520" w:rsidP="007303B7">
      <w:pPr>
        <w:pStyle w:val="Body"/>
        <w:rPr>
          <w:lang w:val="en-GB"/>
        </w:rPr>
      </w:pPr>
    </w:p>
    <w:p w14:paraId="7D1DC5BE" w14:textId="7829764D" w:rsidR="007303B7" w:rsidRPr="007303B7" w:rsidRDefault="009E7520" w:rsidP="009E7520">
      <w:pPr>
        <w:pStyle w:val="Caption"/>
        <w:rPr>
          <w:rFonts w:ascii="Verdana" w:hAnsi="Verdana"/>
          <w:iCs/>
          <w:color w:val="548DD4" w:themeColor="text2" w:themeTint="99"/>
          <w:sz w:val="18"/>
          <w:szCs w:val="18"/>
          <w:lang w:val="en-GB"/>
        </w:rPr>
      </w:pPr>
      <w:bookmarkStart w:id="7" w:name="_Toc56669493"/>
      <w:bookmarkStart w:id="8" w:name="_Toc56776739"/>
      <w:bookmarkStart w:id="9" w:name="_Toc59181804"/>
      <w:r w:rsidRPr="009E7520">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1</w:t>
      </w:r>
      <w:r w:rsidR="00E14072">
        <w:rPr>
          <w:rFonts w:ascii="Verdana" w:hAnsi="Verdana"/>
          <w:color w:val="548DD4" w:themeColor="text2" w:themeTint="99"/>
          <w:sz w:val="18"/>
          <w:szCs w:val="18"/>
          <w:lang w:val="en-US"/>
        </w:rPr>
        <w:fldChar w:fldCharType="end"/>
      </w:r>
      <w:r w:rsidRPr="009E7520">
        <w:rPr>
          <w:rFonts w:ascii="Verdana" w:hAnsi="Verdana"/>
          <w:color w:val="548DD4" w:themeColor="text2" w:themeTint="99"/>
          <w:sz w:val="18"/>
          <w:szCs w:val="18"/>
          <w:lang w:val="en-US"/>
        </w:rPr>
        <w:t xml:space="preserve"> </w:t>
      </w:r>
      <w:r w:rsidR="007303B7" w:rsidRPr="007303B7">
        <w:rPr>
          <w:rFonts w:ascii="Verdana" w:hAnsi="Verdana"/>
          <w:iCs/>
          <w:color w:val="548DD4" w:themeColor="text2" w:themeTint="99"/>
          <w:sz w:val="18"/>
          <w:szCs w:val="18"/>
          <w:lang w:val="en-GB"/>
        </w:rPr>
        <w:t>Ecological status of surface water bodies in EU27</w:t>
      </w:r>
      <w:bookmarkEnd w:id="7"/>
      <w:bookmarkEnd w:id="8"/>
      <w:bookmarkEnd w:id="9"/>
    </w:p>
    <w:p w14:paraId="7A380E45" w14:textId="77777777" w:rsidR="007303B7" w:rsidRPr="007303B7" w:rsidRDefault="007303B7" w:rsidP="007303B7">
      <w:pPr>
        <w:pStyle w:val="Body"/>
        <w:rPr>
          <w:lang w:val="en-GB"/>
        </w:rPr>
      </w:pPr>
      <w:r w:rsidRPr="007303B7">
        <w:rPr>
          <w:noProof/>
          <w:lang w:val="en-US"/>
        </w:rPr>
        <w:drawing>
          <wp:inline distT="0" distB="0" distL="0" distR="0" wp14:anchorId="25B86343" wp14:editId="2DC4B56B">
            <wp:extent cx="6120130" cy="1223010"/>
            <wp:effectExtent l="0" t="0" r="13970" b="152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B35ECD" w14:textId="77777777" w:rsidR="009E7520" w:rsidRDefault="007303B7" w:rsidP="009E7520">
      <w:pPr>
        <w:pStyle w:val="Body"/>
        <w:spacing w:after="0"/>
        <w:rPr>
          <w:sz w:val="14"/>
          <w:szCs w:val="14"/>
          <w:lang w:val="en-GB"/>
        </w:rPr>
      </w:pPr>
      <w:r w:rsidRPr="007303B7">
        <w:rPr>
          <w:sz w:val="14"/>
          <w:szCs w:val="14"/>
          <w:lang w:val="en-GB"/>
        </w:rPr>
        <w:t>Source: SWBs (ecological):</w:t>
      </w:r>
    </w:p>
    <w:p w14:paraId="53885DD5" w14:textId="6248AD4C" w:rsidR="007303B7" w:rsidRPr="007303B7" w:rsidRDefault="009A1671" w:rsidP="007303B7">
      <w:pPr>
        <w:pStyle w:val="Body"/>
        <w:rPr>
          <w:sz w:val="14"/>
          <w:szCs w:val="14"/>
          <w:lang w:val="en-GB"/>
        </w:rPr>
      </w:pPr>
      <w:hyperlink r:id="rId30" w:history="1">
        <w:r w:rsidR="007303B7" w:rsidRPr="007303B7">
          <w:rPr>
            <w:rStyle w:val="Hyperlink"/>
            <w:sz w:val="14"/>
            <w:szCs w:val="14"/>
            <w:lang w:val="en-GB"/>
          </w:rPr>
          <w:t>https://tableau.discomap.eea.europa.eu/t/Wateronline/views/WISE_SOW_SurfaceWaterBody/SWB_EcologicalStatusGroup?:embed=y&amp;:showShareOptions=true&amp;:display_count=no&amp;:showVizHome=no</w:t>
        </w:r>
      </w:hyperlink>
      <w:r w:rsidR="007303B7" w:rsidRPr="007303B7">
        <w:rPr>
          <w:sz w:val="14"/>
          <w:szCs w:val="14"/>
          <w:lang w:val="en-GB"/>
        </w:rPr>
        <w:t xml:space="preserve">; </w:t>
      </w:r>
    </w:p>
    <w:p w14:paraId="31849C75" w14:textId="77777777" w:rsidR="007303B7" w:rsidRPr="007303B7" w:rsidRDefault="007303B7" w:rsidP="007303B7">
      <w:pPr>
        <w:pStyle w:val="Body"/>
        <w:rPr>
          <w:sz w:val="14"/>
          <w:szCs w:val="14"/>
          <w:lang w:val="en-GB"/>
        </w:rPr>
      </w:pPr>
      <w:r w:rsidRPr="007303B7">
        <w:rPr>
          <w:sz w:val="14"/>
          <w:szCs w:val="14"/>
          <w:lang w:val="en-GB"/>
        </w:rPr>
        <w:t>Notes: EEA WISE reporting on EU27 countries (NUTS0), excluding UK and excluding “unpopulated”. Number of WBs has decreased between 1st and 2nd RBMPs</w:t>
      </w:r>
    </w:p>
    <w:p w14:paraId="4772F372" w14:textId="77777777" w:rsidR="007303B7" w:rsidRPr="007303B7" w:rsidRDefault="007303B7" w:rsidP="007303B7">
      <w:pPr>
        <w:pStyle w:val="Body"/>
        <w:rPr>
          <w:lang w:val="en-GB"/>
        </w:rPr>
      </w:pPr>
    </w:p>
    <w:p w14:paraId="1FF22612" w14:textId="77777777" w:rsidR="007303B7" w:rsidRPr="007303B7" w:rsidRDefault="007303B7" w:rsidP="007303B7">
      <w:pPr>
        <w:pStyle w:val="Body"/>
        <w:rPr>
          <w:lang w:val="en-GB"/>
        </w:rPr>
      </w:pPr>
      <w:r w:rsidRPr="007303B7">
        <w:rPr>
          <w:lang w:val="en-GB"/>
        </w:rPr>
        <w:t xml:space="preserve">At the same time only </w:t>
      </w:r>
      <w:r w:rsidRPr="007303B7">
        <w:rPr>
          <w:b/>
          <w:lang w:val="en-GB"/>
        </w:rPr>
        <w:t>33%</w:t>
      </w:r>
      <w:r w:rsidRPr="007303B7">
        <w:rPr>
          <w:b/>
          <w:vertAlign w:val="superscript"/>
          <w:lang w:val="en-GB"/>
        </w:rPr>
        <w:footnoteReference w:id="10"/>
      </w:r>
      <w:r w:rsidRPr="007303B7">
        <w:rPr>
          <w:b/>
          <w:lang w:val="en-GB"/>
        </w:rPr>
        <w:t xml:space="preserve"> of surface waters are in good chemical status </w:t>
      </w:r>
      <w:r w:rsidRPr="007303B7">
        <w:rPr>
          <w:lang w:val="en-GB"/>
        </w:rPr>
        <w:t>(down from 37% in the 1</w:t>
      </w:r>
      <w:r w:rsidRPr="007303B7">
        <w:rPr>
          <w:vertAlign w:val="superscript"/>
          <w:lang w:val="en-GB"/>
        </w:rPr>
        <w:t>st</w:t>
      </w:r>
      <w:r w:rsidRPr="007303B7">
        <w:rPr>
          <w:lang w:val="en-GB"/>
        </w:rPr>
        <w:t xml:space="preserve"> RBMPs, largely due to improved monitoring) as illustrated in the Figure below.</w:t>
      </w:r>
    </w:p>
    <w:p w14:paraId="27AB4939" w14:textId="5FEA91AA" w:rsidR="007303B7" w:rsidRPr="007303B7" w:rsidRDefault="009E7520" w:rsidP="009E7520">
      <w:pPr>
        <w:pStyle w:val="Caption"/>
        <w:rPr>
          <w:rFonts w:ascii="Verdana" w:hAnsi="Verdana"/>
          <w:color w:val="548DD4" w:themeColor="text2" w:themeTint="99"/>
          <w:sz w:val="18"/>
          <w:szCs w:val="18"/>
          <w:lang w:val="en-US"/>
        </w:rPr>
      </w:pPr>
      <w:bookmarkStart w:id="10" w:name="_Toc56669494"/>
      <w:bookmarkStart w:id="11" w:name="_Toc56776740"/>
      <w:bookmarkStart w:id="12" w:name="_Toc59181805"/>
      <w:r w:rsidRPr="009E7520">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2</w:t>
      </w:r>
      <w:r w:rsidR="00E14072">
        <w:rPr>
          <w:rFonts w:ascii="Verdana" w:hAnsi="Verdana"/>
          <w:color w:val="548DD4" w:themeColor="text2" w:themeTint="99"/>
          <w:sz w:val="18"/>
          <w:szCs w:val="18"/>
          <w:lang w:val="en-US"/>
        </w:rPr>
        <w:fldChar w:fldCharType="end"/>
      </w:r>
      <w:r w:rsidRPr="009E7520">
        <w:rPr>
          <w:rFonts w:ascii="Verdana" w:hAnsi="Verdana"/>
          <w:color w:val="548DD4" w:themeColor="text2" w:themeTint="99"/>
          <w:sz w:val="18"/>
          <w:szCs w:val="18"/>
          <w:lang w:val="en-US"/>
        </w:rPr>
        <w:t xml:space="preserve"> </w:t>
      </w:r>
      <w:r w:rsidR="007303B7" w:rsidRPr="007303B7">
        <w:rPr>
          <w:rFonts w:ascii="Verdana" w:hAnsi="Verdana"/>
          <w:color w:val="548DD4" w:themeColor="text2" w:themeTint="99"/>
          <w:sz w:val="18"/>
          <w:szCs w:val="18"/>
          <w:lang w:val="en-US"/>
        </w:rPr>
        <w:t>Chemical status of surface water bodies in EU27</w:t>
      </w:r>
      <w:bookmarkEnd w:id="10"/>
      <w:bookmarkEnd w:id="11"/>
      <w:bookmarkEnd w:id="12"/>
    </w:p>
    <w:p w14:paraId="7124CA86" w14:textId="77777777" w:rsidR="007303B7" w:rsidRPr="007303B7" w:rsidRDefault="007303B7" w:rsidP="007303B7">
      <w:pPr>
        <w:pStyle w:val="Body"/>
        <w:rPr>
          <w:lang w:val="en-GB"/>
        </w:rPr>
      </w:pPr>
      <w:r w:rsidRPr="007303B7">
        <w:rPr>
          <w:noProof/>
          <w:lang w:val="en-US"/>
        </w:rPr>
        <w:drawing>
          <wp:inline distT="0" distB="0" distL="0" distR="0" wp14:anchorId="6E70868F" wp14:editId="6DE72118">
            <wp:extent cx="6120130" cy="1273175"/>
            <wp:effectExtent l="0" t="0" r="13970" b="31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7A6713" w14:textId="77777777" w:rsidR="007303B7" w:rsidRPr="007303B7" w:rsidRDefault="007303B7" w:rsidP="007303B7">
      <w:pPr>
        <w:pStyle w:val="Body"/>
        <w:rPr>
          <w:sz w:val="14"/>
          <w:szCs w:val="14"/>
          <w:lang w:val="en-GB"/>
        </w:rPr>
      </w:pPr>
      <w:r w:rsidRPr="007303B7">
        <w:rPr>
          <w:sz w:val="14"/>
          <w:szCs w:val="14"/>
          <w:lang w:val="en-GB"/>
        </w:rPr>
        <w:t xml:space="preserve">Source: SWBs (chemical): </w:t>
      </w:r>
      <w:hyperlink r:id="rId32" w:history="1">
        <w:r w:rsidRPr="007303B7">
          <w:rPr>
            <w:rStyle w:val="Hyperlink"/>
            <w:sz w:val="14"/>
            <w:szCs w:val="14"/>
            <w:lang w:val="en-GB"/>
          </w:rPr>
          <w:t>https://tableau.discomap.eea.europa.eu/t/Wateronline/views/WISE_SOW_SurfaceWaterBody/SWB_ChemicalStatus?:embed=y&amp;:showShareOptions=true&amp;:display_count=no&amp;:showVizHome=no</w:t>
        </w:r>
      </w:hyperlink>
      <w:r w:rsidRPr="007303B7">
        <w:rPr>
          <w:sz w:val="14"/>
          <w:szCs w:val="14"/>
          <w:lang w:val="en-GB"/>
        </w:rPr>
        <w:t>;</w:t>
      </w:r>
    </w:p>
    <w:p w14:paraId="11D10910" w14:textId="77777777" w:rsidR="007303B7" w:rsidRPr="007303B7" w:rsidRDefault="007303B7" w:rsidP="007303B7">
      <w:pPr>
        <w:pStyle w:val="Body"/>
        <w:rPr>
          <w:sz w:val="14"/>
          <w:szCs w:val="14"/>
          <w:lang w:val="en-GB"/>
        </w:rPr>
      </w:pPr>
      <w:r w:rsidRPr="007303B7">
        <w:rPr>
          <w:sz w:val="14"/>
          <w:szCs w:val="14"/>
          <w:lang w:val="en-GB"/>
        </w:rPr>
        <w:t>Notes: EEA WISE reporting on EU27 countries (NUTS0), excluding UK and excluding “unpopulated”. Number of WBs has decreased between 1st and 2nd RBMPs</w:t>
      </w:r>
    </w:p>
    <w:p w14:paraId="1B557764" w14:textId="77777777" w:rsidR="007303B7" w:rsidRPr="007303B7" w:rsidRDefault="007303B7" w:rsidP="007303B7">
      <w:pPr>
        <w:pStyle w:val="Body"/>
        <w:rPr>
          <w:lang w:val="en-GB"/>
        </w:rPr>
      </w:pPr>
    </w:p>
    <w:p w14:paraId="38D2033B" w14:textId="77777777" w:rsidR="007303B7" w:rsidRPr="007303B7" w:rsidRDefault="007303B7" w:rsidP="007303B7">
      <w:pPr>
        <w:pStyle w:val="Body"/>
        <w:rPr>
          <w:lang w:val="en-GB"/>
        </w:rPr>
      </w:pPr>
      <w:r w:rsidRPr="007303B7">
        <w:rPr>
          <w:lang w:val="en-GB"/>
        </w:rPr>
        <w:t>In most Member States, a few priority substances account for poor chemical status, the most common being mercury. If mercury and other ubiquitous priority substances were omitted, only 3% of surface water bodies would fail to achieve good chemical status. Improvements for individual substances show that Member States are making progress in tackling sources of contamination. Improvements are usually visible at the level of individual quality elements or pollutants but often do not translate into improved status overall.</w:t>
      </w:r>
      <w:r w:rsidRPr="007303B7">
        <w:rPr>
          <w:vertAlign w:val="superscript"/>
          <w:lang w:val="en-GB"/>
        </w:rPr>
        <w:footnoteReference w:id="11"/>
      </w:r>
    </w:p>
    <w:p w14:paraId="6BD2C858" w14:textId="77777777" w:rsidR="007303B7" w:rsidRPr="007303B7" w:rsidRDefault="007303B7" w:rsidP="007303B7">
      <w:pPr>
        <w:pStyle w:val="Body"/>
        <w:rPr>
          <w:lang w:val="en-GB"/>
        </w:rPr>
      </w:pPr>
      <w:r w:rsidRPr="007303B7">
        <w:rPr>
          <w:lang w:val="en-GB"/>
        </w:rPr>
        <w:t xml:space="preserve">The proportion of water bodies with unknown status has decreased and confidence in status assessment has grown in relation to both ecological and chemical status/potential of surface water bodies, translating efforts in monitoring and assessments made by MS while implementing the first RBMP. </w:t>
      </w:r>
    </w:p>
    <w:p w14:paraId="105CD6FA" w14:textId="77777777" w:rsidR="007303B7" w:rsidRPr="007303B7" w:rsidRDefault="007303B7" w:rsidP="007303B7">
      <w:pPr>
        <w:pStyle w:val="Body"/>
        <w:rPr>
          <w:lang w:val="en-GB"/>
        </w:rPr>
      </w:pPr>
      <w:r w:rsidRPr="007303B7">
        <w:rPr>
          <w:lang w:val="en-GB"/>
        </w:rPr>
        <w:t xml:space="preserve">At the same time, </w:t>
      </w:r>
      <w:r w:rsidRPr="007303B7">
        <w:rPr>
          <w:b/>
          <w:lang w:val="en-GB"/>
        </w:rPr>
        <w:t>92% of groundwater bodies</w:t>
      </w:r>
      <w:r w:rsidRPr="007303B7">
        <w:rPr>
          <w:lang w:val="en-GB"/>
        </w:rPr>
        <w:t xml:space="preserve"> </w:t>
      </w:r>
      <w:r w:rsidRPr="007303B7">
        <w:rPr>
          <w:b/>
          <w:lang w:val="en-GB"/>
        </w:rPr>
        <w:t>are estimated to be in good quantitative status</w:t>
      </w:r>
      <w:r w:rsidRPr="007303B7">
        <w:rPr>
          <w:lang w:val="en-GB"/>
        </w:rPr>
        <w:t xml:space="preserve"> (up from 87% in the 1</w:t>
      </w:r>
      <w:r w:rsidRPr="007303B7">
        <w:rPr>
          <w:vertAlign w:val="superscript"/>
          <w:lang w:val="en-GB"/>
        </w:rPr>
        <w:t>st</w:t>
      </w:r>
      <w:r w:rsidRPr="007303B7">
        <w:rPr>
          <w:lang w:val="en-GB"/>
        </w:rPr>
        <w:t xml:space="preserve"> RBMPs) and </w:t>
      </w:r>
      <w:r w:rsidRPr="007303B7">
        <w:rPr>
          <w:b/>
          <w:lang w:val="en-GB"/>
        </w:rPr>
        <w:t xml:space="preserve">82% in good chemical status </w:t>
      </w:r>
      <w:r w:rsidRPr="007303B7">
        <w:rPr>
          <w:lang w:val="en-GB"/>
        </w:rPr>
        <w:t>(up from 81% in the 1</w:t>
      </w:r>
      <w:r w:rsidRPr="007303B7">
        <w:rPr>
          <w:vertAlign w:val="superscript"/>
          <w:lang w:val="en-GB"/>
        </w:rPr>
        <w:t>st</w:t>
      </w:r>
      <w:r w:rsidRPr="007303B7">
        <w:rPr>
          <w:lang w:val="en-GB"/>
        </w:rPr>
        <w:t xml:space="preserve"> RBMPs) (see Figure below)</w:t>
      </w:r>
    </w:p>
    <w:p w14:paraId="54AFE3CD" w14:textId="22A4C4BE" w:rsidR="007303B7" w:rsidRPr="007303B7" w:rsidRDefault="007303B7" w:rsidP="009E7520">
      <w:pPr>
        <w:pStyle w:val="Caption"/>
        <w:rPr>
          <w:rFonts w:ascii="Verdana" w:hAnsi="Verdana"/>
          <w:color w:val="548DD4" w:themeColor="text2" w:themeTint="99"/>
          <w:sz w:val="18"/>
          <w:szCs w:val="18"/>
          <w:lang w:val="en-US"/>
        </w:rPr>
      </w:pPr>
      <w:bookmarkStart w:id="13" w:name="_Toc56669495"/>
      <w:bookmarkStart w:id="14" w:name="_Toc56776741"/>
      <w:bookmarkStart w:id="15" w:name="_Toc59181806"/>
      <w:r w:rsidRPr="007303B7">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Pr="007303B7">
        <w:rPr>
          <w:rFonts w:ascii="Verdana" w:hAnsi="Verdana"/>
          <w:color w:val="548DD4" w:themeColor="text2" w:themeTint="99"/>
          <w:sz w:val="18"/>
          <w:szCs w:val="18"/>
          <w:lang w:val="en-US"/>
        </w:rPr>
        <w:tab/>
        <w:t>Quantitative and chemical status of groundwater bodies in EU27</w:t>
      </w:r>
      <w:bookmarkEnd w:id="13"/>
      <w:bookmarkEnd w:id="14"/>
      <w:bookmarkEnd w:id="15"/>
    </w:p>
    <w:p w14:paraId="7AC3050A" w14:textId="77777777" w:rsidR="007303B7" w:rsidRPr="007303B7" w:rsidRDefault="007303B7" w:rsidP="007303B7">
      <w:pPr>
        <w:pStyle w:val="Body"/>
        <w:rPr>
          <w:lang w:val="en-GB"/>
        </w:rPr>
      </w:pPr>
      <w:r w:rsidRPr="007303B7">
        <w:rPr>
          <w:noProof/>
          <w:lang w:val="en-US"/>
        </w:rPr>
        <w:drawing>
          <wp:inline distT="0" distB="0" distL="0" distR="0" wp14:anchorId="56ED8D61" wp14:editId="72559F39">
            <wp:extent cx="6120130" cy="1917700"/>
            <wp:effectExtent l="0" t="0" r="1397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98D4CF" w14:textId="77777777" w:rsidR="009E7520" w:rsidRDefault="007303B7" w:rsidP="009E7520">
      <w:pPr>
        <w:pStyle w:val="Body"/>
        <w:spacing w:after="0"/>
        <w:rPr>
          <w:sz w:val="14"/>
          <w:szCs w:val="14"/>
          <w:lang w:val="en-GB"/>
        </w:rPr>
      </w:pPr>
      <w:r w:rsidRPr="007303B7">
        <w:rPr>
          <w:sz w:val="14"/>
          <w:szCs w:val="14"/>
          <w:lang w:val="en-GB"/>
        </w:rPr>
        <w:t>Source: GWBs (quantitative by number):</w:t>
      </w:r>
    </w:p>
    <w:p w14:paraId="26A53B1C" w14:textId="1F9B4E23" w:rsidR="007303B7" w:rsidRPr="007303B7" w:rsidRDefault="009A1671" w:rsidP="007303B7">
      <w:pPr>
        <w:pStyle w:val="Body"/>
        <w:rPr>
          <w:sz w:val="14"/>
          <w:szCs w:val="14"/>
          <w:lang w:val="en-GB"/>
        </w:rPr>
      </w:pPr>
      <w:hyperlink r:id="rId34" w:history="1">
        <w:r w:rsidR="009E7520" w:rsidRPr="007303B7">
          <w:rPr>
            <w:rStyle w:val="Hyperlink"/>
            <w:sz w:val="14"/>
            <w:szCs w:val="14"/>
            <w:lang w:val="en-GB"/>
          </w:rPr>
          <w:t xml:space="preserve">https://tableau.discomap.eea.europa.eu/t/Wateronline/views/WISE_SOW_GroundWaterBody/GWB_QuantitativeStatus?:embed=y&amp;:showShareOptions=true&amp;:display_count=no&amp;:showVizHome=no </w:t>
        </w:r>
      </w:hyperlink>
    </w:p>
    <w:p w14:paraId="435B6E13" w14:textId="77777777" w:rsidR="009E7520" w:rsidRDefault="007303B7" w:rsidP="009E7520">
      <w:pPr>
        <w:pStyle w:val="Body"/>
        <w:spacing w:after="0"/>
        <w:rPr>
          <w:sz w:val="14"/>
          <w:szCs w:val="14"/>
          <w:lang w:val="en-GB"/>
        </w:rPr>
      </w:pPr>
      <w:r w:rsidRPr="007303B7">
        <w:rPr>
          <w:sz w:val="14"/>
          <w:szCs w:val="14"/>
          <w:lang w:val="en-GB"/>
        </w:rPr>
        <w:t>GWBs (chemical by number):</w:t>
      </w:r>
    </w:p>
    <w:p w14:paraId="2BD958FF" w14:textId="098ACC38" w:rsidR="007303B7" w:rsidRPr="007303B7" w:rsidRDefault="009A1671" w:rsidP="007303B7">
      <w:pPr>
        <w:pStyle w:val="Body"/>
        <w:rPr>
          <w:sz w:val="14"/>
          <w:szCs w:val="14"/>
          <w:lang w:val="en-GB"/>
        </w:rPr>
      </w:pPr>
      <w:hyperlink r:id="rId35" w:history="1">
        <w:r w:rsidR="009E7520" w:rsidRPr="007303B7">
          <w:rPr>
            <w:rStyle w:val="Hyperlink"/>
            <w:sz w:val="14"/>
            <w:szCs w:val="14"/>
            <w:lang w:val="en-GB"/>
          </w:rPr>
          <w:t>https://tableau.discomap.eea.europa.eu/t/Wateronline/views/WISE_SOW_GroundWaterBody/GWB_ChemicalStatus?:embed=y&amp;:showShareOptions=true&amp;:display_count=no&amp;:</w:t>
        </w:r>
      </w:hyperlink>
      <w:hyperlink r:id="rId36" w:history="1">
        <w:r w:rsidR="007303B7" w:rsidRPr="007303B7">
          <w:rPr>
            <w:rStyle w:val="Hyperlink"/>
            <w:sz w:val="14"/>
            <w:szCs w:val="14"/>
            <w:lang w:val="en-GB"/>
          </w:rPr>
          <w:t>showVizHome=no</w:t>
        </w:r>
      </w:hyperlink>
    </w:p>
    <w:p w14:paraId="4C37EE7A" w14:textId="77777777" w:rsidR="007303B7" w:rsidRPr="007303B7" w:rsidRDefault="007303B7" w:rsidP="007303B7">
      <w:pPr>
        <w:pStyle w:val="Body"/>
        <w:rPr>
          <w:sz w:val="14"/>
          <w:szCs w:val="14"/>
          <w:lang w:val="en-GB"/>
        </w:rPr>
      </w:pPr>
      <w:r w:rsidRPr="007303B7">
        <w:rPr>
          <w:sz w:val="14"/>
          <w:szCs w:val="14"/>
          <w:lang w:val="en-GB"/>
        </w:rPr>
        <w:t>(EEA WISE reporting on EU27 countries (NUTS0), excluding UK and Norway, excluding unpopulated, number of WBs increased between 1st and 2nd RBMPs)</w:t>
      </w:r>
    </w:p>
    <w:p w14:paraId="18C48EDF" w14:textId="77777777" w:rsidR="007303B7" w:rsidRPr="007303B7" w:rsidRDefault="007303B7" w:rsidP="007303B7">
      <w:pPr>
        <w:pStyle w:val="Body"/>
        <w:rPr>
          <w:lang w:val="en-GB"/>
        </w:rPr>
      </w:pPr>
    </w:p>
    <w:p w14:paraId="47A9BE9A" w14:textId="77777777" w:rsidR="007303B7" w:rsidRPr="007303B7" w:rsidRDefault="007303B7" w:rsidP="007303B7">
      <w:pPr>
        <w:pStyle w:val="Body"/>
        <w:rPr>
          <w:lang w:val="en-GB"/>
        </w:rPr>
      </w:pPr>
      <w:r w:rsidRPr="007303B7">
        <w:rPr>
          <w:lang w:val="en-GB"/>
        </w:rPr>
        <w:t>For most of the groundwater bodies the expected achievement of good status is anticipated by 2027 or beyond 2027, demonstrating the long time-lag between the implementation of measures and their effectiveness in groundwater quality</w:t>
      </w:r>
      <w:r w:rsidRPr="007303B7">
        <w:rPr>
          <w:vertAlign w:val="superscript"/>
          <w:lang w:val="en-GB"/>
        </w:rPr>
        <w:footnoteReference w:id="12"/>
      </w:r>
      <w:r w:rsidRPr="007303B7">
        <w:rPr>
          <w:lang w:val="en-GB"/>
        </w:rPr>
        <w:t>.</w:t>
      </w:r>
    </w:p>
    <w:p w14:paraId="5601FF9F" w14:textId="77777777" w:rsidR="007303B7" w:rsidRPr="007303B7" w:rsidRDefault="007303B7" w:rsidP="007303B7">
      <w:pPr>
        <w:pStyle w:val="Body"/>
        <w:rPr>
          <w:lang w:val="en-GB"/>
        </w:rPr>
      </w:pPr>
      <w:r w:rsidRPr="007303B7">
        <w:rPr>
          <w:lang w:val="en-GB"/>
        </w:rPr>
        <w:t xml:space="preserve">Overall, and despite significant efforts by many MS, and despite reversing a decades-long decline, improvements in water status between the first and second RBMPs have been marginal compared to the gap for achieving the objectives of the WFD.  </w:t>
      </w:r>
    </w:p>
    <w:p w14:paraId="5C90A3E9" w14:textId="33ED15DC" w:rsidR="00AB7468" w:rsidRDefault="00AB7468" w:rsidP="003B304A">
      <w:pPr>
        <w:pStyle w:val="Body"/>
        <w:rPr>
          <w:lang w:val="en-GB"/>
        </w:rPr>
      </w:pPr>
    </w:p>
    <w:p w14:paraId="296C6833" w14:textId="15DEA012" w:rsidR="00AB7468" w:rsidRDefault="00AB7468" w:rsidP="00AB7468">
      <w:pPr>
        <w:pStyle w:val="Heading2"/>
        <w:rPr>
          <w:lang w:val="en-GB"/>
        </w:rPr>
      </w:pPr>
      <w:bookmarkStart w:id="16" w:name="_Toc62825934"/>
      <w:r>
        <w:rPr>
          <w:lang w:val="en-GB"/>
        </w:rPr>
        <w:t>Key pressures on water resources</w:t>
      </w:r>
      <w:bookmarkEnd w:id="16"/>
    </w:p>
    <w:p w14:paraId="6FFBBA48" w14:textId="77777777" w:rsidR="009D6273" w:rsidRPr="009D6273" w:rsidRDefault="009D6273" w:rsidP="009D6273">
      <w:pPr>
        <w:pStyle w:val="Body"/>
        <w:rPr>
          <w:lang w:val="en-US"/>
        </w:rPr>
      </w:pPr>
      <w:r w:rsidRPr="009D6273">
        <w:rPr>
          <w:lang w:val="en-US"/>
        </w:rPr>
        <w:t>European waters remain under significant pressure from diffuse pollution (e.g. generated by agriculture, transport infrastructure and atmospheric deposition), point-source pollution (e.g. generated by industry or remaining wastewater discharges that are not yet adequately treated), over-abstraction and hydro-morphological changes stemming from a range of human activities.</w:t>
      </w:r>
      <w:r w:rsidRPr="00736A50">
        <w:rPr>
          <w:vertAlign w:val="superscript"/>
        </w:rPr>
        <w:footnoteReference w:id="13"/>
      </w:r>
    </w:p>
    <w:p w14:paraId="2726523F" w14:textId="77777777" w:rsidR="009D6273" w:rsidRPr="009D6273" w:rsidRDefault="009D6273" w:rsidP="009D6273">
      <w:pPr>
        <w:pStyle w:val="Body"/>
        <w:rPr>
          <w:lang w:val="en-US"/>
        </w:rPr>
      </w:pPr>
      <w:r w:rsidRPr="009D6273">
        <w:rPr>
          <w:lang w:val="en-US"/>
        </w:rPr>
        <w:t>The 2</w:t>
      </w:r>
      <w:r w:rsidRPr="009D6273">
        <w:rPr>
          <w:vertAlign w:val="superscript"/>
          <w:lang w:val="en-US"/>
        </w:rPr>
        <w:t>nd</w:t>
      </w:r>
      <w:r w:rsidRPr="009D6273">
        <w:rPr>
          <w:lang w:val="en-US"/>
        </w:rPr>
        <w:t xml:space="preserve"> river basin management planning cycle illustrates the relative importance of these different pressures, with </w:t>
      </w:r>
      <w:r w:rsidRPr="009D6273">
        <w:rPr>
          <w:b/>
          <w:lang w:val="en-US"/>
        </w:rPr>
        <w:t xml:space="preserve">hydromorphology, atmospheric deposition and diffuse sources of pollution </w:t>
      </w:r>
      <w:r w:rsidRPr="009D6273">
        <w:rPr>
          <w:bCs/>
          <w:lang w:val="en-US"/>
        </w:rPr>
        <w:t>being by far the main pressures on surface water bodies in terms of percentage of surface water bodies affected.</w:t>
      </w:r>
      <w:r w:rsidRPr="009D6273">
        <w:rPr>
          <w:b/>
          <w:lang w:val="en-US"/>
        </w:rPr>
        <w:t xml:space="preserve"> </w:t>
      </w:r>
    </w:p>
    <w:p w14:paraId="042DF88F" w14:textId="5569F529" w:rsidR="009D6273" w:rsidRPr="009D6273" w:rsidRDefault="009D6273" w:rsidP="009D6273">
      <w:pPr>
        <w:pStyle w:val="Caption"/>
        <w:rPr>
          <w:rFonts w:ascii="Verdana" w:hAnsi="Verdana"/>
          <w:color w:val="548DD4" w:themeColor="text2" w:themeTint="99"/>
          <w:sz w:val="18"/>
          <w:szCs w:val="18"/>
          <w:lang w:val="en-US"/>
        </w:rPr>
      </w:pPr>
      <w:bookmarkStart w:id="17" w:name="_Toc56669496"/>
      <w:bookmarkStart w:id="18" w:name="_Toc56776742"/>
      <w:bookmarkStart w:id="19" w:name="_Toc59181807"/>
      <w:r w:rsidRPr="009D6273">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4</w:t>
      </w:r>
      <w:r w:rsidR="00E14072">
        <w:rPr>
          <w:rFonts w:ascii="Verdana" w:hAnsi="Verdana"/>
          <w:color w:val="548DD4" w:themeColor="text2" w:themeTint="99"/>
          <w:sz w:val="18"/>
          <w:szCs w:val="18"/>
          <w:lang w:val="en-US"/>
        </w:rPr>
        <w:fldChar w:fldCharType="end"/>
      </w:r>
      <w:r w:rsidRPr="009D6273">
        <w:rPr>
          <w:rFonts w:ascii="Verdana" w:hAnsi="Verdana"/>
          <w:color w:val="548DD4" w:themeColor="text2" w:themeTint="99"/>
          <w:sz w:val="18"/>
          <w:szCs w:val="18"/>
          <w:lang w:val="en-US"/>
        </w:rPr>
        <w:t xml:space="preserve"> Significant pressures on surface water bodies in EU27</w:t>
      </w:r>
      <w:bookmarkEnd w:id="17"/>
      <w:bookmarkEnd w:id="18"/>
      <w:bookmarkEnd w:id="19"/>
    </w:p>
    <w:p w14:paraId="72A525DE" w14:textId="77777777" w:rsidR="009D6273" w:rsidRPr="00736A50" w:rsidRDefault="009D6273" w:rsidP="009D6273">
      <w:pPr>
        <w:spacing w:line="240" w:lineRule="atLeast"/>
        <w:jc w:val="center"/>
        <w:rPr>
          <w:rFonts w:ascii="Segoe UI" w:eastAsiaTheme="minorHAnsi" w:hAnsi="Segoe UI" w:cstheme="minorBidi"/>
          <w:color w:val="000000"/>
          <w:sz w:val="18"/>
        </w:rPr>
      </w:pPr>
      <w:r w:rsidRPr="0040676E">
        <w:rPr>
          <w:rFonts w:ascii="Segoe UI" w:eastAsiaTheme="minorHAnsi" w:hAnsi="Segoe UI"/>
          <w:noProof/>
          <w:color w:val="000000"/>
          <w:sz w:val="20"/>
          <w:lang w:val="en-US"/>
        </w:rPr>
        <w:drawing>
          <wp:inline distT="0" distB="0" distL="0" distR="0" wp14:anchorId="25677857" wp14:editId="0D807335">
            <wp:extent cx="4634084" cy="2371725"/>
            <wp:effectExtent l="0" t="0" r="1460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AA9E06" w14:textId="778BDDFF" w:rsidR="009D6273" w:rsidRPr="009D6273" w:rsidRDefault="009D6273" w:rsidP="009D6273">
      <w:pPr>
        <w:spacing w:after="0"/>
        <w:rPr>
          <w:rFonts w:ascii="Verdana" w:eastAsiaTheme="minorEastAsia" w:hAnsi="Verdana" w:cstheme="minorBidi"/>
          <w:color w:val="000000" w:themeColor="text1"/>
          <w:kern w:val="24"/>
          <w:sz w:val="14"/>
          <w:szCs w:val="14"/>
          <w:u w:val="single"/>
        </w:rPr>
      </w:pPr>
      <w:r w:rsidRPr="009D6273">
        <w:rPr>
          <w:rFonts w:ascii="Verdana" w:eastAsiaTheme="minorEastAsia" w:hAnsi="Verdana" w:cstheme="minorBidi"/>
          <w:color w:val="000000" w:themeColor="text1"/>
          <w:kern w:val="24"/>
          <w:sz w:val="14"/>
          <w:szCs w:val="14"/>
        </w:rPr>
        <w:t xml:space="preserve">Source: </w:t>
      </w:r>
      <w:hyperlink r:id="rId38" w:history="1">
        <w:r w:rsidRPr="009D6273">
          <w:rPr>
            <w:rFonts w:ascii="Verdana" w:eastAsiaTheme="minorEastAsia" w:hAnsi="Verdana" w:cstheme="minorBidi"/>
            <w:color w:val="000000" w:themeColor="text1"/>
            <w:kern w:val="24"/>
            <w:sz w:val="14"/>
            <w:szCs w:val="14"/>
            <w:u w:val="single"/>
          </w:rPr>
          <w:t>https://</w:t>
        </w:r>
      </w:hyperlink>
      <w:hyperlink r:id="rId39" w:history="1">
        <w:r w:rsidRPr="009D6273">
          <w:rPr>
            <w:rFonts w:ascii="Verdana" w:eastAsiaTheme="minorEastAsia" w:hAnsi="Verdana" w:cstheme="minorBidi"/>
            <w:color w:val="000000" w:themeColor="text1"/>
            <w:kern w:val="24"/>
            <w:sz w:val="14"/>
            <w:szCs w:val="14"/>
            <w:u w:val="single"/>
          </w:rPr>
          <w:t>www.eea.europa.eu/themes/water/european-waters/water-quality-and-water-assessment/water-assessments/pressures-and-impacts-of-water-bodies</w:t>
        </w:r>
      </w:hyperlink>
      <w:r>
        <w:rPr>
          <w:rFonts w:ascii="Verdana" w:eastAsiaTheme="minorEastAsia" w:hAnsi="Verdana" w:cstheme="minorBidi"/>
          <w:color w:val="000000" w:themeColor="text1"/>
          <w:kern w:val="24"/>
          <w:sz w:val="14"/>
          <w:szCs w:val="14"/>
          <w:u w:val="single"/>
        </w:rPr>
        <w:t xml:space="preserve"> </w:t>
      </w:r>
      <w:r w:rsidRPr="009D6273">
        <w:rPr>
          <w:rFonts w:ascii="Verdana" w:eastAsiaTheme="minorEastAsia" w:hAnsi="Verdana" w:cstheme="minorBidi"/>
          <w:color w:val="000000" w:themeColor="text1"/>
          <w:kern w:val="24"/>
          <w:sz w:val="14"/>
          <w:szCs w:val="14"/>
          <w:u w:val="single"/>
        </w:rPr>
        <w:t xml:space="preserve"> </w:t>
      </w:r>
    </w:p>
    <w:p w14:paraId="607D2711" w14:textId="77777777" w:rsidR="009D6273" w:rsidRPr="009D6273" w:rsidRDefault="009D6273" w:rsidP="009D6273">
      <w:pPr>
        <w:pStyle w:val="WDBodySmall"/>
        <w:jc w:val="both"/>
        <w:rPr>
          <w:rFonts w:ascii="Verdana" w:hAnsi="Verdana"/>
          <w:sz w:val="14"/>
          <w:szCs w:val="14"/>
        </w:rPr>
      </w:pPr>
      <w:r w:rsidRPr="009D6273">
        <w:rPr>
          <w:rFonts w:ascii="Verdana" w:hAnsi="Verdana"/>
          <w:sz w:val="14"/>
          <w:szCs w:val="14"/>
        </w:rPr>
        <w:t>Notes: EEA WISE reporting on EU27 countries (NUTS0), excluding UK and excluding “no significant anthropogenic pressure” and “unpopulated</w:t>
      </w:r>
      <w:r w:rsidRPr="009D6273">
        <w:rPr>
          <w:rStyle w:val="FootnoteReference"/>
          <w:rFonts w:ascii="Verdana" w:hAnsi="Verdana"/>
          <w:sz w:val="14"/>
          <w:szCs w:val="14"/>
        </w:rPr>
        <w:footnoteReference w:id="14"/>
      </w:r>
      <w:r w:rsidRPr="009D6273">
        <w:rPr>
          <w:rFonts w:ascii="Verdana" w:hAnsi="Verdana"/>
          <w:sz w:val="14"/>
          <w:szCs w:val="14"/>
        </w:rPr>
        <w:t>”. Number of WBs has decreased between 1st and 2nd RBMPs</w:t>
      </w:r>
    </w:p>
    <w:p w14:paraId="3C509DAE" w14:textId="77777777" w:rsidR="009D6273" w:rsidRPr="000F4A43" w:rsidRDefault="009D6273" w:rsidP="009D6273">
      <w:pPr>
        <w:pStyle w:val="Body"/>
        <w:rPr>
          <w:rFonts w:eastAsiaTheme="minorHAnsi"/>
          <w:lang w:val="en-US"/>
        </w:rPr>
      </w:pPr>
    </w:p>
    <w:p w14:paraId="7BBDE244" w14:textId="77777777" w:rsidR="009D6273" w:rsidRPr="000F4A43" w:rsidRDefault="009D6273" w:rsidP="009D6273">
      <w:pPr>
        <w:pStyle w:val="Body"/>
        <w:rPr>
          <w:lang w:val="en-US"/>
        </w:rPr>
      </w:pPr>
      <w:r w:rsidRPr="000F4A43">
        <w:rPr>
          <w:rFonts w:eastAsiaTheme="minorHAnsi"/>
          <w:lang w:val="en-US"/>
        </w:rPr>
        <w:t xml:space="preserve">The main </w:t>
      </w:r>
      <w:r w:rsidRPr="000F4A43">
        <w:rPr>
          <w:rFonts w:eastAsiaTheme="minorHAnsi"/>
          <w:b/>
          <w:bCs/>
          <w:lang w:val="en-US"/>
        </w:rPr>
        <w:t>impacts on surface water bodies</w:t>
      </w:r>
      <w:r w:rsidRPr="000F4A43">
        <w:rPr>
          <w:rFonts w:eastAsiaTheme="minorHAnsi"/>
          <w:lang w:val="en-US"/>
        </w:rPr>
        <w:t xml:space="preserve"> are </w:t>
      </w:r>
      <w:r w:rsidRPr="000F4A43">
        <w:rPr>
          <w:b/>
          <w:bCs/>
          <w:lang w:val="en-US"/>
        </w:rPr>
        <w:t>chemical pollution</w:t>
      </w:r>
      <w:r w:rsidRPr="000F4A43">
        <w:rPr>
          <w:lang w:val="en-US"/>
        </w:rPr>
        <w:t xml:space="preserve"> (50%), </w:t>
      </w:r>
      <w:r w:rsidRPr="000F4A43">
        <w:rPr>
          <w:b/>
          <w:bCs/>
          <w:lang w:val="en-US"/>
        </w:rPr>
        <w:t>altered habitats due to morphological changes</w:t>
      </w:r>
      <w:r w:rsidRPr="000F4A43">
        <w:rPr>
          <w:lang w:val="en-US"/>
        </w:rPr>
        <w:t xml:space="preserve"> (37%) and </w:t>
      </w:r>
      <w:r w:rsidRPr="000F4A43">
        <w:rPr>
          <w:b/>
          <w:bCs/>
          <w:lang w:val="en-US"/>
        </w:rPr>
        <w:t>nutrient pollution</w:t>
      </w:r>
      <w:r w:rsidRPr="000F4A43">
        <w:rPr>
          <w:lang w:val="en-US"/>
        </w:rPr>
        <w:t xml:space="preserve"> (27%) (see Figure below).</w:t>
      </w:r>
    </w:p>
    <w:p w14:paraId="3E9E4489" w14:textId="12426067" w:rsidR="009D6273" w:rsidRPr="001B4BBC" w:rsidRDefault="001B4BBC" w:rsidP="001B4BBC">
      <w:pPr>
        <w:pStyle w:val="Caption"/>
        <w:rPr>
          <w:rFonts w:ascii="Verdana" w:hAnsi="Verdana"/>
          <w:color w:val="548DD4" w:themeColor="text2" w:themeTint="99"/>
          <w:sz w:val="18"/>
          <w:szCs w:val="18"/>
          <w:lang w:val="en-US"/>
        </w:rPr>
      </w:pPr>
      <w:bookmarkStart w:id="20" w:name="_Toc56669497"/>
      <w:bookmarkStart w:id="21" w:name="_Toc56776743"/>
      <w:bookmarkStart w:id="22" w:name="_Toc59181808"/>
      <w:r w:rsidRPr="001B4BBC">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Pr="001B4BBC">
        <w:rPr>
          <w:rFonts w:ascii="Verdana" w:hAnsi="Verdana"/>
          <w:color w:val="548DD4" w:themeColor="text2" w:themeTint="99"/>
          <w:sz w:val="18"/>
          <w:szCs w:val="18"/>
          <w:lang w:val="en-US"/>
        </w:rPr>
        <w:t xml:space="preserve"> </w:t>
      </w:r>
      <w:r w:rsidR="009D6273" w:rsidRPr="001B4BBC">
        <w:rPr>
          <w:rFonts w:ascii="Verdana" w:hAnsi="Verdana"/>
          <w:color w:val="548DD4" w:themeColor="text2" w:themeTint="99"/>
          <w:sz w:val="18"/>
          <w:szCs w:val="18"/>
          <w:lang w:val="en-US"/>
        </w:rPr>
        <w:t>Significant impacts on surface water bodies in EU27</w:t>
      </w:r>
      <w:bookmarkEnd w:id="20"/>
      <w:bookmarkEnd w:id="21"/>
      <w:bookmarkEnd w:id="22"/>
    </w:p>
    <w:p w14:paraId="58B82318" w14:textId="77777777" w:rsidR="009D6273" w:rsidRPr="00736A50" w:rsidRDefault="009D6273" w:rsidP="009D6273">
      <w:pPr>
        <w:pStyle w:val="Body"/>
        <w:jc w:val="center"/>
        <w:rPr>
          <w:b/>
        </w:rPr>
      </w:pPr>
      <w:r w:rsidRPr="0040676E">
        <w:rPr>
          <w:b/>
          <w:noProof/>
          <w:lang w:val="en-US"/>
        </w:rPr>
        <w:drawing>
          <wp:inline distT="0" distB="0" distL="0" distR="0" wp14:anchorId="13D06451" wp14:editId="3CA52369">
            <wp:extent cx="5173074" cy="2755989"/>
            <wp:effectExtent l="0" t="0" r="8890" b="63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273C11" w14:textId="77777777" w:rsidR="009D6273" w:rsidRPr="001B4BBC" w:rsidRDefault="009D6273" w:rsidP="009D6273">
      <w:pPr>
        <w:spacing w:after="0"/>
        <w:rPr>
          <w:rFonts w:ascii="Verdana" w:eastAsiaTheme="minorEastAsia" w:hAnsi="Verdana" w:cstheme="minorBidi"/>
          <w:color w:val="000000" w:themeColor="text1"/>
          <w:kern w:val="24"/>
          <w:sz w:val="14"/>
          <w:szCs w:val="14"/>
        </w:rPr>
      </w:pPr>
      <w:r w:rsidRPr="001B4BBC">
        <w:rPr>
          <w:rFonts w:ascii="Verdana" w:eastAsiaTheme="minorEastAsia" w:hAnsi="Verdana" w:cstheme="minorBidi"/>
          <w:color w:val="000000" w:themeColor="text1"/>
          <w:kern w:val="24"/>
          <w:sz w:val="14"/>
          <w:szCs w:val="14"/>
        </w:rPr>
        <w:t xml:space="preserve">Source: </w:t>
      </w:r>
      <w:hyperlink r:id="rId41" w:history="1">
        <w:r w:rsidRPr="001B4BBC">
          <w:rPr>
            <w:rFonts w:ascii="Verdana" w:eastAsiaTheme="minorEastAsia" w:hAnsi="Verdana" w:cstheme="minorBidi"/>
            <w:color w:val="000000" w:themeColor="text1"/>
            <w:kern w:val="24"/>
            <w:sz w:val="14"/>
            <w:szCs w:val="14"/>
            <w:u w:val="single"/>
          </w:rPr>
          <w:t>https://</w:t>
        </w:r>
      </w:hyperlink>
      <w:hyperlink r:id="rId42" w:history="1">
        <w:r w:rsidRPr="001B4BBC">
          <w:rPr>
            <w:rFonts w:ascii="Verdana" w:eastAsiaTheme="minorEastAsia" w:hAnsi="Verdana" w:cstheme="minorBidi"/>
            <w:color w:val="000000" w:themeColor="text1"/>
            <w:kern w:val="24"/>
            <w:sz w:val="14"/>
            <w:szCs w:val="14"/>
            <w:u w:val="single"/>
          </w:rPr>
          <w:t>www.eea.europa.eu/themes/water/european-waters/water-quality-and-water-assessment/water-assessments/pressures-and-impacts-of-water-bodies</w:t>
        </w:r>
      </w:hyperlink>
      <w:r w:rsidRPr="001B4BBC">
        <w:rPr>
          <w:rFonts w:ascii="Verdana" w:eastAsiaTheme="minorEastAsia" w:hAnsi="Verdana" w:cstheme="minorBidi"/>
          <w:color w:val="000000" w:themeColor="text1"/>
          <w:kern w:val="24"/>
          <w:sz w:val="14"/>
          <w:szCs w:val="14"/>
        </w:rPr>
        <w:t xml:space="preserve"> </w:t>
      </w:r>
    </w:p>
    <w:p w14:paraId="1B3824AE" w14:textId="77777777" w:rsidR="009D6273" w:rsidRPr="001B4BBC" w:rsidRDefault="009D6273" w:rsidP="009D6273">
      <w:pPr>
        <w:pStyle w:val="WDBodySmall"/>
        <w:rPr>
          <w:rFonts w:ascii="Verdana" w:hAnsi="Verdana"/>
          <w:sz w:val="14"/>
          <w:szCs w:val="14"/>
        </w:rPr>
      </w:pPr>
      <w:r w:rsidRPr="001B4BBC">
        <w:rPr>
          <w:rFonts w:ascii="Verdana" w:hAnsi="Verdana"/>
          <w:sz w:val="14"/>
          <w:szCs w:val="14"/>
        </w:rPr>
        <w:t>Notes: EEA WISE reporting on EU27 countries (NUTS0), excluding UK and excluding “none” and “unpopulated</w:t>
      </w:r>
      <w:r w:rsidRPr="001B4BBC">
        <w:rPr>
          <w:rStyle w:val="FootnoteReference"/>
          <w:rFonts w:ascii="Verdana" w:hAnsi="Verdana"/>
          <w:sz w:val="14"/>
          <w:szCs w:val="14"/>
        </w:rPr>
        <w:footnoteReference w:id="15"/>
      </w:r>
      <w:r w:rsidRPr="001B4BBC">
        <w:rPr>
          <w:rFonts w:ascii="Verdana" w:hAnsi="Verdana"/>
          <w:sz w:val="14"/>
          <w:szCs w:val="14"/>
        </w:rPr>
        <w:t>”. Number of WBs has decreased between 1st and 2nd RBMPs</w:t>
      </w:r>
    </w:p>
    <w:p w14:paraId="53E3EC25" w14:textId="77777777" w:rsidR="009D6273" w:rsidRPr="009D6273" w:rsidRDefault="009D6273" w:rsidP="009D6273">
      <w:pPr>
        <w:spacing w:after="0"/>
        <w:rPr>
          <w:rFonts w:asciiTheme="minorHAnsi" w:eastAsiaTheme="minorEastAsia" w:hAnsi="Segoe UI Light" w:cstheme="minorBidi"/>
          <w:color w:val="000000" w:themeColor="text1"/>
          <w:kern w:val="24"/>
          <w:sz w:val="18"/>
          <w:szCs w:val="18"/>
          <w:lang w:val="en-US"/>
        </w:rPr>
      </w:pPr>
    </w:p>
    <w:p w14:paraId="40EC0CB9" w14:textId="77777777" w:rsidR="00ED3E8D" w:rsidRDefault="00ED3E8D" w:rsidP="009D6273">
      <w:pPr>
        <w:pStyle w:val="Body"/>
        <w:rPr>
          <w:lang w:val="en-US"/>
        </w:rPr>
      </w:pPr>
    </w:p>
    <w:p w14:paraId="69E72579" w14:textId="669017C0" w:rsidR="009D6273" w:rsidRPr="009D6273" w:rsidRDefault="009D6273" w:rsidP="009D6273">
      <w:pPr>
        <w:pStyle w:val="Body"/>
        <w:rPr>
          <w:lang w:val="en-US"/>
        </w:rPr>
      </w:pPr>
      <w:r w:rsidRPr="009D6273">
        <w:rPr>
          <w:lang w:val="en-US"/>
        </w:rPr>
        <w:t xml:space="preserve">At the same time 25% of groundwater bodies were affected by </w:t>
      </w:r>
      <w:r w:rsidRPr="009D6273">
        <w:rPr>
          <w:b/>
          <w:lang w:val="en-US"/>
        </w:rPr>
        <w:t>diffuse sources</w:t>
      </w:r>
      <w:r w:rsidRPr="009D6273">
        <w:rPr>
          <w:lang w:val="en-US"/>
        </w:rPr>
        <w:t xml:space="preserve">, 12% by </w:t>
      </w:r>
      <w:r w:rsidRPr="009D6273">
        <w:rPr>
          <w:b/>
          <w:lang w:val="en-US"/>
        </w:rPr>
        <w:t>point sources</w:t>
      </w:r>
      <w:r w:rsidRPr="009D6273">
        <w:rPr>
          <w:lang w:val="en-US"/>
        </w:rPr>
        <w:t xml:space="preserve"> and 10% by </w:t>
      </w:r>
      <w:r w:rsidRPr="009D6273">
        <w:rPr>
          <w:b/>
          <w:lang w:val="en-US"/>
        </w:rPr>
        <w:t>abstraction pressures</w:t>
      </w:r>
      <w:r w:rsidRPr="00736A50">
        <w:rPr>
          <w:rStyle w:val="FootnoteReference"/>
        </w:rPr>
        <w:footnoteReference w:id="16"/>
      </w:r>
      <w:r w:rsidRPr="009D6273">
        <w:rPr>
          <w:lang w:val="en-US"/>
        </w:rPr>
        <w:t xml:space="preserve"> (see Figure below). </w:t>
      </w:r>
    </w:p>
    <w:p w14:paraId="63959196" w14:textId="67358E1E" w:rsidR="009D6273" w:rsidRPr="001B4BBC" w:rsidRDefault="001B4BBC" w:rsidP="001B4BBC">
      <w:pPr>
        <w:pStyle w:val="Caption"/>
        <w:rPr>
          <w:rFonts w:ascii="Verdana" w:hAnsi="Verdana"/>
          <w:color w:val="548DD4" w:themeColor="text2" w:themeTint="99"/>
          <w:sz w:val="18"/>
          <w:szCs w:val="18"/>
          <w:lang w:val="en-US"/>
        </w:rPr>
      </w:pPr>
      <w:bookmarkStart w:id="23" w:name="_Toc56669498"/>
      <w:bookmarkStart w:id="24" w:name="_Toc56776744"/>
      <w:bookmarkStart w:id="25" w:name="_Toc59181809"/>
      <w:r w:rsidRPr="001B4BBC">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Pr="001B4BBC">
        <w:rPr>
          <w:rFonts w:ascii="Verdana" w:hAnsi="Verdana"/>
          <w:color w:val="548DD4" w:themeColor="text2" w:themeTint="99"/>
          <w:sz w:val="18"/>
          <w:szCs w:val="18"/>
          <w:lang w:val="en-US"/>
        </w:rPr>
        <w:t xml:space="preserve"> </w:t>
      </w:r>
      <w:r w:rsidR="009D6273" w:rsidRPr="001B4BBC">
        <w:rPr>
          <w:rFonts w:ascii="Verdana" w:hAnsi="Verdana"/>
          <w:color w:val="548DD4" w:themeColor="text2" w:themeTint="99"/>
          <w:sz w:val="18"/>
          <w:szCs w:val="18"/>
          <w:lang w:val="en-US"/>
        </w:rPr>
        <w:t>Significant pressures on groundwater bodies in EU27</w:t>
      </w:r>
      <w:bookmarkEnd w:id="23"/>
      <w:bookmarkEnd w:id="24"/>
      <w:bookmarkEnd w:id="25"/>
    </w:p>
    <w:p w14:paraId="7BFF0047" w14:textId="77777777" w:rsidR="009D6273" w:rsidRPr="00736A50" w:rsidRDefault="009D6273" w:rsidP="009D6273">
      <w:pPr>
        <w:spacing w:line="240" w:lineRule="atLeast"/>
        <w:jc w:val="center"/>
        <w:rPr>
          <w:rFonts w:ascii="Segoe UI" w:eastAsiaTheme="minorHAnsi" w:hAnsi="Segoe UI" w:cstheme="minorBidi"/>
          <w:color w:val="000000"/>
          <w:sz w:val="18"/>
        </w:rPr>
      </w:pPr>
      <w:r w:rsidRPr="0040676E">
        <w:rPr>
          <w:noProof/>
          <w:lang w:val="en-US"/>
        </w:rPr>
        <w:drawing>
          <wp:inline distT="0" distB="0" distL="0" distR="0" wp14:anchorId="264C3E86" wp14:editId="56076A2D">
            <wp:extent cx="5088788" cy="2948487"/>
            <wp:effectExtent l="0" t="0" r="17145" b="444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0BAAD5E" w14:textId="77777777" w:rsidR="009D6273" w:rsidRPr="001B4BBC" w:rsidRDefault="009D6273" w:rsidP="009D6273">
      <w:pPr>
        <w:pStyle w:val="WDBodySmall"/>
        <w:rPr>
          <w:rFonts w:ascii="Verdana" w:hAnsi="Verdana"/>
          <w:sz w:val="14"/>
          <w:szCs w:val="14"/>
          <w:lang w:val="fr-FR"/>
        </w:rPr>
      </w:pPr>
      <w:r w:rsidRPr="001B4BBC">
        <w:rPr>
          <w:rFonts w:ascii="Verdana" w:hAnsi="Verdana"/>
          <w:sz w:val="14"/>
          <w:szCs w:val="14"/>
          <w:lang w:val="fr-FR"/>
        </w:rPr>
        <w:t xml:space="preserve">Source: </w:t>
      </w:r>
      <w:hyperlink r:id="rId44" w:history="1">
        <w:r w:rsidRPr="001B4BBC">
          <w:rPr>
            <w:rFonts w:ascii="Verdana" w:eastAsiaTheme="minorEastAsia" w:hAnsi="Verdana"/>
            <w:color w:val="000000" w:themeColor="text1"/>
            <w:kern w:val="24"/>
            <w:sz w:val="14"/>
            <w:szCs w:val="14"/>
            <w:u w:val="single"/>
            <w:lang w:val="fr-FR"/>
          </w:rPr>
          <w:t>https://</w:t>
        </w:r>
      </w:hyperlink>
      <w:hyperlink r:id="rId45" w:history="1">
        <w:r w:rsidRPr="001B4BBC">
          <w:rPr>
            <w:rFonts w:ascii="Verdana" w:eastAsiaTheme="minorEastAsia" w:hAnsi="Verdana"/>
            <w:color w:val="000000" w:themeColor="text1"/>
            <w:kern w:val="24"/>
            <w:sz w:val="14"/>
            <w:szCs w:val="14"/>
            <w:u w:val="single"/>
            <w:lang w:val="fr-FR"/>
          </w:rPr>
          <w:t>www.eea.europa.eu/themes/water/european-waters/water-quality-and-water-assessment/water-assessments/pressures-and-impacts-of-water-bodies</w:t>
        </w:r>
      </w:hyperlink>
    </w:p>
    <w:p w14:paraId="6215476C" w14:textId="793E3B03" w:rsidR="009D6273" w:rsidRPr="001B4BBC" w:rsidRDefault="009D6273" w:rsidP="001B4BBC">
      <w:pPr>
        <w:pStyle w:val="WDBodySmall"/>
        <w:rPr>
          <w:rFonts w:ascii="Verdana" w:hAnsi="Verdana"/>
          <w:sz w:val="14"/>
          <w:szCs w:val="14"/>
        </w:rPr>
      </w:pPr>
      <w:r w:rsidRPr="001B4BBC">
        <w:rPr>
          <w:rFonts w:ascii="Verdana" w:hAnsi="Verdana"/>
          <w:sz w:val="14"/>
          <w:szCs w:val="14"/>
        </w:rPr>
        <w:t>Notes: EEA WISE reporting on EU27 countries (NUTS0), excluding UK and excluding “no significant anthropogenic pressure” and “unpopulated</w:t>
      </w:r>
      <w:r w:rsidRPr="001B4BBC">
        <w:rPr>
          <w:rStyle w:val="FootnoteReference"/>
          <w:rFonts w:ascii="Verdana" w:hAnsi="Verdana"/>
          <w:sz w:val="14"/>
          <w:szCs w:val="14"/>
        </w:rPr>
        <w:footnoteReference w:id="17"/>
      </w:r>
      <w:r w:rsidRPr="001B4BBC">
        <w:rPr>
          <w:rFonts w:ascii="Verdana" w:hAnsi="Verdana"/>
          <w:sz w:val="14"/>
          <w:szCs w:val="14"/>
        </w:rPr>
        <w:t>”. Number of WBs has decreased between 1st and 2nd RBMPs</w:t>
      </w:r>
    </w:p>
    <w:p w14:paraId="19CC5B50" w14:textId="77777777" w:rsidR="00B16E17" w:rsidRDefault="00B16E17" w:rsidP="009D6273">
      <w:pPr>
        <w:spacing w:line="240" w:lineRule="atLeast"/>
        <w:rPr>
          <w:rFonts w:ascii="Segoe UI" w:eastAsiaTheme="minorHAnsi" w:hAnsi="Segoe UI" w:cstheme="minorBidi"/>
          <w:color w:val="000000"/>
          <w:sz w:val="20"/>
          <w:lang w:val="en-US"/>
        </w:rPr>
      </w:pPr>
    </w:p>
    <w:p w14:paraId="6561DC6D" w14:textId="40125179" w:rsidR="009D6273" w:rsidRPr="009D6273" w:rsidRDefault="009D6273" w:rsidP="00B16E17">
      <w:pPr>
        <w:pStyle w:val="Body"/>
        <w:rPr>
          <w:rFonts w:eastAsiaTheme="minorHAnsi"/>
          <w:lang w:val="en-US"/>
        </w:rPr>
      </w:pPr>
      <w:r w:rsidRPr="009D6273">
        <w:rPr>
          <w:rFonts w:eastAsiaTheme="minorHAnsi"/>
          <w:lang w:val="en-US"/>
        </w:rPr>
        <w:t xml:space="preserve">In particular, </w:t>
      </w:r>
      <w:r w:rsidRPr="009D6273">
        <w:rPr>
          <w:rFonts w:eastAsiaTheme="minorHAnsi"/>
          <w:b/>
          <w:bCs/>
          <w:lang w:val="en-US"/>
        </w:rPr>
        <w:t>agriculture</w:t>
      </w:r>
      <w:r w:rsidRPr="009D6273">
        <w:rPr>
          <w:rFonts w:eastAsiaTheme="minorHAnsi"/>
          <w:lang w:val="en-US"/>
        </w:rPr>
        <w:t xml:space="preserve"> is the main cause of groundwater's failure to achieve good chemical status, as it leads to diffuse pollution from nitrates and pesticides. Other significant sources are wastewater discharges that are not connected to a sewerage treatment system, and contaminated soil sites or abandoned industrial sites.</w:t>
      </w:r>
      <w:r w:rsidRPr="00736A50">
        <w:rPr>
          <w:rFonts w:eastAsiaTheme="minorHAnsi"/>
          <w:vertAlign w:val="superscript"/>
        </w:rPr>
        <w:footnoteReference w:id="18"/>
      </w:r>
    </w:p>
    <w:p w14:paraId="76523030" w14:textId="77777777" w:rsidR="009D6273" w:rsidRPr="009D6273" w:rsidRDefault="009D6273" w:rsidP="00B16E17">
      <w:pPr>
        <w:pStyle w:val="Body"/>
        <w:rPr>
          <w:lang w:val="en-US"/>
        </w:rPr>
      </w:pPr>
      <w:r w:rsidRPr="009D6273">
        <w:rPr>
          <w:rFonts w:eastAsiaTheme="minorHAnsi"/>
          <w:lang w:val="en-US"/>
        </w:rPr>
        <w:t xml:space="preserve">The main </w:t>
      </w:r>
      <w:r w:rsidRPr="009D6273">
        <w:rPr>
          <w:rFonts w:eastAsiaTheme="minorHAnsi"/>
          <w:b/>
          <w:lang w:val="en-US"/>
        </w:rPr>
        <w:t xml:space="preserve">impacts on groundwater bodies </w:t>
      </w:r>
      <w:r w:rsidRPr="009D6273">
        <w:rPr>
          <w:rFonts w:eastAsiaTheme="minorHAnsi"/>
          <w:lang w:val="en-US"/>
        </w:rPr>
        <w:t>are</w:t>
      </w:r>
      <w:r w:rsidRPr="009D6273">
        <w:rPr>
          <w:rFonts w:eastAsiaTheme="minorHAnsi"/>
          <w:b/>
          <w:lang w:val="en-US"/>
        </w:rPr>
        <w:t xml:space="preserve"> </w:t>
      </w:r>
      <w:r w:rsidRPr="009D6273">
        <w:rPr>
          <w:b/>
          <w:lang w:val="en-US"/>
        </w:rPr>
        <w:t>chemical pollution</w:t>
      </w:r>
      <w:r w:rsidRPr="009D6273">
        <w:rPr>
          <w:lang w:val="en-US"/>
        </w:rPr>
        <w:t xml:space="preserve"> (13%) and </w:t>
      </w:r>
      <w:r w:rsidRPr="009D6273">
        <w:rPr>
          <w:b/>
          <w:lang w:val="en-US"/>
        </w:rPr>
        <w:t>nutrient pollution</w:t>
      </w:r>
      <w:r w:rsidRPr="009D6273">
        <w:rPr>
          <w:lang w:val="en-US"/>
        </w:rPr>
        <w:t xml:space="preserve"> (9%) (see Figure below). However, still a very high number of groundwater bodies (28%) are affected by unknown impacts.</w:t>
      </w:r>
    </w:p>
    <w:p w14:paraId="4A0FA589" w14:textId="01BB2F24" w:rsidR="00B16E17" w:rsidRDefault="00B16E17" w:rsidP="009D6273">
      <w:pPr>
        <w:spacing w:after="0"/>
        <w:rPr>
          <w:rFonts w:ascii="Segoe UI" w:hAnsi="Segoe UI" w:cstheme="majorBidi"/>
          <w:iCs/>
          <w:color w:val="884C91"/>
          <w:sz w:val="20"/>
          <w:szCs w:val="26"/>
          <w:lang w:val="en-US"/>
        </w:rPr>
      </w:pPr>
      <w:bookmarkStart w:id="26" w:name="_Toc56669499"/>
      <w:r>
        <w:rPr>
          <w:rFonts w:ascii="Segoe UI" w:hAnsi="Segoe UI" w:cstheme="majorBidi"/>
          <w:iCs/>
          <w:color w:val="884C91"/>
          <w:sz w:val="20"/>
          <w:szCs w:val="26"/>
          <w:lang w:val="en-US"/>
        </w:rPr>
        <w:br w:type="page"/>
      </w:r>
    </w:p>
    <w:p w14:paraId="554E5B99" w14:textId="7ACD0864" w:rsidR="009D6273" w:rsidRPr="00B16E17" w:rsidRDefault="00B16E17" w:rsidP="00B16E17">
      <w:pPr>
        <w:pStyle w:val="Caption"/>
        <w:rPr>
          <w:rFonts w:ascii="Verdana" w:hAnsi="Verdana"/>
          <w:color w:val="548DD4" w:themeColor="text2" w:themeTint="99"/>
          <w:sz w:val="18"/>
          <w:szCs w:val="18"/>
          <w:lang w:val="en-US"/>
        </w:rPr>
      </w:pPr>
      <w:bookmarkStart w:id="27" w:name="_Toc56776745"/>
      <w:bookmarkStart w:id="28" w:name="_Toc59181810"/>
      <w:r w:rsidRPr="00B16E17">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7</w:t>
      </w:r>
      <w:r w:rsidR="00E14072">
        <w:rPr>
          <w:rFonts w:ascii="Verdana" w:hAnsi="Verdana"/>
          <w:color w:val="548DD4" w:themeColor="text2" w:themeTint="99"/>
          <w:sz w:val="18"/>
          <w:szCs w:val="18"/>
          <w:lang w:val="en-US"/>
        </w:rPr>
        <w:fldChar w:fldCharType="end"/>
      </w:r>
      <w:r w:rsidRPr="00B16E17">
        <w:rPr>
          <w:rFonts w:ascii="Verdana" w:hAnsi="Verdana"/>
          <w:color w:val="548DD4" w:themeColor="text2" w:themeTint="99"/>
          <w:sz w:val="18"/>
          <w:szCs w:val="18"/>
          <w:lang w:val="en-US"/>
        </w:rPr>
        <w:t xml:space="preserve"> </w:t>
      </w:r>
      <w:r w:rsidR="009D6273" w:rsidRPr="00B16E17">
        <w:rPr>
          <w:rFonts w:ascii="Verdana" w:hAnsi="Verdana"/>
          <w:color w:val="548DD4" w:themeColor="text2" w:themeTint="99"/>
          <w:sz w:val="18"/>
          <w:szCs w:val="18"/>
          <w:lang w:val="en-US"/>
        </w:rPr>
        <w:t>Significant impacts on groundwater bodies in EU27</w:t>
      </w:r>
      <w:bookmarkEnd w:id="26"/>
      <w:bookmarkEnd w:id="27"/>
      <w:bookmarkEnd w:id="28"/>
    </w:p>
    <w:p w14:paraId="3A1CECD3" w14:textId="77777777" w:rsidR="009D6273" w:rsidRPr="00736A50" w:rsidRDefault="009D6273" w:rsidP="009D6273">
      <w:pPr>
        <w:pStyle w:val="Body"/>
        <w:jc w:val="center"/>
        <w:rPr>
          <w:b/>
        </w:rPr>
      </w:pPr>
      <w:r w:rsidRPr="0040676E">
        <w:rPr>
          <w:b/>
          <w:noProof/>
          <w:lang w:val="en-US"/>
        </w:rPr>
        <w:drawing>
          <wp:inline distT="0" distB="0" distL="0" distR="0" wp14:anchorId="758135D5" wp14:editId="78FB2563">
            <wp:extent cx="5183678" cy="3079488"/>
            <wp:effectExtent l="0" t="0" r="17145" b="698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B6383E" w14:textId="77777777" w:rsidR="009D6273" w:rsidRPr="00B16E17" w:rsidRDefault="009D6273" w:rsidP="00B16E17">
      <w:pPr>
        <w:spacing w:after="120"/>
        <w:rPr>
          <w:rFonts w:ascii="Verdana" w:eastAsiaTheme="minorEastAsia" w:hAnsi="Verdana" w:cstheme="minorBidi"/>
          <w:color w:val="000000" w:themeColor="text1"/>
          <w:kern w:val="24"/>
          <w:sz w:val="14"/>
          <w:szCs w:val="14"/>
        </w:rPr>
      </w:pPr>
      <w:r w:rsidRPr="00B16E17">
        <w:rPr>
          <w:rFonts w:ascii="Verdana" w:eastAsiaTheme="minorEastAsia" w:hAnsi="Verdana" w:cstheme="minorBidi"/>
          <w:color w:val="000000" w:themeColor="text1"/>
          <w:kern w:val="24"/>
          <w:sz w:val="14"/>
          <w:szCs w:val="14"/>
        </w:rPr>
        <w:t xml:space="preserve">Source: </w:t>
      </w:r>
      <w:hyperlink r:id="rId47" w:history="1">
        <w:r w:rsidRPr="00B16E17">
          <w:rPr>
            <w:rFonts w:ascii="Verdana" w:eastAsiaTheme="minorEastAsia" w:hAnsi="Verdana" w:cstheme="minorBidi"/>
            <w:color w:val="000000" w:themeColor="text1"/>
            <w:kern w:val="24"/>
            <w:sz w:val="14"/>
            <w:szCs w:val="14"/>
            <w:u w:val="single"/>
          </w:rPr>
          <w:t>https://</w:t>
        </w:r>
      </w:hyperlink>
      <w:hyperlink r:id="rId48" w:history="1">
        <w:r w:rsidRPr="00B16E17">
          <w:rPr>
            <w:rFonts w:ascii="Verdana" w:eastAsiaTheme="minorEastAsia" w:hAnsi="Verdana" w:cstheme="minorBidi"/>
            <w:color w:val="000000" w:themeColor="text1"/>
            <w:kern w:val="24"/>
            <w:sz w:val="14"/>
            <w:szCs w:val="14"/>
            <w:u w:val="single"/>
          </w:rPr>
          <w:t>www.eea.europa.eu/themes/water/european-waters/water-quality-and-water-assessment/water-assessments/pressures-and-impacts-of-water-bodies</w:t>
        </w:r>
      </w:hyperlink>
      <w:r w:rsidRPr="00B16E17">
        <w:rPr>
          <w:rFonts w:ascii="Verdana" w:eastAsiaTheme="minorEastAsia" w:hAnsi="Verdana" w:cstheme="minorBidi"/>
          <w:color w:val="000000" w:themeColor="text1"/>
          <w:kern w:val="24"/>
          <w:sz w:val="14"/>
          <w:szCs w:val="14"/>
        </w:rPr>
        <w:t xml:space="preserve"> </w:t>
      </w:r>
    </w:p>
    <w:p w14:paraId="239850FB" w14:textId="77777777" w:rsidR="009D6273" w:rsidRPr="00B16E17" w:rsidRDefault="009D6273" w:rsidP="00B16E17">
      <w:pPr>
        <w:pStyle w:val="WDBodySmall"/>
        <w:spacing w:after="120"/>
        <w:rPr>
          <w:rFonts w:ascii="Verdana" w:hAnsi="Verdana"/>
          <w:sz w:val="14"/>
          <w:szCs w:val="14"/>
        </w:rPr>
      </w:pPr>
      <w:r w:rsidRPr="00B16E17">
        <w:rPr>
          <w:rFonts w:ascii="Verdana" w:hAnsi="Verdana"/>
          <w:sz w:val="14"/>
          <w:szCs w:val="14"/>
        </w:rPr>
        <w:t xml:space="preserve">Notes: EEA WISE reporting on EU27 countries (NUTS0), excluding UK and excluding </w:t>
      </w:r>
      <w:r w:rsidRPr="00B16E17">
        <w:rPr>
          <w:rFonts w:ascii="Verdana" w:hAnsi="Verdana"/>
          <w:color w:val="000000" w:themeColor="text1"/>
          <w:kern w:val="24"/>
          <w:sz w:val="14"/>
          <w:szCs w:val="14"/>
        </w:rPr>
        <w:t xml:space="preserve">“none” and </w:t>
      </w:r>
      <w:r w:rsidRPr="00B16E17">
        <w:rPr>
          <w:rFonts w:ascii="Verdana" w:hAnsi="Verdana"/>
          <w:sz w:val="14"/>
          <w:szCs w:val="14"/>
        </w:rPr>
        <w:t>“unpopulated</w:t>
      </w:r>
      <w:r w:rsidRPr="00B16E17">
        <w:rPr>
          <w:rStyle w:val="FootnoteReference"/>
          <w:rFonts w:ascii="Verdana" w:hAnsi="Verdana"/>
          <w:sz w:val="14"/>
          <w:szCs w:val="14"/>
        </w:rPr>
        <w:footnoteReference w:id="19"/>
      </w:r>
      <w:r w:rsidRPr="00B16E17">
        <w:rPr>
          <w:rFonts w:ascii="Verdana" w:hAnsi="Verdana"/>
          <w:sz w:val="14"/>
          <w:szCs w:val="14"/>
        </w:rPr>
        <w:t>”. Number of WBs has decreased between 1st and 2nd RBMPs</w:t>
      </w:r>
    </w:p>
    <w:p w14:paraId="1E694C66" w14:textId="174D47D2" w:rsidR="00AB7468" w:rsidRDefault="00AB7468" w:rsidP="003B304A">
      <w:pPr>
        <w:pStyle w:val="Body"/>
        <w:rPr>
          <w:lang w:val="en-GB"/>
        </w:rPr>
      </w:pPr>
    </w:p>
    <w:p w14:paraId="0AC8FA24" w14:textId="5B30E90E" w:rsidR="005944CD" w:rsidRDefault="005944CD" w:rsidP="003B304A">
      <w:pPr>
        <w:pStyle w:val="Body"/>
        <w:rPr>
          <w:lang w:val="en-GB"/>
        </w:rPr>
      </w:pPr>
    </w:p>
    <w:p w14:paraId="7E699DD7" w14:textId="4F579E10" w:rsidR="005944CD" w:rsidRDefault="005944CD" w:rsidP="005944CD">
      <w:pPr>
        <w:pStyle w:val="Heading2"/>
        <w:rPr>
          <w:lang w:val="en-GB"/>
        </w:rPr>
      </w:pPr>
      <w:bookmarkStart w:id="29" w:name="_Toc62825935"/>
      <w:r>
        <w:rPr>
          <w:lang w:val="en-GB"/>
        </w:rPr>
        <w:t>Flood risk</w:t>
      </w:r>
      <w:bookmarkEnd w:id="29"/>
    </w:p>
    <w:p w14:paraId="54496596" w14:textId="77777777" w:rsidR="00365B66" w:rsidRPr="00365B66" w:rsidRDefault="00365B66" w:rsidP="00365B66">
      <w:pPr>
        <w:pStyle w:val="Body"/>
        <w:rPr>
          <w:lang w:val="en-US"/>
        </w:rPr>
      </w:pPr>
      <w:r w:rsidRPr="00365B66">
        <w:rPr>
          <w:lang w:val="en-US"/>
        </w:rPr>
        <w:t>In recognition of significant impacts from flooding, the Floods Directive (FD) entered into force in 2007 aiming to establish a framework for the assessment and management of flood risks and at reducing the adverse consequences for human health, the environment, cultural heritage and economic activity associated with floods. The Directive requires Member States to (for the 1</w:t>
      </w:r>
      <w:r w:rsidRPr="00365B66">
        <w:rPr>
          <w:vertAlign w:val="superscript"/>
          <w:lang w:val="en-US"/>
        </w:rPr>
        <w:t>st</w:t>
      </w:r>
      <w:r w:rsidRPr="00365B66">
        <w:rPr>
          <w:lang w:val="en-US"/>
        </w:rPr>
        <w:t xml:space="preserve"> cycle):</w:t>
      </w:r>
    </w:p>
    <w:p w14:paraId="1ECB1392" w14:textId="77777777" w:rsidR="00365B66" w:rsidRPr="000F4A43" w:rsidRDefault="00365B66" w:rsidP="00A13462">
      <w:pPr>
        <w:pStyle w:val="Body"/>
        <w:numPr>
          <w:ilvl w:val="0"/>
          <w:numId w:val="28"/>
        </w:numPr>
        <w:rPr>
          <w:lang w:val="en-US"/>
        </w:rPr>
      </w:pPr>
      <w:r w:rsidRPr="000F4A43">
        <w:rPr>
          <w:lang w:val="en-US"/>
        </w:rPr>
        <w:t xml:space="preserve">Undertake </w:t>
      </w:r>
      <w:r w:rsidRPr="000F4A43">
        <w:rPr>
          <w:b/>
          <w:lang w:val="en-US"/>
        </w:rPr>
        <w:t>preliminary flood risk assessments</w:t>
      </w:r>
      <w:r w:rsidRPr="000F4A43">
        <w:rPr>
          <w:lang w:val="en-US"/>
        </w:rPr>
        <w:t xml:space="preserve"> (PFRA) leading to the identification of areas that are at significant risk of flooding - areas of potential significant flood risk (APSFR) (by 2011); </w:t>
      </w:r>
    </w:p>
    <w:p w14:paraId="6FBA86FA" w14:textId="77777777" w:rsidR="00365B66" w:rsidRPr="000F4A43" w:rsidRDefault="00365B66" w:rsidP="00A13462">
      <w:pPr>
        <w:pStyle w:val="Body"/>
        <w:numPr>
          <w:ilvl w:val="0"/>
          <w:numId w:val="28"/>
        </w:numPr>
        <w:rPr>
          <w:lang w:val="en-US"/>
        </w:rPr>
      </w:pPr>
      <w:r w:rsidRPr="000F4A43">
        <w:rPr>
          <w:lang w:val="en-US"/>
        </w:rPr>
        <w:t xml:space="preserve">Prepare </w:t>
      </w:r>
      <w:r w:rsidRPr="000F4A43">
        <w:rPr>
          <w:b/>
          <w:lang w:val="en-US"/>
        </w:rPr>
        <w:t>flood hazard and risk maps</w:t>
      </w:r>
      <w:r w:rsidRPr="000F4A43">
        <w:rPr>
          <w:lang w:val="en-US"/>
        </w:rPr>
        <w:t xml:space="preserve"> (FHRM) showing how far floods might extend, the depth or level of water and the impacts there might be on human health, the economy, environment and cultural heritage (by 2013) and,</w:t>
      </w:r>
    </w:p>
    <w:p w14:paraId="61D914D6" w14:textId="77777777" w:rsidR="00365B66" w:rsidRPr="000F4A43" w:rsidRDefault="00365B66" w:rsidP="00A13462">
      <w:pPr>
        <w:pStyle w:val="Body"/>
        <w:numPr>
          <w:ilvl w:val="0"/>
          <w:numId w:val="28"/>
        </w:numPr>
        <w:rPr>
          <w:lang w:val="en-US"/>
        </w:rPr>
      </w:pPr>
      <w:r w:rsidRPr="000F4A43">
        <w:rPr>
          <w:lang w:val="en-US"/>
        </w:rPr>
        <w:t xml:space="preserve">Prepare </w:t>
      </w:r>
      <w:r w:rsidRPr="000F4A43">
        <w:rPr>
          <w:b/>
          <w:lang w:val="en-US"/>
        </w:rPr>
        <w:t>Flood Risk Management Plans</w:t>
      </w:r>
      <w:r w:rsidRPr="000F4A43">
        <w:rPr>
          <w:lang w:val="en-US"/>
        </w:rPr>
        <w:t xml:space="preserve"> (FRMP) (by 2015).</w:t>
      </w:r>
    </w:p>
    <w:p w14:paraId="600144DC" w14:textId="77777777" w:rsidR="00365B66" w:rsidRPr="00365B66" w:rsidRDefault="00365B66" w:rsidP="00365B66">
      <w:pPr>
        <w:pStyle w:val="Body"/>
        <w:rPr>
          <w:lang w:val="en-US"/>
        </w:rPr>
      </w:pPr>
      <w:r w:rsidRPr="00365B66">
        <w:rPr>
          <w:lang w:val="en-US"/>
        </w:rPr>
        <w:t xml:space="preserve">In the process of developing preliminary flood risk assessments (PFRA) and FRMPs, </w:t>
      </w:r>
      <w:r w:rsidRPr="00365B66">
        <w:rPr>
          <w:b/>
          <w:lang w:val="en-US"/>
        </w:rPr>
        <w:t>Member States have identified 7,906 areas of potential significant flood risk</w:t>
      </w:r>
      <w:r w:rsidRPr="00365B66">
        <w:rPr>
          <w:lang w:val="en-US"/>
        </w:rPr>
        <w:t xml:space="preserve"> (APSFRs) falling within 209 Units of Management</w:t>
      </w:r>
      <w:r w:rsidRPr="00736A50">
        <w:rPr>
          <w:rStyle w:val="FootnoteReference"/>
        </w:rPr>
        <w:footnoteReference w:id="20"/>
      </w:r>
      <w:r w:rsidRPr="00365B66">
        <w:rPr>
          <w:lang w:val="en-US"/>
        </w:rPr>
        <w:t xml:space="preserve"> or UoMs</w:t>
      </w:r>
      <w:r w:rsidRPr="00736A50">
        <w:rPr>
          <w:rStyle w:val="FootnoteReference"/>
        </w:rPr>
        <w:footnoteReference w:id="21"/>
      </w:r>
      <w:r w:rsidRPr="00365B66">
        <w:rPr>
          <w:lang w:val="en-US"/>
        </w:rPr>
        <w:t xml:space="preserve">. </w:t>
      </w:r>
    </w:p>
    <w:p w14:paraId="2BBB9413" w14:textId="77777777" w:rsidR="00365B66" w:rsidRPr="00365B66" w:rsidRDefault="00365B66" w:rsidP="00365B66">
      <w:pPr>
        <w:pStyle w:val="Body"/>
        <w:rPr>
          <w:rFonts w:ascii="Segoe UI" w:eastAsiaTheme="minorHAnsi" w:hAnsi="Segoe UI" w:cstheme="minorBidi"/>
          <w:color w:val="000000"/>
          <w:lang w:val="en-US"/>
        </w:rPr>
      </w:pPr>
      <w:r w:rsidRPr="00365B66">
        <w:rPr>
          <w:rFonts w:ascii="Segoe UI" w:eastAsiaTheme="minorHAnsi" w:hAnsi="Segoe UI" w:cstheme="minorBidi"/>
          <w:color w:val="000000"/>
          <w:lang w:val="en-US"/>
        </w:rPr>
        <w:t>The risks of flooding are expected to increase in the future as a result of increased magnitude and frequency of floods due to climate change (higher intensity of rainfall and rising sea levels) as well as increasing numbers of people and assets in flood risk zones.</w:t>
      </w:r>
      <w:r w:rsidRPr="00736A50">
        <w:rPr>
          <w:rFonts w:ascii="Segoe UI" w:eastAsiaTheme="minorHAnsi" w:hAnsi="Segoe UI" w:cstheme="minorBidi"/>
          <w:color w:val="000000"/>
          <w:vertAlign w:val="superscript"/>
        </w:rPr>
        <w:footnoteReference w:id="22"/>
      </w:r>
    </w:p>
    <w:p w14:paraId="562C62CF" w14:textId="77777777" w:rsidR="00365B66" w:rsidRPr="00365B66" w:rsidRDefault="00365B66" w:rsidP="00365B66">
      <w:pPr>
        <w:pStyle w:val="Body"/>
        <w:rPr>
          <w:rFonts w:cs="Calibri"/>
          <w:szCs w:val="22"/>
          <w:lang w:val="en-US" w:eastAsia="en-GB"/>
        </w:rPr>
      </w:pPr>
      <w:r w:rsidRPr="00365B66">
        <w:rPr>
          <w:lang w:val="en-US"/>
        </w:rPr>
        <w:t>Under the no-adaptation scenario (i.e. assuming continuation of the current protection against river floods up to a current 100-year event), EU damages from the combined effect of climate and socioeconomic changes are projected to rise from EUR 6.9 billion/year to EUR 20.4 billion/year by the 2020s, EUR 45.9 billion/year by the 2050s, and EUR 97.9 billion/year by the 2080s</w:t>
      </w:r>
      <w:r w:rsidRPr="00365B66">
        <w:rPr>
          <w:vertAlign w:val="superscript"/>
        </w:rPr>
        <w:footnoteReference w:id="23"/>
      </w:r>
      <w:r w:rsidRPr="00365B66">
        <w:rPr>
          <w:lang w:val="en-US"/>
        </w:rPr>
        <w:t>.</w:t>
      </w:r>
    </w:p>
    <w:p w14:paraId="6F53D5DE" w14:textId="02F314D9" w:rsidR="00AB7468" w:rsidRPr="00365B66" w:rsidRDefault="00AB7468" w:rsidP="00365B66">
      <w:pPr>
        <w:pStyle w:val="Body"/>
        <w:rPr>
          <w:lang w:val="en-US"/>
        </w:rPr>
      </w:pPr>
    </w:p>
    <w:p w14:paraId="427371E5" w14:textId="61E52659" w:rsidR="00CB6D43" w:rsidRDefault="00CB6D43" w:rsidP="003B304A">
      <w:pPr>
        <w:pStyle w:val="Body"/>
        <w:rPr>
          <w:lang w:val="en-GB"/>
        </w:rPr>
      </w:pPr>
    </w:p>
    <w:p w14:paraId="2EFD121A" w14:textId="499E4916" w:rsidR="00726E76" w:rsidRDefault="00726E76" w:rsidP="003B304A">
      <w:pPr>
        <w:pStyle w:val="Body"/>
        <w:rPr>
          <w:lang w:val="en-GB"/>
        </w:rPr>
      </w:pPr>
      <w:r>
        <w:rPr>
          <w:lang w:val="en-GB"/>
        </w:rPr>
        <w:br w:type="page"/>
      </w:r>
    </w:p>
    <w:p w14:paraId="7341DB3E" w14:textId="77777777" w:rsidR="00726E76" w:rsidRPr="00726E76" w:rsidRDefault="00726E76" w:rsidP="00726E76">
      <w:pPr>
        <w:pStyle w:val="Heading1"/>
        <w:rPr>
          <w:lang w:val="en-US"/>
        </w:rPr>
      </w:pPr>
      <w:bookmarkStart w:id="30" w:name="_Toc62825936"/>
      <w:r w:rsidRPr="00726E76">
        <w:rPr>
          <w:lang w:val="en-US"/>
        </w:rPr>
        <w:t>Financing strategies to support the achievement of water policy goals: main issues and elements of a logical framework</w:t>
      </w:r>
      <w:bookmarkEnd w:id="30"/>
    </w:p>
    <w:p w14:paraId="08364164" w14:textId="77777777" w:rsidR="00B53996" w:rsidRPr="00B53996" w:rsidRDefault="00B53996" w:rsidP="00B53996">
      <w:pPr>
        <w:pStyle w:val="Body"/>
        <w:rPr>
          <w:lang w:val="en-US"/>
        </w:rPr>
      </w:pPr>
      <w:r w:rsidRPr="00B53996">
        <w:rPr>
          <w:lang w:val="en-US"/>
        </w:rPr>
        <w:t xml:space="preserve">When EU leaders reached late in July 2020 a deal on a </w:t>
      </w:r>
      <w:r w:rsidRPr="00B53996">
        <w:rPr>
          <w:rFonts w:ascii="Calibri" w:eastAsia="Calibri" w:hAnsi="Calibri" w:cs="Calibri"/>
          <w:lang w:val="en-US"/>
        </w:rPr>
        <w:t>€</w:t>
      </w:r>
      <w:r w:rsidRPr="00B53996">
        <w:rPr>
          <w:lang w:val="en-US"/>
        </w:rPr>
        <w:t>750bn plan (titled Next Generation EU) to reconstruct the EU</w:t>
      </w:r>
      <w:r w:rsidRPr="00B53996">
        <w:rPr>
          <w:rFonts w:ascii="Calibri" w:eastAsia="Calibri" w:hAnsi="Calibri" w:cs="Calibri"/>
          <w:lang w:val="en-US"/>
        </w:rPr>
        <w:t>’</w:t>
      </w:r>
      <w:r w:rsidRPr="00B53996">
        <w:rPr>
          <w:lang w:val="en-US"/>
        </w:rPr>
        <w:t>s pandemic-stricken economies the opportunity arose that the recovery fund attached to the EU</w:t>
      </w:r>
      <w:r w:rsidRPr="00B53996">
        <w:rPr>
          <w:rFonts w:ascii="Calibri" w:eastAsia="Calibri" w:hAnsi="Calibri" w:cs="Calibri"/>
          <w:lang w:val="en-US"/>
        </w:rPr>
        <w:t>’</w:t>
      </w:r>
      <w:r w:rsidRPr="00B53996">
        <w:rPr>
          <w:lang w:val="en-US"/>
        </w:rPr>
        <w:t xml:space="preserve">s upcoming </w:t>
      </w:r>
      <w:r w:rsidRPr="00B53996">
        <w:rPr>
          <w:rFonts w:ascii="Calibri" w:eastAsia="Calibri" w:hAnsi="Calibri" w:cs="Calibri"/>
          <w:lang w:val="en-US"/>
        </w:rPr>
        <w:t>€</w:t>
      </w:r>
      <w:r w:rsidRPr="00B53996">
        <w:rPr>
          <w:lang w:val="en-US"/>
        </w:rPr>
        <w:t>1.074tn 7-year budget (Multiannual Financial Framework, MFF) would lead to financial constraints for water resource management in the Union relax too thanks to the so-called Recovery and Resilience Facility at the core of Next Generation EU. Member States are currently working on their own national recovery plans pledging to reform their economies in order to unlock their allocated share of this funding, to be distributed from 2021 to 2023.  It</w:t>
      </w:r>
      <w:r w:rsidRPr="00B53996">
        <w:rPr>
          <w:rFonts w:eastAsia="Calibri"/>
          <w:lang w:val="en-US"/>
        </w:rPr>
        <w:t xml:space="preserve"> i</w:t>
      </w:r>
      <w:r w:rsidRPr="00B53996">
        <w:rPr>
          <w:lang w:val="en-US"/>
        </w:rPr>
        <w:t xml:space="preserve">s undisputed that this is an unprecedented fiscal stimulus that will have sizeable impacts. At the same time, it is evident that liquidity or the availability of financial resources overall may be a necessary condition to support recovery or transition but it is by no means a sufficient one. In the absence of sound financing strategies in particular, financial resources might not deliver the results expected. </w:t>
      </w:r>
    </w:p>
    <w:p w14:paraId="2477465D" w14:textId="62ABDED2" w:rsidR="00B53996" w:rsidRDefault="00B53996" w:rsidP="00B53996">
      <w:pPr>
        <w:pStyle w:val="Body"/>
      </w:pPr>
      <w:r w:rsidRPr="00B53996">
        <w:rPr>
          <w:lang w:val="en-US"/>
        </w:rPr>
        <w:t>Strategy refers to how financial resources are to be deployed through a combination of measures to ensure an efficient utilisation of funds and the timely achievement of goals. Financing is thus a critical link between strategic plans (such as River Basin Management Plans under the WFD or Flood Risk Management Plans under the FD) and their actual implementation. Strategic financial planning addresses roles and responsibilities of government agencies (including multi-level governance across levels of government and the coordination of financing decisions and mechanisms), policy priorities and related legislative and regulatory reforms in order to ensure that a programme of measures that can realistically be financed is being put forward (OECD, 2011</w:t>
      </w:r>
      <w:r w:rsidRPr="00736A50">
        <w:rPr>
          <w:vertAlign w:val="superscript"/>
        </w:rPr>
        <w:footnoteReference w:id="24"/>
      </w:r>
      <w:r w:rsidRPr="00B53996">
        <w:rPr>
          <w:lang w:val="en-US"/>
        </w:rPr>
        <w:t>). When translated to water resources management, strategic financial planning, conceived as an iterative process, can help anticipate financial needs in the medium and longer term, both in terms of upfront capital investment costs and operational and maintenance costs. Often, water policy tends to be driven by crisis management (droughts, floods, pollution incidents</w:t>
      </w:r>
      <w:r w:rsidRPr="00B53996">
        <w:rPr>
          <w:rFonts w:ascii="Calibri" w:eastAsia="Calibri" w:hAnsi="Calibri" w:cs="Calibri"/>
          <w:lang w:val="en-US"/>
        </w:rPr>
        <w:t>…</w:t>
      </w:r>
      <w:r w:rsidRPr="00B53996">
        <w:rPr>
          <w:lang w:val="en-US"/>
        </w:rPr>
        <w:t xml:space="preserve">) as much as by planning itself, and takes the form of a reactive (hence </w:t>
      </w:r>
      <w:r w:rsidRPr="00B53996">
        <w:rPr>
          <w:i/>
          <w:lang w:val="en-US"/>
        </w:rPr>
        <w:t>ex post</w:t>
      </w:r>
      <w:r w:rsidRPr="00B53996">
        <w:rPr>
          <w:lang w:val="en-US"/>
        </w:rPr>
        <w:t xml:space="preserve">) attempt to remediate impacts. Thus, strategic financing is a binding requirement to move from that </w:t>
      </w:r>
      <w:r w:rsidRPr="00B53996">
        <w:rPr>
          <w:i/>
          <w:lang w:val="en-US"/>
        </w:rPr>
        <w:t>ad-hoc</w:t>
      </w:r>
      <w:r w:rsidRPr="00B53996">
        <w:rPr>
          <w:lang w:val="en-US"/>
        </w:rPr>
        <w:t xml:space="preserve"> approach towards an </w:t>
      </w:r>
      <w:r w:rsidRPr="00B53996">
        <w:rPr>
          <w:i/>
          <w:lang w:val="en-US"/>
        </w:rPr>
        <w:t>ex-ante</w:t>
      </w:r>
      <w:r w:rsidRPr="00B53996">
        <w:rPr>
          <w:lang w:val="en-US"/>
        </w:rPr>
        <w:t xml:space="preserve">, pre-emptive and proactive one, largely aimed at managing risks and opportunities while responding to unintended and unplanned outcomes of extreme events. </w:t>
      </w:r>
      <w:r w:rsidRPr="00736A50">
        <w:t>Strategic financing matches policy ambitions with financial resources (OECD, 2012</w:t>
      </w:r>
      <w:r w:rsidRPr="00736A50">
        <w:rPr>
          <w:vertAlign w:val="superscript"/>
        </w:rPr>
        <w:footnoteReference w:id="25"/>
      </w:r>
      <w:r w:rsidRPr="00736A50">
        <w:t>).</w:t>
      </w:r>
    </w:p>
    <w:p w14:paraId="76900D8E" w14:textId="0F64F6AD" w:rsidR="00B53996" w:rsidRDefault="00B53996" w:rsidP="00B53996">
      <w:pPr>
        <w:pStyle w:val="Body"/>
      </w:pPr>
    </w:p>
    <w:p w14:paraId="46FCD308" w14:textId="77777777" w:rsidR="00E5618A" w:rsidRPr="00E5618A" w:rsidRDefault="00E5618A" w:rsidP="00E5618A">
      <w:pPr>
        <w:pStyle w:val="Heading2"/>
        <w:rPr>
          <w:lang w:val="en-US"/>
        </w:rPr>
      </w:pPr>
      <w:bookmarkStart w:id="31" w:name="_Toc59180767"/>
      <w:bookmarkStart w:id="32" w:name="_Toc62825937"/>
      <w:r w:rsidRPr="00E5618A">
        <w:rPr>
          <w:lang w:val="en-US"/>
        </w:rPr>
        <w:t xml:space="preserve">Why is a (more strategic) financial approach to water resources management </w:t>
      </w:r>
      <w:r w:rsidRPr="00E5618A">
        <w:rPr>
          <w:rFonts w:ascii="Calibri" w:hAnsi="Calibri" w:cs="Calibri"/>
          <w:lang w:val="en-US"/>
        </w:rPr>
        <w:t xml:space="preserve">(WRM) </w:t>
      </w:r>
      <w:r w:rsidRPr="00E5618A">
        <w:rPr>
          <w:lang w:val="en-US"/>
        </w:rPr>
        <w:t>needed?</w:t>
      </w:r>
      <w:bookmarkEnd w:id="31"/>
      <w:bookmarkEnd w:id="32"/>
      <w:r w:rsidRPr="00E5618A">
        <w:rPr>
          <w:lang w:val="en-US"/>
        </w:rPr>
        <w:t xml:space="preserve"> </w:t>
      </w:r>
    </w:p>
    <w:p w14:paraId="7705F604" w14:textId="77777777" w:rsidR="00D026E6" w:rsidRPr="00D026E6" w:rsidRDefault="00D026E6" w:rsidP="00D026E6">
      <w:pPr>
        <w:pStyle w:val="Body"/>
        <w:rPr>
          <w:lang w:val="en-US"/>
        </w:rPr>
      </w:pPr>
      <w:r w:rsidRPr="00D026E6">
        <w:rPr>
          <w:lang w:val="en-US"/>
        </w:rPr>
        <w:t xml:space="preserve">The need for governments to </w:t>
      </w:r>
      <w:r w:rsidRPr="00D026E6">
        <w:rPr>
          <w:b/>
          <w:bCs/>
          <w:lang w:val="en-US"/>
        </w:rPr>
        <w:t>strengthen the financial dimension of WRM</w:t>
      </w:r>
      <w:r w:rsidRPr="00D026E6">
        <w:rPr>
          <w:lang w:val="en-US"/>
        </w:rPr>
        <w:t xml:space="preserve"> and water services delivery is pervasive worldwide and is not limited to EU MS. Financial constraints are sometimes the result of the lack of money, especially in countries in the EU under severe fiscal consolidation efforts or facing drawbacks to leverage private funding. They are also the outcome, though, of the lack of effective and efficient financing mechanisms able to properly address equity concerns. Financing should not be an add-on but rather a critical element for sounder WRM, clearly connected with water policy goals and wider social and economic development objectives. Strategic financial planning can contribute to matching policy goals to available financial resources, as well as shedding light on </w:t>
      </w:r>
      <w:r w:rsidRPr="00D026E6">
        <w:rPr>
          <w:rFonts w:eastAsia="Calibri"/>
          <w:lang w:val="en-US"/>
        </w:rPr>
        <w:t>how much money is needed and how much is actually available (or could be made available).</w:t>
      </w:r>
    </w:p>
    <w:p w14:paraId="3ABBF7A8" w14:textId="77777777" w:rsidR="00D026E6" w:rsidRPr="00D026E6" w:rsidRDefault="00D026E6" w:rsidP="00D026E6">
      <w:pPr>
        <w:pStyle w:val="Body"/>
        <w:rPr>
          <w:lang w:val="en-US"/>
        </w:rPr>
      </w:pPr>
      <w:r w:rsidRPr="00D026E6">
        <w:rPr>
          <w:lang w:val="en-US"/>
        </w:rPr>
        <w:t xml:space="preserve">Strategic financing should be designed in such a way that it provides a systematic way of thinking about a number of issues: </w:t>
      </w:r>
    </w:p>
    <w:p w14:paraId="5818B9C7" w14:textId="77777777" w:rsidR="00D026E6" w:rsidRPr="003658D8" w:rsidRDefault="00D026E6" w:rsidP="00D026E6">
      <w:pPr>
        <w:pStyle w:val="WDBullets"/>
        <w:jc w:val="both"/>
        <w:rPr>
          <w:rFonts w:ascii="Verdana" w:hAnsi="Verdana"/>
        </w:rPr>
      </w:pPr>
      <w:r w:rsidRPr="003658D8">
        <w:rPr>
          <w:rFonts w:ascii="Verdana" w:hAnsi="Verdana"/>
          <w:b/>
          <w:bCs/>
        </w:rPr>
        <w:t>Necessary investments</w:t>
      </w:r>
      <w:r w:rsidRPr="003658D8">
        <w:rPr>
          <w:rFonts w:ascii="Verdana" w:hAnsi="Verdana"/>
        </w:rPr>
        <w:t xml:space="preserve"> to meet e.g. Good Ecological Status (GES) and Good Ecological Potential (GEP) of water bodies (preventing or alleviating pollution, tackling hydro-morphological alterations, conserving biological diversity and aquatic ecosystem service delivery), manage floods and flood risks, but also droughts and drought risk while anticipating and adapting to climate change ;</w:t>
      </w:r>
    </w:p>
    <w:p w14:paraId="479BE7A7" w14:textId="77777777" w:rsidR="00D026E6" w:rsidRPr="003658D8" w:rsidRDefault="00D026E6" w:rsidP="00D026E6">
      <w:pPr>
        <w:pStyle w:val="WDBullets"/>
        <w:jc w:val="both"/>
        <w:rPr>
          <w:rFonts w:ascii="Verdana" w:hAnsi="Verdana"/>
        </w:rPr>
      </w:pPr>
      <w:r w:rsidRPr="003658D8">
        <w:rPr>
          <w:rFonts w:ascii="Verdana" w:hAnsi="Verdana"/>
        </w:rPr>
        <w:t xml:space="preserve">The potential </w:t>
      </w:r>
      <w:r w:rsidRPr="003658D8">
        <w:rPr>
          <w:rFonts w:ascii="Verdana" w:hAnsi="Verdana"/>
          <w:b/>
          <w:bCs/>
        </w:rPr>
        <w:t>compensation for welfare losses</w:t>
      </w:r>
      <w:r w:rsidRPr="003658D8">
        <w:rPr>
          <w:rFonts w:ascii="Verdana" w:hAnsi="Verdana"/>
        </w:rPr>
        <w:t xml:space="preserve"> that might occur as a result of implementation gaps in the WFD and FD (such as downstream users being affected by pollution or over abstraction); </w:t>
      </w:r>
    </w:p>
    <w:p w14:paraId="4312BBC6" w14:textId="77777777" w:rsidR="00D026E6" w:rsidRPr="003658D8" w:rsidRDefault="00D026E6" w:rsidP="00D026E6">
      <w:pPr>
        <w:pStyle w:val="WDBullets"/>
        <w:jc w:val="both"/>
        <w:rPr>
          <w:rFonts w:ascii="Verdana" w:hAnsi="Verdana"/>
        </w:rPr>
      </w:pPr>
      <w:r w:rsidRPr="003658D8">
        <w:rPr>
          <w:rFonts w:ascii="Verdana" w:hAnsi="Verdana"/>
        </w:rPr>
        <w:t xml:space="preserve">Delivering adequate </w:t>
      </w:r>
      <w:r w:rsidRPr="003658D8">
        <w:rPr>
          <w:rFonts w:ascii="Verdana" w:hAnsi="Verdana"/>
          <w:b/>
          <w:bCs/>
        </w:rPr>
        <w:t>burden (and risk) sharing</w:t>
      </w:r>
      <w:r w:rsidRPr="003658D8">
        <w:rPr>
          <w:rFonts w:ascii="Verdana" w:hAnsi="Verdana"/>
        </w:rPr>
        <w:t xml:space="preserve"> across public and private actors; </w:t>
      </w:r>
    </w:p>
    <w:p w14:paraId="40BA670F" w14:textId="77777777" w:rsidR="00D026E6" w:rsidRPr="003658D8" w:rsidRDefault="00D026E6" w:rsidP="00D026E6">
      <w:pPr>
        <w:pStyle w:val="WDBullets"/>
        <w:jc w:val="both"/>
        <w:rPr>
          <w:rFonts w:ascii="Verdana" w:hAnsi="Verdana"/>
        </w:rPr>
      </w:pPr>
      <w:r w:rsidRPr="003658D8">
        <w:rPr>
          <w:rFonts w:ascii="Verdana" w:hAnsi="Verdana"/>
        </w:rPr>
        <w:t xml:space="preserve">Factoring in </w:t>
      </w:r>
      <w:r w:rsidRPr="003658D8">
        <w:rPr>
          <w:rFonts w:ascii="Verdana" w:hAnsi="Verdana"/>
          <w:b/>
          <w:bCs/>
        </w:rPr>
        <w:t>affordability concerns</w:t>
      </w:r>
      <w:r w:rsidRPr="003658D8">
        <w:rPr>
          <w:rFonts w:ascii="Verdana" w:hAnsi="Verdana"/>
        </w:rPr>
        <w:t xml:space="preserve"> (for individual water users and overall in light of the total costs for society of the programmes of measures developed for achieving the objectives of the WFD and FD) and sectoral (or nationwide economic) competitiveness;</w:t>
      </w:r>
    </w:p>
    <w:p w14:paraId="4A1072E8" w14:textId="77777777" w:rsidR="00D026E6" w:rsidRPr="003658D8" w:rsidRDefault="00D026E6" w:rsidP="00D026E6">
      <w:pPr>
        <w:pStyle w:val="WDBullets"/>
        <w:jc w:val="both"/>
        <w:rPr>
          <w:rFonts w:ascii="Verdana" w:hAnsi="Verdana"/>
        </w:rPr>
      </w:pPr>
      <w:r w:rsidRPr="003658D8">
        <w:rPr>
          <w:rFonts w:ascii="Verdana" w:hAnsi="Verdana"/>
        </w:rPr>
        <w:t xml:space="preserve">Mobilising financial resources from </w:t>
      </w:r>
      <w:r w:rsidRPr="003658D8">
        <w:rPr>
          <w:rFonts w:ascii="Verdana" w:hAnsi="Verdana"/>
          <w:b/>
          <w:bCs/>
        </w:rPr>
        <w:t>sectoral (water-related and non-water-related) policies</w:t>
      </w:r>
      <w:r w:rsidRPr="003658D8">
        <w:rPr>
          <w:rFonts w:ascii="Verdana" w:hAnsi="Verdana"/>
        </w:rPr>
        <w:t xml:space="preserve"> and not just from conventional water financing efforts, both to harness additional resources but also to deliver effective opportunities to coordinate sectoral policies, vertically and horizontally. </w:t>
      </w:r>
      <w:r w:rsidRPr="003658D8">
        <w:rPr>
          <w:rFonts w:ascii="Verdana" w:eastAsia="Times New Roman" w:hAnsi="Verdana" w:cs="Calibri"/>
          <w:color w:val="auto"/>
          <w:sz w:val="22"/>
          <w:lang w:eastAsia="en-GB"/>
        </w:rPr>
        <w:t xml:space="preserve"> </w:t>
      </w:r>
      <w:r w:rsidRPr="003658D8">
        <w:rPr>
          <w:rFonts w:ascii="Verdana" w:hAnsi="Verdana"/>
        </w:rPr>
        <w:t>This effort is meaningful not only at a MS but also a EU level, as part of a more determined effort to strengthen the link in practice between agricultural policy (CAP) and the WFD, or between WFD and REACH to improve the protection of human health and the environment from the risks stemming from chemicals, or between biodiversity conservation and natural flood management, etc.</w:t>
      </w:r>
    </w:p>
    <w:p w14:paraId="2F580884" w14:textId="310817A3" w:rsidR="00B53996" w:rsidRDefault="00B53996" w:rsidP="00B53996">
      <w:pPr>
        <w:pStyle w:val="Body"/>
        <w:rPr>
          <w:lang w:val="en-GB"/>
        </w:rPr>
      </w:pPr>
    </w:p>
    <w:p w14:paraId="1E7FA414" w14:textId="77777777" w:rsidR="002B0865" w:rsidRPr="00D026E6" w:rsidRDefault="002B0865" w:rsidP="00B53996">
      <w:pPr>
        <w:pStyle w:val="Body"/>
        <w:rPr>
          <w:lang w:val="en-GB"/>
        </w:rPr>
      </w:pPr>
    </w:p>
    <w:p w14:paraId="714C85BD" w14:textId="77777777" w:rsidR="002B0865" w:rsidRPr="002B0865" w:rsidRDefault="002B0865" w:rsidP="002B0865">
      <w:pPr>
        <w:pStyle w:val="Heading2"/>
        <w:rPr>
          <w:lang w:val="en-US"/>
        </w:rPr>
      </w:pPr>
      <w:bookmarkStart w:id="33" w:name="_Toc59180768"/>
      <w:bookmarkStart w:id="34" w:name="_Toc62825938"/>
      <w:r w:rsidRPr="002B0865">
        <w:rPr>
          <w:lang w:val="en-US"/>
        </w:rPr>
        <w:t>Why is it critical to connect financing to WRM in a more determined way?</w:t>
      </w:r>
      <w:bookmarkEnd w:id="33"/>
      <w:bookmarkEnd w:id="34"/>
      <w:r w:rsidRPr="002B0865">
        <w:rPr>
          <w:lang w:val="en-US"/>
        </w:rPr>
        <w:t xml:space="preserve"> </w:t>
      </w:r>
    </w:p>
    <w:p w14:paraId="5AC181ED" w14:textId="77777777" w:rsidR="004401F1" w:rsidRPr="004401F1" w:rsidRDefault="004401F1" w:rsidP="004401F1">
      <w:pPr>
        <w:pStyle w:val="Body"/>
        <w:rPr>
          <w:lang w:val="en-US"/>
        </w:rPr>
      </w:pPr>
      <w:r w:rsidRPr="004401F1">
        <w:rPr>
          <w:lang w:val="en-US"/>
        </w:rPr>
        <w:t xml:space="preserve">Making the economic case for investment in long-term water policy objectives including water security (i.e. via increased water use efficiency, diversification of water supply sources, aquatic ecosystem restoration, etc.) is critical particularly in the context of water scarcity and climate change. Climate change adaptation is today an enveloping element, if still weak on the basis of evidence,  of all water policy initiatives. Ensuring water transition (e.g. equivalent to that of energy transition that will deliver decarbonisation) will require significant additional financial resources to be harnessed. </w:t>
      </w:r>
    </w:p>
    <w:p w14:paraId="4CA249EC" w14:textId="77777777" w:rsidR="004401F1" w:rsidRPr="004401F1" w:rsidRDefault="004401F1" w:rsidP="004401F1">
      <w:pPr>
        <w:pStyle w:val="Body"/>
        <w:rPr>
          <w:lang w:val="en-US"/>
        </w:rPr>
      </w:pPr>
      <w:r w:rsidRPr="004401F1">
        <w:rPr>
          <w:lang w:val="en-US"/>
        </w:rPr>
        <w:t xml:space="preserve">Government budgets seem more likely to pay for traditional public infrastructure (i.e. water supply or sewage collection networks or wastewater treatment plants that generate income flows), with other investments being side-lined including by private investors, given the preference of commercial financiers for a sub-set of water projects (See Fig. 4.1). Availability of commercial finance largely depends on asset class, investment size and risk profile. </w:t>
      </w:r>
    </w:p>
    <w:p w14:paraId="08FAC0FF" w14:textId="77777777" w:rsidR="004401F1" w:rsidRPr="004401F1" w:rsidRDefault="004401F1" w:rsidP="004401F1">
      <w:pPr>
        <w:pStyle w:val="Body"/>
        <w:rPr>
          <w:lang w:val="en-US"/>
        </w:rPr>
      </w:pPr>
      <w:r w:rsidRPr="004401F1">
        <w:rPr>
          <w:lang w:val="en-US"/>
        </w:rPr>
        <w:t>One would expect investment finance to grow proportionately with the sector</w:t>
      </w:r>
      <w:r w:rsidRPr="004401F1">
        <w:rPr>
          <w:rFonts w:eastAsia="Calibri"/>
          <w:lang w:val="en-US"/>
        </w:rPr>
        <w:t>’</w:t>
      </w:r>
      <w:r w:rsidRPr="004401F1">
        <w:rPr>
          <w:lang w:val="en-US"/>
        </w:rPr>
        <w:t xml:space="preserve">s prominence and needs. However, this may not always be the case. Lately, international finance for climate-related purposes has grown significantly, but over 80% of disbursements are geared to mitigation programmes in the energy and transport sectors (UNEP, 2016), with limited financial resources allocated to adaptation e.g. including in supporting resilience in water management. </w:t>
      </w:r>
    </w:p>
    <w:p w14:paraId="16CABD72" w14:textId="77777777" w:rsidR="004401F1" w:rsidRPr="004401F1" w:rsidRDefault="004401F1" w:rsidP="004401F1">
      <w:pPr>
        <w:pStyle w:val="Body"/>
        <w:rPr>
          <w:lang w:val="en-US"/>
        </w:rPr>
      </w:pPr>
      <w:r w:rsidRPr="004401F1">
        <w:rPr>
          <w:lang w:val="en-US"/>
        </w:rPr>
        <w:t xml:space="preserve">Even when capital and operational expenditures are ensured, significant weaknesses emerge as per capital (asset) replacement, a critical issue in relation to infrastructure development at different levels (urban water management, major irrigation infrastructures, etc.). (Physical) asset management tends to be a common challenge in many Member States, if not all, to a different extent. </w:t>
      </w:r>
    </w:p>
    <w:p w14:paraId="7AD28AD6" w14:textId="4728F464" w:rsidR="004401F1" w:rsidRPr="00BB4EEB" w:rsidRDefault="00BB4EEB" w:rsidP="00BB4EEB">
      <w:pPr>
        <w:pStyle w:val="Caption"/>
        <w:rPr>
          <w:rFonts w:ascii="Verdana" w:hAnsi="Verdana"/>
          <w:color w:val="548DD4" w:themeColor="text2" w:themeTint="99"/>
          <w:sz w:val="18"/>
          <w:szCs w:val="18"/>
          <w:lang w:val="en-US"/>
        </w:rPr>
      </w:pPr>
      <w:bookmarkStart w:id="35" w:name="_Toc59181811"/>
      <w:r w:rsidRPr="00BB4EEB">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4</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1</w:t>
      </w:r>
      <w:r w:rsidR="00E14072">
        <w:rPr>
          <w:rFonts w:ascii="Verdana" w:hAnsi="Verdana"/>
          <w:color w:val="548DD4" w:themeColor="text2" w:themeTint="99"/>
          <w:sz w:val="18"/>
          <w:szCs w:val="18"/>
          <w:lang w:val="en-US"/>
        </w:rPr>
        <w:fldChar w:fldCharType="end"/>
      </w:r>
      <w:r w:rsidRPr="00BB4EEB">
        <w:rPr>
          <w:rFonts w:ascii="Verdana" w:hAnsi="Verdana"/>
          <w:color w:val="548DD4" w:themeColor="text2" w:themeTint="99"/>
          <w:sz w:val="18"/>
          <w:szCs w:val="18"/>
          <w:lang w:val="en-US"/>
        </w:rPr>
        <w:t xml:space="preserve"> </w:t>
      </w:r>
      <w:r w:rsidR="004401F1" w:rsidRPr="00BB4EEB">
        <w:rPr>
          <w:rFonts w:ascii="Verdana" w:hAnsi="Verdana"/>
          <w:color w:val="548DD4" w:themeColor="text2" w:themeTint="99"/>
          <w:sz w:val="18"/>
          <w:szCs w:val="18"/>
          <w:lang w:val="en-US"/>
        </w:rPr>
        <w:t>Investment appetite for commercial finance in the water sector</w:t>
      </w:r>
      <w:bookmarkEnd w:id="35"/>
    </w:p>
    <w:p w14:paraId="7A253E6E" w14:textId="77777777" w:rsidR="004401F1" w:rsidRPr="00736A50" w:rsidRDefault="004401F1" w:rsidP="004401F1">
      <w:pPr>
        <w:pStyle w:val="Body"/>
      </w:pPr>
      <w:r w:rsidRPr="00B22401">
        <w:fldChar w:fldCharType="begin"/>
      </w:r>
      <w:r w:rsidRPr="00736A50">
        <w:instrText xml:space="preserve"> INCLUDEPICTURE "C:\\var\\folders\\90\\ppb8qbfn6qlb0mx8s9bfd0b40000gn\\T\\com.microsoft.Word\\WebArchiveCopyPasteTempFiles\\page4image184659120" \* MERGEFORMAT </w:instrText>
      </w:r>
      <w:r w:rsidRPr="00B22401">
        <w:fldChar w:fldCharType="separate"/>
      </w:r>
      <w:r w:rsidRPr="0040676E">
        <w:rPr>
          <w:noProof/>
          <w:lang w:val="en-US"/>
        </w:rPr>
        <w:drawing>
          <wp:inline distT="0" distB="0" distL="0" distR="0" wp14:anchorId="2DF7757B" wp14:editId="0962AE1A">
            <wp:extent cx="6296025" cy="3357245"/>
            <wp:effectExtent l="0" t="0" r="3175" b="0"/>
            <wp:docPr id="21" name="Imagen 44" descr="page4image18465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184659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6025" cy="3357245"/>
                    </a:xfrm>
                    <a:prstGeom prst="rect">
                      <a:avLst/>
                    </a:prstGeom>
                    <a:noFill/>
                    <a:ln>
                      <a:noFill/>
                    </a:ln>
                  </pic:spPr>
                </pic:pic>
              </a:graphicData>
            </a:graphic>
          </wp:inline>
        </w:drawing>
      </w:r>
      <w:r w:rsidRPr="00B22401">
        <w:fldChar w:fldCharType="end"/>
      </w:r>
    </w:p>
    <w:p w14:paraId="01D90A8F" w14:textId="77777777" w:rsidR="004401F1" w:rsidRPr="004401F1" w:rsidRDefault="004401F1" w:rsidP="004401F1">
      <w:pPr>
        <w:spacing w:after="0"/>
        <w:rPr>
          <w:rFonts w:ascii="Verdana" w:eastAsiaTheme="minorEastAsia" w:hAnsi="Verdana" w:cs="Segoe UI"/>
          <w:color w:val="000000" w:themeColor="text1"/>
          <w:kern w:val="24"/>
          <w:sz w:val="18"/>
          <w:szCs w:val="18"/>
          <w:lang w:val="en-US"/>
        </w:rPr>
      </w:pPr>
      <w:r w:rsidRPr="004401F1">
        <w:rPr>
          <w:rFonts w:ascii="Verdana" w:eastAsiaTheme="minorEastAsia" w:hAnsi="Verdana" w:cs="Segoe UI"/>
          <w:color w:val="000000" w:themeColor="text1"/>
          <w:kern w:val="24"/>
          <w:sz w:val="18"/>
          <w:szCs w:val="18"/>
          <w:lang w:val="en-US"/>
        </w:rPr>
        <w:t>Source: Alaerts (2019). Financing for Water</w:t>
      </w:r>
      <w:r w:rsidRPr="004401F1">
        <w:rPr>
          <w:rFonts w:ascii="Verdana" w:eastAsia="Calibri" w:hAnsi="Verdana"/>
          <w:color w:val="000000" w:themeColor="text1"/>
          <w:kern w:val="24"/>
          <w:sz w:val="18"/>
          <w:szCs w:val="18"/>
          <w:lang w:val="en-US"/>
        </w:rPr>
        <w:t>—</w:t>
      </w:r>
      <w:r w:rsidRPr="004401F1">
        <w:rPr>
          <w:rFonts w:ascii="Verdana" w:eastAsiaTheme="minorEastAsia" w:hAnsi="Verdana" w:cs="Segoe UI"/>
          <w:color w:val="000000" w:themeColor="text1"/>
          <w:kern w:val="24"/>
          <w:sz w:val="18"/>
          <w:szCs w:val="18"/>
          <w:lang w:val="en-US"/>
        </w:rPr>
        <w:t xml:space="preserve">Water for Financing: A Global Review of Policy and Practice. </w:t>
      </w:r>
    </w:p>
    <w:p w14:paraId="7E76C884" w14:textId="77777777" w:rsidR="004401F1" w:rsidRPr="004401F1" w:rsidRDefault="004401F1" w:rsidP="004401F1">
      <w:pPr>
        <w:spacing w:after="0"/>
        <w:rPr>
          <w:rFonts w:ascii="Segoe UI" w:eastAsiaTheme="minorEastAsia" w:hAnsi="Segoe UI" w:cs="Segoe UI"/>
          <w:color w:val="000000" w:themeColor="text1"/>
          <w:kern w:val="24"/>
          <w:sz w:val="18"/>
          <w:szCs w:val="18"/>
          <w:lang w:val="en-US"/>
        </w:rPr>
      </w:pPr>
    </w:p>
    <w:p w14:paraId="58669A7F" w14:textId="61F45144" w:rsidR="00CB6D43" w:rsidRDefault="00CB6D43" w:rsidP="003B304A">
      <w:pPr>
        <w:pStyle w:val="Body"/>
        <w:rPr>
          <w:lang w:val="en-US"/>
        </w:rPr>
      </w:pPr>
    </w:p>
    <w:p w14:paraId="74DE889F" w14:textId="77777777" w:rsidR="002D1EF3" w:rsidRPr="00726E76" w:rsidRDefault="002D1EF3" w:rsidP="003B304A">
      <w:pPr>
        <w:pStyle w:val="Body"/>
        <w:rPr>
          <w:lang w:val="en-US"/>
        </w:rPr>
      </w:pPr>
    </w:p>
    <w:p w14:paraId="349DA40A" w14:textId="77777777" w:rsidR="002D1EF3" w:rsidRPr="002D1EF3" w:rsidRDefault="002D1EF3" w:rsidP="00A13462">
      <w:pPr>
        <w:pStyle w:val="Heading2"/>
        <w:numPr>
          <w:ilvl w:val="1"/>
          <w:numId w:val="30"/>
        </w:numPr>
        <w:rPr>
          <w:lang w:val="en-US"/>
        </w:rPr>
      </w:pPr>
      <w:bookmarkStart w:id="36" w:name="_Toc59180769"/>
      <w:bookmarkStart w:id="37" w:name="_Toc62825939"/>
      <w:r w:rsidRPr="002D1EF3">
        <w:rPr>
          <w:lang w:val="en-US"/>
        </w:rPr>
        <w:t>Why money is not the only constraint: challenges in fund absorption</w:t>
      </w:r>
      <w:bookmarkEnd w:id="36"/>
      <w:bookmarkEnd w:id="37"/>
      <w:r w:rsidRPr="002D1EF3">
        <w:rPr>
          <w:lang w:val="en-US"/>
        </w:rPr>
        <w:t xml:space="preserve"> </w:t>
      </w:r>
    </w:p>
    <w:p w14:paraId="221878B8" w14:textId="2C271FB0" w:rsidR="00502419" w:rsidRDefault="00502419" w:rsidP="00502419">
      <w:pPr>
        <w:pStyle w:val="Body"/>
        <w:rPr>
          <w:lang w:val="en-US"/>
        </w:rPr>
      </w:pPr>
      <w:r w:rsidRPr="00502419">
        <w:rPr>
          <w:lang w:val="en-US"/>
        </w:rPr>
        <w:t xml:space="preserve">The public sector exhibits a limited absorption capacity (i.e. administrative capacity and human resources) to effectively translate allocated budgets into physical infrastructure and other types of meaningful investments. Absorption challenges in EU MS have been shown by a number of reports (see for instance EP, 2011), pointing at design problems; lack of capacity to provide match-funding from national budget; incompatibility, inconsistency and instability of national regulations (especially on sectoral policy); land acquisition and environmental safeguards; weaknesses and lack of readiness of the implementing organizations and related institutions. Absorption of grants over all MS exceeded 90% rates after a delay of up to 5 years. In some cases, it was less than 50% </w:t>
      </w:r>
      <w:r w:rsidRPr="00502419">
        <w:rPr>
          <w:rFonts w:ascii="Calibri" w:hAnsi="Calibri" w:cs="Calibri"/>
          <w:lang w:val="en-US"/>
        </w:rPr>
        <w:t>(</w:t>
      </w:r>
      <w:r w:rsidRPr="00502419">
        <w:rPr>
          <w:lang w:val="en-US"/>
        </w:rPr>
        <w:t>European Court of Auditors, 2018</w:t>
      </w:r>
      <w:r w:rsidRPr="00502419">
        <w:rPr>
          <w:rFonts w:ascii="Calibri" w:hAnsi="Calibri" w:cs="Calibri"/>
          <w:lang w:val="en-US"/>
        </w:rPr>
        <w:t xml:space="preserve">). </w:t>
      </w:r>
      <w:r w:rsidRPr="00502419">
        <w:rPr>
          <w:lang w:val="en-US"/>
        </w:rPr>
        <w:t xml:space="preserve">This poses a number of doubts on the effectiveness and purposefulness of some of the investments, especially in cases when there is an urgency to comply (with set policy objectives) or to use available financial resources. The pressure to use funds often leads to </w:t>
      </w:r>
      <w:r w:rsidRPr="00502419">
        <w:rPr>
          <w:i/>
          <w:lang w:val="en-US"/>
        </w:rPr>
        <w:t>ad-hoc</w:t>
      </w:r>
      <w:r w:rsidRPr="00502419">
        <w:rPr>
          <w:lang w:val="en-US"/>
        </w:rPr>
        <w:t xml:space="preserve"> projects that have not been assessed against a sound set of prioritisation criteria.</w:t>
      </w:r>
    </w:p>
    <w:p w14:paraId="73F773A3" w14:textId="771C16BE" w:rsidR="00502419" w:rsidRDefault="00502419" w:rsidP="00502419">
      <w:pPr>
        <w:pStyle w:val="Body"/>
        <w:rPr>
          <w:lang w:val="en-US"/>
        </w:rPr>
      </w:pPr>
    </w:p>
    <w:p w14:paraId="0BA171D6" w14:textId="4B98C721" w:rsidR="00502419" w:rsidRDefault="00502419" w:rsidP="00502419">
      <w:pPr>
        <w:pStyle w:val="Body"/>
        <w:rPr>
          <w:lang w:val="en-US"/>
        </w:rPr>
      </w:pPr>
    </w:p>
    <w:p w14:paraId="449C06DA" w14:textId="77777777" w:rsidR="00BB4EEB" w:rsidRPr="00BB4EEB" w:rsidRDefault="00BB4EEB" w:rsidP="00A13462">
      <w:pPr>
        <w:pStyle w:val="Heading2"/>
        <w:numPr>
          <w:ilvl w:val="1"/>
          <w:numId w:val="31"/>
        </w:numPr>
        <w:rPr>
          <w:lang w:val="en-US"/>
        </w:rPr>
      </w:pPr>
      <w:bookmarkStart w:id="38" w:name="_Toc59180770"/>
      <w:bookmarkStart w:id="39" w:name="_Toc62825940"/>
      <w:r w:rsidRPr="00BB4EEB">
        <w:rPr>
          <w:lang w:val="en-US"/>
        </w:rPr>
        <w:t>The different dimensions of strategic water financing</w:t>
      </w:r>
      <w:bookmarkEnd w:id="38"/>
      <w:bookmarkEnd w:id="39"/>
      <w:r w:rsidRPr="00BB4EEB">
        <w:rPr>
          <w:lang w:val="en-US"/>
        </w:rPr>
        <w:t xml:space="preserve"> </w:t>
      </w:r>
    </w:p>
    <w:p w14:paraId="1FF434D6" w14:textId="62F83D3C" w:rsidR="003658D8" w:rsidRPr="003658D8" w:rsidRDefault="003658D8" w:rsidP="003658D8">
      <w:pPr>
        <w:pStyle w:val="Body"/>
        <w:rPr>
          <w:lang w:val="en-US"/>
        </w:rPr>
      </w:pPr>
      <w:r w:rsidRPr="003658D8">
        <w:rPr>
          <w:lang w:val="en-US"/>
        </w:rPr>
        <w:t xml:space="preserve">A strategic financing framework will need to consider a number of dimensions that are summarised in Figure 4.2 below. These will be investigated in the following chapters of the report that will assess the availability and quality of information available for the different blocks. </w:t>
      </w:r>
    </w:p>
    <w:p w14:paraId="4C41C051" w14:textId="2129A1A0" w:rsidR="003658D8" w:rsidRPr="007630EA" w:rsidRDefault="00EB7DEF" w:rsidP="007630EA">
      <w:pPr>
        <w:pStyle w:val="Caption"/>
        <w:rPr>
          <w:rFonts w:ascii="Verdana" w:hAnsi="Verdana"/>
          <w:color w:val="548DD4" w:themeColor="text2" w:themeTint="99"/>
          <w:sz w:val="18"/>
          <w:szCs w:val="18"/>
          <w:lang w:val="en-US"/>
        </w:rPr>
      </w:pPr>
      <w:bookmarkStart w:id="40" w:name="_Toc59181812"/>
      <w:r w:rsidRPr="00EB7DEF">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4</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2</w:t>
      </w:r>
      <w:r w:rsidR="00E14072">
        <w:rPr>
          <w:rFonts w:ascii="Verdana" w:hAnsi="Verdana"/>
          <w:color w:val="548DD4" w:themeColor="text2" w:themeTint="99"/>
          <w:sz w:val="18"/>
          <w:szCs w:val="18"/>
          <w:lang w:val="en-US"/>
        </w:rPr>
        <w:fldChar w:fldCharType="end"/>
      </w:r>
      <w:r w:rsidRPr="00EB7DEF">
        <w:rPr>
          <w:rFonts w:ascii="Verdana" w:hAnsi="Verdana"/>
          <w:color w:val="548DD4" w:themeColor="text2" w:themeTint="99"/>
          <w:sz w:val="18"/>
          <w:szCs w:val="18"/>
          <w:lang w:val="en-US"/>
        </w:rPr>
        <w:t xml:space="preserve"> </w:t>
      </w:r>
      <w:r w:rsidR="003658D8" w:rsidRPr="00EB7DEF">
        <w:rPr>
          <w:rFonts w:ascii="Verdana" w:hAnsi="Verdana"/>
          <w:color w:val="548DD4" w:themeColor="text2" w:themeTint="99"/>
          <w:sz w:val="18"/>
          <w:szCs w:val="18"/>
          <w:lang w:val="en-US"/>
        </w:rPr>
        <w:t>Strategic financing framework for water resources management</w:t>
      </w:r>
      <w:bookmarkEnd w:id="40"/>
    </w:p>
    <w:p w14:paraId="117BCC67" w14:textId="77777777" w:rsidR="003658D8" w:rsidRPr="00736A50" w:rsidRDefault="003658D8" w:rsidP="007630EA">
      <w:pPr>
        <w:pStyle w:val="Body"/>
        <w:ind w:left="-851"/>
        <w:jc w:val="center"/>
      </w:pPr>
      <w:r w:rsidRPr="0040676E">
        <w:rPr>
          <w:noProof/>
          <w:lang w:val="en-US"/>
        </w:rPr>
        <w:drawing>
          <wp:inline distT="0" distB="0" distL="0" distR="0" wp14:anchorId="4756528C" wp14:editId="04A8D50D">
            <wp:extent cx="6893076" cy="3726180"/>
            <wp:effectExtent l="0" t="0" r="3175" b="7620"/>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97493" cy="3728568"/>
                    </a:xfrm>
                    <a:prstGeom prst="rect">
                      <a:avLst/>
                    </a:prstGeom>
                  </pic:spPr>
                </pic:pic>
              </a:graphicData>
            </a:graphic>
          </wp:inline>
        </w:drawing>
      </w:r>
    </w:p>
    <w:p w14:paraId="555D5140" w14:textId="77777777" w:rsidR="003658D8" w:rsidRPr="00736A50" w:rsidRDefault="003658D8" w:rsidP="003658D8">
      <w:pPr>
        <w:pStyle w:val="WDBodySmall"/>
      </w:pPr>
      <w:r w:rsidRPr="000F4CBE">
        <w:t xml:space="preserve">Source: </w:t>
      </w:r>
      <w:r w:rsidRPr="00736A50">
        <w:t xml:space="preserve">Own elaboration. </w:t>
      </w:r>
    </w:p>
    <w:p w14:paraId="7802E92D" w14:textId="77777777" w:rsidR="003658D8" w:rsidRPr="003658D8" w:rsidRDefault="003658D8" w:rsidP="003658D8">
      <w:pPr>
        <w:pStyle w:val="Body"/>
        <w:rPr>
          <w:lang w:val="en-US"/>
        </w:rPr>
      </w:pPr>
    </w:p>
    <w:p w14:paraId="22B856E4" w14:textId="77777777" w:rsidR="003658D8" w:rsidRPr="003658D8" w:rsidRDefault="003658D8" w:rsidP="003658D8">
      <w:pPr>
        <w:pStyle w:val="Body"/>
        <w:rPr>
          <w:lang w:val="en-US"/>
        </w:rPr>
      </w:pPr>
      <w:r w:rsidRPr="003658D8">
        <w:rPr>
          <w:lang w:val="en-US"/>
        </w:rPr>
        <w:t xml:space="preserve">Assessing the level of application of this framework will require looking in particular at four transversal dimensions that are further detailed below.  </w:t>
      </w:r>
    </w:p>
    <w:p w14:paraId="14EA1FE7" w14:textId="77777777" w:rsidR="003658D8" w:rsidRPr="003658D8" w:rsidRDefault="003658D8" w:rsidP="003658D8">
      <w:pPr>
        <w:pStyle w:val="Body"/>
        <w:rPr>
          <w:rFonts w:cs="Segoe UI"/>
          <w:lang w:val="en-US"/>
        </w:rPr>
      </w:pPr>
      <w:r w:rsidRPr="003658D8">
        <w:rPr>
          <w:rFonts w:cs="Segoe UI"/>
          <w:lang w:val="en-US"/>
        </w:rPr>
        <w:t xml:space="preserve">As in Fig. 4.2 above (see boxes in dark blue), it seems clear that strategic financing efforts of water resources management should be driven by and adequate assessment of policy gaps, which is often constrained by the definition of baseline scenarios (sometimes perceived as the current situation rather the projection of what would happen in the absence of new actions) and a weak analysis of drivers in planning documents. Currently, decisions are made within a context of cascading uncertainty, not only stemming from global climate models and scenarios or the downscaling to regional climate models, but also from the assessment of potential impacts and in socio-economic modelling. As reflected in Fig. 4.2, climate change is far from being the only source of uncertainty though: macroeconomic performance or the structural change of the economy as a result of digitalisation are also major sources of concern. As explained above, strategic financing approaches allow to explicitly connect the level of (financial) effort to policy objectives. </w:t>
      </w:r>
    </w:p>
    <w:p w14:paraId="74D6A7CC" w14:textId="77777777" w:rsidR="003658D8" w:rsidRPr="003658D8" w:rsidRDefault="003658D8" w:rsidP="003658D8">
      <w:pPr>
        <w:pStyle w:val="Body"/>
        <w:rPr>
          <w:rFonts w:cs="Segoe UI"/>
          <w:lang w:val="en-US"/>
        </w:rPr>
      </w:pPr>
      <w:r w:rsidRPr="003658D8">
        <w:rPr>
          <w:rFonts w:cs="Segoe UI"/>
          <w:lang w:val="en-US"/>
        </w:rPr>
        <w:t xml:space="preserve">Measures stemming from this analysis cannot only be those that result from a conventional financial appraisal or a least-cost exercise (such as that prescribed in the WFD implementation process though the imperative use of cost-effectiveness analysis), not matter how important that is. Precisely on the basis of the acknowledgement of the layers of uncertainty mentioned in the above paragraph, it is also of chief importance to consider wider, ancillary benefits, thus moving away from least-cost towards best-value solutions for society (see boxes in light blue). </w:t>
      </w:r>
    </w:p>
    <w:p w14:paraId="69F036DE" w14:textId="77777777" w:rsidR="003658D8" w:rsidRPr="003658D8" w:rsidRDefault="003658D8" w:rsidP="003658D8">
      <w:pPr>
        <w:pStyle w:val="Body"/>
        <w:rPr>
          <w:rFonts w:cs="Segoe UI"/>
          <w:lang w:val="en-US"/>
        </w:rPr>
      </w:pPr>
      <w:r w:rsidRPr="003658D8">
        <w:rPr>
          <w:rFonts w:cs="Segoe UI"/>
          <w:lang w:val="en-US"/>
        </w:rPr>
        <w:t>Within this context, the consideration of the following dimensions is of paramount importance.</w:t>
      </w:r>
    </w:p>
    <w:p w14:paraId="3F75C2EF" w14:textId="77777777" w:rsidR="003658D8" w:rsidRPr="002934F3" w:rsidRDefault="003658D8" w:rsidP="00EB7DEF">
      <w:pPr>
        <w:pStyle w:val="Body"/>
        <w:rPr>
          <w:b/>
          <w:bCs/>
          <w:color w:val="548DD4" w:themeColor="text2" w:themeTint="99"/>
          <w:lang w:val="en-US"/>
        </w:rPr>
      </w:pPr>
      <w:bookmarkStart w:id="41" w:name="_Toc59180771"/>
      <w:r w:rsidRPr="002934F3">
        <w:rPr>
          <w:b/>
          <w:bCs/>
          <w:color w:val="548DD4" w:themeColor="text2" w:themeTint="99"/>
          <w:lang w:val="en-US"/>
        </w:rPr>
        <w:t xml:space="preserve">Dimension 1 </w:t>
      </w:r>
      <w:r w:rsidRPr="002934F3">
        <w:rPr>
          <w:rFonts w:ascii="Calibri" w:eastAsia="Calibri" w:hAnsi="Calibri" w:cs="Calibri"/>
          <w:b/>
          <w:bCs/>
          <w:color w:val="548DD4" w:themeColor="text2" w:themeTint="99"/>
          <w:lang w:val="en-US"/>
        </w:rPr>
        <w:t>–</w:t>
      </w:r>
      <w:r w:rsidRPr="002934F3">
        <w:rPr>
          <w:b/>
          <w:bCs/>
          <w:color w:val="548DD4" w:themeColor="text2" w:themeTint="99"/>
          <w:lang w:val="en-US"/>
        </w:rPr>
        <w:t xml:space="preserve"> Ensuring capital investment (and its funding) to address the policy gap</w:t>
      </w:r>
      <w:bookmarkEnd w:id="41"/>
    </w:p>
    <w:p w14:paraId="23C40DF6" w14:textId="77777777" w:rsidR="003658D8" w:rsidRPr="002934F3" w:rsidRDefault="003658D8" w:rsidP="002934F3">
      <w:pPr>
        <w:pStyle w:val="WDBullets"/>
        <w:jc w:val="both"/>
        <w:rPr>
          <w:rFonts w:ascii="Verdana" w:hAnsi="Verdana"/>
          <w:szCs w:val="20"/>
        </w:rPr>
      </w:pPr>
      <w:r w:rsidRPr="002934F3">
        <w:rPr>
          <w:rFonts w:ascii="Verdana" w:hAnsi="Verdana"/>
          <w:szCs w:val="20"/>
        </w:rPr>
        <w:t xml:space="preserve">Estimating long-term funding needs is critical to connect discussions on financing to cost estimates, policy needs and societal challenges. </w:t>
      </w:r>
    </w:p>
    <w:p w14:paraId="3358669E" w14:textId="77777777" w:rsidR="003658D8" w:rsidRPr="002934F3" w:rsidRDefault="003658D8" w:rsidP="002934F3">
      <w:pPr>
        <w:pStyle w:val="WDBullets"/>
        <w:jc w:val="both"/>
        <w:rPr>
          <w:rFonts w:ascii="Verdana" w:hAnsi="Verdana"/>
          <w:szCs w:val="20"/>
        </w:rPr>
      </w:pPr>
      <w:r w:rsidRPr="002934F3">
        <w:rPr>
          <w:rFonts w:ascii="Verdana" w:hAnsi="Verdana"/>
          <w:szCs w:val="20"/>
        </w:rPr>
        <w:t xml:space="preserve">When assessing costs required for achieving policy goals, due attention is needed on the possibility of reducing overall costs, through water use efficiency, circular economy, asset management, the implementation of nature-based solutions that contribute to the objectives of both the WFD and the FD, etc. </w:t>
      </w:r>
    </w:p>
    <w:p w14:paraId="6165837A" w14:textId="77777777" w:rsidR="003658D8" w:rsidRPr="002934F3" w:rsidRDefault="003658D8" w:rsidP="002934F3">
      <w:pPr>
        <w:pStyle w:val="WDBullets"/>
        <w:jc w:val="both"/>
        <w:rPr>
          <w:rFonts w:ascii="Verdana" w:hAnsi="Verdana"/>
          <w:szCs w:val="20"/>
        </w:rPr>
      </w:pPr>
      <w:r w:rsidRPr="002934F3">
        <w:rPr>
          <w:rFonts w:ascii="Verdana" w:hAnsi="Verdana"/>
          <w:szCs w:val="20"/>
        </w:rPr>
        <w:t xml:space="preserve">Whether revenues from water-related financial instruments should be earmarked for water expenditure, following the principle that water should fund water, should also receive attention.  </w:t>
      </w:r>
    </w:p>
    <w:p w14:paraId="0E71D57C" w14:textId="77777777" w:rsidR="003658D8" w:rsidRPr="002934F3" w:rsidRDefault="003658D8" w:rsidP="002934F3">
      <w:pPr>
        <w:pStyle w:val="WDBullets"/>
        <w:jc w:val="both"/>
        <w:rPr>
          <w:rFonts w:ascii="Verdana" w:hAnsi="Verdana"/>
          <w:szCs w:val="20"/>
        </w:rPr>
      </w:pPr>
      <w:r w:rsidRPr="002934F3">
        <w:rPr>
          <w:rFonts w:ascii="Verdana" w:hAnsi="Verdana"/>
          <w:szCs w:val="20"/>
        </w:rPr>
        <w:t xml:space="preserve">It is also critical to ascertain what role is to be played by the private sector (i.e. commercial financiers) and how. There might be asymmetries between private preferences in terms of investment processes and policy priorities (an example of that is the financing of grey infrastructures versus nature-based solutions). </w:t>
      </w:r>
      <w:r w:rsidRPr="002934F3">
        <w:rPr>
          <w:rFonts w:ascii="Verdana" w:hAnsi="Verdana" w:cs="Segoe UI"/>
          <w:szCs w:val="20"/>
        </w:rPr>
        <w:t xml:space="preserve">Needless to say, part of the challenge is to increase the number of bankable projects in a sub-set of actions that may attract the attention from commercial banks in support of public funds, by strengthening </w:t>
      </w:r>
      <w:r w:rsidRPr="002934F3">
        <w:rPr>
          <w:rFonts w:ascii="Verdana" w:hAnsi="Verdana"/>
          <w:szCs w:val="20"/>
        </w:rPr>
        <w:t xml:space="preserve">the development and preparation of projects that can be accommodated by existing investment processes, as well as de-risking projects to make them more attractive to investors. </w:t>
      </w:r>
    </w:p>
    <w:p w14:paraId="4017BAAE" w14:textId="77777777" w:rsidR="003658D8" w:rsidRPr="002934F3" w:rsidRDefault="003658D8" w:rsidP="002934F3">
      <w:pPr>
        <w:pStyle w:val="WDBullets"/>
        <w:jc w:val="both"/>
        <w:rPr>
          <w:rFonts w:ascii="Verdana" w:hAnsi="Verdana"/>
          <w:szCs w:val="20"/>
        </w:rPr>
      </w:pPr>
      <w:r w:rsidRPr="002934F3">
        <w:rPr>
          <w:rFonts w:ascii="Verdana" w:hAnsi="Verdana"/>
          <w:szCs w:val="20"/>
        </w:rPr>
        <w:t>How to account for the value of water services not provided by the market (i.e. some ecosystem services) is also an important element in designing financing for water projects.</w:t>
      </w:r>
    </w:p>
    <w:p w14:paraId="69618DBC" w14:textId="73458F68" w:rsidR="003658D8" w:rsidRDefault="003658D8" w:rsidP="002934F3">
      <w:pPr>
        <w:pStyle w:val="WDBullets"/>
        <w:jc w:val="both"/>
        <w:rPr>
          <w:rFonts w:ascii="Verdana" w:hAnsi="Verdana"/>
          <w:szCs w:val="20"/>
        </w:rPr>
      </w:pPr>
      <w:r w:rsidRPr="002934F3">
        <w:rPr>
          <w:rFonts w:ascii="Verdana" w:hAnsi="Verdana"/>
          <w:szCs w:val="20"/>
        </w:rPr>
        <w:t xml:space="preserve">Given the need to connect water policy goals and wider social and economic development goals, investments should be driven as well by their ability to contribute to macroeconomic performance, social and territorial cohesion, bridging the gap in terms of inequality, enhancing competitiveness and productivity of our economies.  </w:t>
      </w:r>
    </w:p>
    <w:p w14:paraId="4E9B82D7" w14:textId="77777777" w:rsidR="00150DDE" w:rsidRPr="002934F3" w:rsidRDefault="00150DDE" w:rsidP="00150DDE">
      <w:pPr>
        <w:pStyle w:val="WDBullets"/>
        <w:numPr>
          <w:ilvl w:val="0"/>
          <w:numId w:val="0"/>
        </w:numPr>
        <w:jc w:val="both"/>
        <w:rPr>
          <w:rFonts w:ascii="Verdana" w:hAnsi="Verdana"/>
          <w:szCs w:val="20"/>
        </w:rPr>
      </w:pPr>
    </w:p>
    <w:p w14:paraId="5E874E0C" w14:textId="77777777" w:rsidR="003658D8" w:rsidRPr="00150DDE" w:rsidRDefault="003658D8" w:rsidP="00150DDE">
      <w:pPr>
        <w:pStyle w:val="Body"/>
        <w:rPr>
          <w:b/>
          <w:bCs/>
          <w:color w:val="548DD4" w:themeColor="text2" w:themeTint="99"/>
          <w:lang w:val="en-US"/>
        </w:rPr>
      </w:pPr>
      <w:bookmarkStart w:id="42" w:name="_Toc59180772"/>
      <w:r w:rsidRPr="00150DDE">
        <w:rPr>
          <w:b/>
          <w:bCs/>
          <w:color w:val="548DD4" w:themeColor="text2" w:themeTint="99"/>
          <w:lang w:val="en-US"/>
        </w:rPr>
        <w:t>Dimension 2 – Ensuring long-term financial sustainability / sufficiency</w:t>
      </w:r>
      <w:bookmarkEnd w:id="42"/>
      <w:r w:rsidRPr="00150DDE">
        <w:rPr>
          <w:b/>
          <w:bCs/>
          <w:color w:val="548DD4" w:themeColor="text2" w:themeTint="99"/>
          <w:lang w:val="en-US"/>
        </w:rPr>
        <w:t xml:space="preserve"> </w:t>
      </w:r>
    </w:p>
    <w:p w14:paraId="07C9F9A8" w14:textId="77777777" w:rsidR="003658D8" w:rsidRPr="00312FE3" w:rsidRDefault="003658D8" w:rsidP="00312FE3">
      <w:pPr>
        <w:pStyle w:val="WDBullets"/>
        <w:jc w:val="both"/>
        <w:rPr>
          <w:rFonts w:ascii="Verdana" w:hAnsi="Verdana"/>
        </w:rPr>
      </w:pPr>
      <w:r w:rsidRPr="00312FE3">
        <w:rPr>
          <w:rFonts w:ascii="Verdana" w:hAnsi="Verdana"/>
        </w:rPr>
        <w:t>Given the drawbacks to attaining higher cost-recovery rates (especially, but not only, in agriculture</w:t>
      </w:r>
      <w:r w:rsidRPr="00312FE3">
        <w:rPr>
          <w:rFonts w:ascii="Verdana" w:eastAsia="Calibri" w:hAnsi="Verdana"/>
        </w:rPr>
        <w:t xml:space="preserve">), it is critical to </w:t>
      </w:r>
      <w:r w:rsidRPr="00312FE3">
        <w:rPr>
          <w:rFonts w:ascii="Verdana" w:hAnsi="Verdana"/>
        </w:rPr>
        <w:t xml:space="preserve">address simultaneously (investment-related) funding needs and financial revenues to cover operational and maintenance costs. These obstacles include the lack of metering infrastructure, resistance from water users to higher water pricing levels, the unintended outcomes of a number of subsidies, the lack of enforcement of pollution and abstraction charges, etc. </w:t>
      </w:r>
    </w:p>
    <w:p w14:paraId="6A7B4698" w14:textId="77777777" w:rsidR="003658D8" w:rsidRPr="00312FE3" w:rsidRDefault="003658D8" w:rsidP="00312FE3">
      <w:pPr>
        <w:pStyle w:val="WDBullets"/>
        <w:jc w:val="both"/>
        <w:rPr>
          <w:rFonts w:ascii="Verdana" w:hAnsi="Verdana"/>
        </w:rPr>
      </w:pPr>
      <w:r w:rsidRPr="00312FE3">
        <w:rPr>
          <w:rFonts w:ascii="Verdana" w:hAnsi="Verdana"/>
        </w:rPr>
        <w:t xml:space="preserve">Financial appraisals should feed into decisions on cost-, benefit- and risk-sharing schemes and risk management structures. </w:t>
      </w:r>
    </w:p>
    <w:p w14:paraId="165027A3" w14:textId="77777777" w:rsidR="003658D8" w:rsidRPr="00312FE3" w:rsidRDefault="003658D8" w:rsidP="00312FE3">
      <w:pPr>
        <w:pStyle w:val="WDBullets"/>
        <w:jc w:val="both"/>
        <w:rPr>
          <w:rFonts w:ascii="Verdana" w:hAnsi="Verdana"/>
        </w:rPr>
      </w:pPr>
      <w:r w:rsidRPr="00312FE3">
        <w:rPr>
          <w:rFonts w:ascii="Verdana" w:hAnsi="Verdana"/>
        </w:rPr>
        <w:t xml:space="preserve">The reflection, from a strategic perspective, on long-term financial sustainability, allows the identification of relevant issues about procurement practices (i.e. public procurement of innovative solutions, circular procurement, etc.). </w:t>
      </w:r>
    </w:p>
    <w:p w14:paraId="1C0D59B4" w14:textId="77777777" w:rsidR="003658D8" w:rsidRPr="00312FE3" w:rsidRDefault="003658D8" w:rsidP="00312FE3">
      <w:pPr>
        <w:pStyle w:val="WDBullets"/>
        <w:jc w:val="both"/>
        <w:rPr>
          <w:rFonts w:ascii="Verdana" w:hAnsi="Verdana"/>
        </w:rPr>
      </w:pPr>
      <w:r w:rsidRPr="00312FE3">
        <w:rPr>
          <w:rFonts w:ascii="Verdana" w:hAnsi="Verdana"/>
        </w:rPr>
        <w:t xml:space="preserve">Reflecting on ensuring financial sufficiency is also instrumental for the identification of new revenue streams. A good example of this is whatever has to do with circular economy approaches, where new revenues arise from material and energy recovery. </w:t>
      </w:r>
    </w:p>
    <w:p w14:paraId="47371ECA" w14:textId="77777777" w:rsidR="003658D8" w:rsidRPr="00312FE3" w:rsidRDefault="003658D8" w:rsidP="00312FE3">
      <w:pPr>
        <w:pStyle w:val="WDBullets"/>
        <w:jc w:val="both"/>
        <w:rPr>
          <w:rFonts w:ascii="Verdana" w:hAnsi="Verdana"/>
        </w:rPr>
      </w:pPr>
      <w:r w:rsidRPr="00312FE3">
        <w:rPr>
          <w:rFonts w:ascii="Verdana" w:hAnsi="Verdana"/>
        </w:rPr>
        <w:t xml:space="preserve">Financial sustainability needs to account for the quality of water services delivered to households, farmers, industries, etc. Low quality can lead to low recovery of operational expenses that often leads to increases in new capital investments. </w:t>
      </w:r>
      <w:r w:rsidRPr="00312FE3">
        <w:rPr>
          <w:rFonts w:ascii="Verdana" w:hAnsi="Verdana"/>
        </w:rPr>
        <w:tab/>
      </w:r>
    </w:p>
    <w:p w14:paraId="28A50167" w14:textId="6685B58F" w:rsidR="003658D8" w:rsidRDefault="003658D8" w:rsidP="00312FE3">
      <w:pPr>
        <w:pStyle w:val="WDBullets"/>
        <w:jc w:val="both"/>
        <w:rPr>
          <w:rFonts w:ascii="Verdana" w:hAnsi="Verdana"/>
        </w:rPr>
      </w:pPr>
      <w:r w:rsidRPr="00312FE3">
        <w:rPr>
          <w:rFonts w:ascii="Verdana" w:hAnsi="Verdana"/>
        </w:rPr>
        <w:t xml:space="preserve">Aligning individual efficiency gains and wider social objectives requires specific attention, as illustrated by investments and financing in the modernisation of irrigation systems that deliver significant savings at individual level that are not necessarily transferred to water savings at the basin level. </w:t>
      </w:r>
    </w:p>
    <w:p w14:paraId="4CA056A2" w14:textId="77777777" w:rsidR="00312FE3" w:rsidRPr="00312FE3" w:rsidRDefault="00312FE3" w:rsidP="00312FE3">
      <w:pPr>
        <w:pStyle w:val="WDBullets"/>
        <w:numPr>
          <w:ilvl w:val="0"/>
          <w:numId w:val="0"/>
        </w:numPr>
        <w:jc w:val="both"/>
        <w:rPr>
          <w:rFonts w:ascii="Verdana" w:hAnsi="Verdana"/>
        </w:rPr>
      </w:pPr>
    </w:p>
    <w:p w14:paraId="5D3393F9" w14:textId="77777777" w:rsidR="003658D8" w:rsidRPr="00312FE3" w:rsidRDefault="003658D8" w:rsidP="00312FE3">
      <w:pPr>
        <w:pStyle w:val="Body"/>
        <w:rPr>
          <w:b/>
          <w:bCs/>
          <w:color w:val="548DD4" w:themeColor="text2" w:themeTint="99"/>
          <w:lang w:val="en-US"/>
        </w:rPr>
      </w:pPr>
      <w:bookmarkStart w:id="43" w:name="_Toc59180773"/>
      <w:r w:rsidRPr="00312FE3">
        <w:rPr>
          <w:b/>
          <w:bCs/>
          <w:color w:val="548DD4" w:themeColor="text2" w:themeTint="99"/>
          <w:lang w:val="en-US"/>
        </w:rPr>
        <w:t>Dimension 3 – The role of economic incentives</w:t>
      </w:r>
      <w:bookmarkEnd w:id="43"/>
      <w:r w:rsidRPr="00312FE3">
        <w:rPr>
          <w:b/>
          <w:bCs/>
          <w:color w:val="548DD4" w:themeColor="text2" w:themeTint="99"/>
          <w:lang w:val="en-US"/>
        </w:rPr>
        <w:t xml:space="preserve"> </w:t>
      </w:r>
    </w:p>
    <w:p w14:paraId="1EC0A335" w14:textId="77777777" w:rsidR="003658D8" w:rsidRPr="00312FE3" w:rsidRDefault="003658D8" w:rsidP="00312FE3">
      <w:pPr>
        <w:pStyle w:val="WDBullets"/>
        <w:jc w:val="both"/>
        <w:rPr>
          <w:rFonts w:ascii="Verdana" w:hAnsi="Verdana"/>
        </w:rPr>
      </w:pPr>
      <w:r w:rsidRPr="00312FE3">
        <w:rPr>
          <w:rFonts w:ascii="Verdana" w:hAnsi="Verdana"/>
        </w:rPr>
        <w:t xml:space="preserve">The role of economic policy instruments is of paramount importance both in terms of funding capital expenses and financially sustaining the programmes of measures. This entails facing a number of challenges, both in terms of design and implementation of those instruments – ensuring their delivery mechanisms and governance do make things happen. </w:t>
      </w:r>
    </w:p>
    <w:p w14:paraId="5F41E35F" w14:textId="77777777" w:rsidR="003658D8" w:rsidRPr="00312FE3" w:rsidRDefault="003658D8" w:rsidP="00312FE3">
      <w:pPr>
        <w:pStyle w:val="WDBullets"/>
        <w:jc w:val="both"/>
        <w:rPr>
          <w:rFonts w:ascii="Verdana" w:hAnsi="Verdana"/>
        </w:rPr>
      </w:pPr>
      <w:r w:rsidRPr="00312FE3">
        <w:rPr>
          <w:rFonts w:ascii="Verdana" w:hAnsi="Verdana"/>
        </w:rPr>
        <w:t>Economic policy instruments never perform in isolation, but rather interact with other policy instruments as part of complex policy mixes, such as information mechanisms (i.e. metering) or command-and-control ones (i.e. pollution standards).</w:t>
      </w:r>
    </w:p>
    <w:p w14:paraId="7DBC9969" w14:textId="77777777" w:rsidR="003658D8" w:rsidRPr="00312FE3" w:rsidRDefault="003658D8" w:rsidP="00312FE3">
      <w:pPr>
        <w:pStyle w:val="WDBullets"/>
        <w:jc w:val="both"/>
        <w:rPr>
          <w:rFonts w:ascii="Verdana" w:hAnsi="Verdana"/>
        </w:rPr>
      </w:pPr>
      <w:r w:rsidRPr="00312FE3">
        <w:rPr>
          <w:rFonts w:ascii="Verdana" w:hAnsi="Verdana"/>
        </w:rPr>
        <w:t xml:space="preserve">Existing or new economic instruments that can support the achievement of the WFD and FD goals (see figure 4.3 below) will contribute to fund raising while sending signals in terms of water use efficiency and long-term water security (i.e. diversifying water supply sources to enhance resilience and adaptability, restoring aquatic ecosystems, etc.). </w:t>
      </w:r>
    </w:p>
    <w:p w14:paraId="3F1C1328" w14:textId="51570FC9" w:rsidR="00502419" w:rsidRDefault="00502419" w:rsidP="00502419">
      <w:pPr>
        <w:pStyle w:val="Body"/>
        <w:rPr>
          <w:lang w:val="en-GB"/>
        </w:rPr>
      </w:pPr>
    </w:p>
    <w:p w14:paraId="365B62CC" w14:textId="77777777" w:rsidR="001651E0" w:rsidRDefault="001651E0" w:rsidP="00502419">
      <w:pPr>
        <w:pStyle w:val="Body"/>
        <w:rPr>
          <w:lang w:val="en-GB"/>
        </w:rPr>
        <w:sectPr w:rsidR="001651E0" w:rsidSect="005F5D31">
          <w:headerReference w:type="default" r:id="rId51"/>
          <w:footerReference w:type="default" r:id="rId52"/>
          <w:pgSz w:w="11907" w:h="16839" w:code="9"/>
          <w:pgMar w:top="1276" w:right="1418" w:bottom="737" w:left="1418" w:header="142" w:footer="352" w:gutter="0"/>
          <w:cols w:space="720"/>
          <w:titlePg/>
          <w:docGrid w:linePitch="326"/>
        </w:sectPr>
      </w:pPr>
    </w:p>
    <w:p w14:paraId="273CF9FC" w14:textId="53DA1CD4" w:rsidR="00A94477" w:rsidRPr="007630EA" w:rsidRDefault="007852FF" w:rsidP="007852FF">
      <w:pPr>
        <w:pStyle w:val="Caption"/>
        <w:rPr>
          <w:rFonts w:ascii="Verdana" w:hAnsi="Verdana"/>
          <w:color w:val="548DD4" w:themeColor="text2" w:themeTint="99"/>
          <w:sz w:val="18"/>
          <w:szCs w:val="18"/>
          <w:lang w:val="en-US"/>
        </w:rPr>
      </w:pPr>
      <w:r w:rsidRPr="007630EA">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4</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Pr="007630EA">
        <w:rPr>
          <w:rFonts w:ascii="Verdana" w:hAnsi="Verdana"/>
          <w:color w:val="548DD4" w:themeColor="text2" w:themeTint="99"/>
          <w:sz w:val="18"/>
          <w:szCs w:val="18"/>
          <w:lang w:val="en-US"/>
        </w:rPr>
        <w:t xml:space="preserve"> </w:t>
      </w:r>
      <w:r w:rsidR="00A94477" w:rsidRPr="007630EA">
        <w:rPr>
          <w:rFonts w:ascii="Verdana" w:hAnsi="Verdana"/>
          <w:color w:val="548DD4" w:themeColor="text2" w:themeTint="99"/>
          <w:sz w:val="18"/>
          <w:szCs w:val="18"/>
          <w:lang w:val="en-US"/>
        </w:rPr>
        <w:t>Wide range of economic policy instruments for sustainable water management</w:t>
      </w:r>
    </w:p>
    <w:p w14:paraId="14056A5D" w14:textId="19479E27" w:rsidR="001651E0" w:rsidRDefault="007852FF" w:rsidP="00502419">
      <w:pPr>
        <w:pStyle w:val="Body"/>
        <w:rPr>
          <w:lang w:val="en-GB"/>
        </w:rPr>
      </w:pPr>
      <w:r w:rsidRPr="007852FF">
        <w:rPr>
          <w:noProof/>
          <w:lang w:val="en-US"/>
        </w:rPr>
        <w:drawing>
          <wp:inline distT="0" distB="0" distL="0" distR="0" wp14:anchorId="6B8AF1F1" wp14:editId="4C709818">
            <wp:extent cx="9220200" cy="5018793"/>
            <wp:effectExtent l="0" t="0" r="0" b="0"/>
            <wp:docPr id="27" name="Imagen 38" descr="page9image18464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9image1846468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8634" cy="5039714"/>
                    </a:xfrm>
                    <a:prstGeom prst="rect">
                      <a:avLst/>
                    </a:prstGeom>
                    <a:noFill/>
                    <a:ln>
                      <a:noFill/>
                    </a:ln>
                  </pic:spPr>
                </pic:pic>
              </a:graphicData>
            </a:graphic>
          </wp:inline>
        </w:drawing>
      </w:r>
    </w:p>
    <w:p w14:paraId="3BBB8406" w14:textId="23C4A1BD" w:rsidR="001651E0" w:rsidRDefault="001651E0" w:rsidP="00502419">
      <w:pPr>
        <w:pStyle w:val="Body"/>
        <w:rPr>
          <w:lang w:val="en-GB"/>
        </w:rPr>
      </w:pPr>
    </w:p>
    <w:p w14:paraId="497D950B" w14:textId="71CBA87A" w:rsidR="001651E0" w:rsidRDefault="001651E0" w:rsidP="00502419">
      <w:pPr>
        <w:pStyle w:val="Body"/>
        <w:rPr>
          <w:lang w:val="en-GB"/>
        </w:rPr>
      </w:pPr>
    </w:p>
    <w:p w14:paraId="0D988477" w14:textId="77777777" w:rsidR="001651E0" w:rsidRDefault="001651E0" w:rsidP="00502419">
      <w:pPr>
        <w:pStyle w:val="Body"/>
        <w:rPr>
          <w:lang w:val="en-GB"/>
        </w:rPr>
        <w:sectPr w:rsidR="001651E0" w:rsidSect="001651E0">
          <w:pgSz w:w="16839" w:h="11907" w:orient="landscape" w:code="9"/>
          <w:pgMar w:top="1418" w:right="737" w:bottom="1418" w:left="1276" w:header="142" w:footer="352" w:gutter="0"/>
          <w:cols w:space="720"/>
          <w:titlePg/>
          <w:docGrid w:linePitch="326"/>
        </w:sectPr>
      </w:pPr>
    </w:p>
    <w:p w14:paraId="0ABFF4DD" w14:textId="77777777" w:rsidR="003C7839" w:rsidRPr="003C7839" w:rsidRDefault="003C7839" w:rsidP="003C7839">
      <w:pPr>
        <w:pStyle w:val="Body"/>
        <w:rPr>
          <w:b/>
          <w:bCs/>
          <w:color w:val="548DD4" w:themeColor="text2" w:themeTint="99"/>
          <w:lang w:val="en-US"/>
        </w:rPr>
      </w:pPr>
      <w:bookmarkStart w:id="44" w:name="_Toc59180774"/>
      <w:r w:rsidRPr="003C7839">
        <w:rPr>
          <w:b/>
          <w:bCs/>
          <w:color w:val="548DD4" w:themeColor="text2" w:themeTint="99"/>
          <w:lang w:val="en-US"/>
        </w:rPr>
        <w:t>Dimension 4 – What is needed for a sustainable financing approach to deliver what would be expected?</w:t>
      </w:r>
      <w:bookmarkEnd w:id="44"/>
      <w:r w:rsidRPr="003C7839">
        <w:rPr>
          <w:b/>
          <w:bCs/>
          <w:color w:val="548DD4" w:themeColor="text2" w:themeTint="99"/>
          <w:lang w:val="en-US"/>
        </w:rPr>
        <w:t xml:space="preserve"> </w:t>
      </w:r>
    </w:p>
    <w:p w14:paraId="0121887F" w14:textId="77777777" w:rsidR="003C7839" w:rsidRPr="003C7839" w:rsidRDefault="003C7839" w:rsidP="003C7839">
      <w:pPr>
        <w:pStyle w:val="WDBullets"/>
        <w:jc w:val="both"/>
        <w:rPr>
          <w:rFonts w:ascii="Verdana" w:hAnsi="Verdana"/>
        </w:rPr>
      </w:pPr>
      <w:r w:rsidRPr="003C7839">
        <w:rPr>
          <w:rFonts w:ascii="Verdana" w:hAnsi="Verdana"/>
        </w:rPr>
        <w:t xml:space="preserve">Strategic financing is inherently linked to strategic thinking. This implies investigating: the alternatives available to make use of current financial resources; mechanisms and solutions that can reduce future financing needs; and solutions that help harnessing additional financing sources, including from other sectors. </w:t>
      </w:r>
    </w:p>
    <w:p w14:paraId="7E7E2B2D" w14:textId="77777777" w:rsidR="003C7839" w:rsidRPr="003C7839" w:rsidRDefault="003C7839" w:rsidP="003C7839">
      <w:pPr>
        <w:pStyle w:val="WDBullets"/>
        <w:jc w:val="both"/>
        <w:rPr>
          <w:rFonts w:ascii="Verdana" w:hAnsi="Verdana"/>
        </w:rPr>
      </w:pPr>
      <w:r w:rsidRPr="003C7839">
        <w:rPr>
          <w:rFonts w:ascii="Verdana" w:hAnsi="Verdana"/>
        </w:rPr>
        <w:t>Strategic financing does not deliver a set package of financing options. It rather supports potential pathways to anticipate in bridging financing gaps while responding to, and accounting for, new challenges and societal demands.</w:t>
      </w:r>
    </w:p>
    <w:p w14:paraId="2D0B3639" w14:textId="222C03BF" w:rsidR="001651E0" w:rsidRPr="003658D8" w:rsidRDefault="001651E0" w:rsidP="00502419">
      <w:pPr>
        <w:pStyle w:val="Body"/>
        <w:rPr>
          <w:lang w:val="en-GB"/>
        </w:rPr>
      </w:pPr>
    </w:p>
    <w:p w14:paraId="161CA057" w14:textId="1900634A" w:rsidR="00CB6D43" w:rsidRDefault="00CB6D43" w:rsidP="003B304A">
      <w:pPr>
        <w:pStyle w:val="Body"/>
        <w:rPr>
          <w:lang w:val="en-US"/>
        </w:rPr>
      </w:pPr>
    </w:p>
    <w:p w14:paraId="3EEDD956" w14:textId="2DEAA71F" w:rsidR="003C7839" w:rsidRDefault="003C7839" w:rsidP="003B304A">
      <w:pPr>
        <w:pStyle w:val="Body"/>
        <w:rPr>
          <w:lang w:val="en-US"/>
        </w:rPr>
      </w:pPr>
      <w:r>
        <w:rPr>
          <w:lang w:val="en-US"/>
        </w:rPr>
        <w:br w:type="page"/>
      </w:r>
    </w:p>
    <w:p w14:paraId="3D40E755" w14:textId="494059DA" w:rsidR="00810882" w:rsidRDefault="00810882" w:rsidP="00810882">
      <w:pPr>
        <w:pStyle w:val="Heading1"/>
        <w:rPr>
          <w:lang w:val="en-US"/>
        </w:rPr>
      </w:pPr>
      <w:bookmarkStart w:id="45" w:name="_Toc62825941"/>
      <w:r w:rsidRPr="00810882">
        <w:rPr>
          <w:lang w:val="en-US"/>
        </w:rPr>
        <w:t>Assessing the efforts (costs) required for achieving water policy goals</w:t>
      </w:r>
      <w:bookmarkEnd w:id="45"/>
    </w:p>
    <w:p w14:paraId="44C3DFCE" w14:textId="77777777" w:rsidR="00457C3F" w:rsidRPr="00457C3F" w:rsidRDefault="00457C3F" w:rsidP="00457C3F">
      <w:pPr>
        <w:pStyle w:val="Text1"/>
        <w:rPr>
          <w:lang w:val="en-US"/>
        </w:rPr>
      </w:pPr>
    </w:p>
    <w:p w14:paraId="5338439C" w14:textId="77777777" w:rsidR="00457C3F" w:rsidRPr="00457C3F" w:rsidRDefault="00457C3F" w:rsidP="00457C3F">
      <w:pPr>
        <w:pStyle w:val="Heading2"/>
        <w:rPr>
          <w:lang w:val="en-US"/>
        </w:rPr>
      </w:pPr>
      <w:bookmarkStart w:id="46" w:name="_Toc59180775"/>
      <w:bookmarkStart w:id="47" w:name="_Toc62825942"/>
      <w:r w:rsidRPr="00457C3F">
        <w:rPr>
          <w:rFonts w:cs="Segoe UI"/>
          <w:lang w:val="en-US"/>
        </w:rPr>
        <w:t>What do we know about costs and future level of efforts?</w:t>
      </w:r>
      <w:bookmarkEnd w:id="46"/>
      <w:bookmarkEnd w:id="47"/>
    </w:p>
    <w:p w14:paraId="53E14C4D" w14:textId="77777777" w:rsidR="006B31EF" w:rsidRPr="00CC7F1A" w:rsidRDefault="006B31EF" w:rsidP="00CC7F1A">
      <w:pPr>
        <w:pStyle w:val="Body"/>
        <w:rPr>
          <w:b/>
          <w:bCs/>
          <w:color w:val="548DD4" w:themeColor="text2" w:themeTint="99"/>
          <w:lang w:val="en-US"/>
        </w:rPr>
      </w:pPr>
      <w:bookmarkStart w:id="48" w:name="_Toc59180776"/>
      <w:r w:rsidRPr="00CC7F1A">
        <w:rPr>
          <w:b/>
          <w:bCs/>
          <w:color w:val="548DD4" w:themeColor="text2" w:themeTint="99"/>
          <w:lang w:val="en-US"/>
        </w:rPr>
        <w:t>Water Framework Directive</w:t>
      </w:r>
      <w:bookmarkEnd w:id="48"/>
    </w:p>
    <w:p w14:paraId="0538FA32" w14:textId="77777777" w:rsidR="006B31EF" w:rsidRPr="000F4A43" w:rsidRDefault="006B31EF" w:rsidP="000F4A43">
      <w:pPr>
        <w:pStyle w:val="Body"/>
        <w:rPr>
          <w:color w:val="548DD4" w:themeColor="text2" w:themeTint="99"/>
          <w:lang w:val="en-US"/>
        </w:rPr>
      </w:pPr>
      <w:r w:rsidRPr="000F4A43">
        <w:rPr>
          <w:color w:val="548DD4" w:themeColor="text2" w:themeTint="99"/>
          <w:lang w:val="en-US"/>
        </w:rPr>
        <w:t>Objectives</w:t>
      </w:r>
    </w:p>
    <w:p w14:paraId="75E309EE" w14:textId="77777777" w:rsidR="006B31EF" w:rsidRPr="006B31EF" w:rsidRDefault="006B31EF" w:rsidP="006B31EF">
      <w:pPr>
        <w:pStyle w:val="Body"/>
        <w:rPr>
          <w:lang w:val="en-US"/>
        </w:rPr>
      </w:pPr>
      <w:r w:rsidRPr="006B31EF">
        <w:rPr>
          <w:lang w:val="en-US"/>
        </w:rPr>
        <w:t>The WFD aimed to achieve good status for surface and groundwater bodies in the EU by 2015 covering over 111 000 surface water bodies (e.g. rivers, lakes, coastal waters) and over 13 000 groundwater bodies. Achieving “good status” encompasses ensuring good ecological and chemical status for surface waters and good quantitative and chemical status for groundwaters. The Directive, however, allows for extensions beyond the 2015 deadline on the grounds of technical feasibility, disproportionate costs or natural conditions (Article 4) up to 2027 (unless natural conditions</w:t>
      </w:r>
      <w:r w:rsidRPr="006B31EF">
        <w:rPr>
          <w:sz w:val="16"/>
          <w:szCs w:val="16"/>
          <w:lang w:val="en-US"/>
        </w:rPr>
        <w:t xml:space="preserve"> </w:t>
      </w:r>
      <w:r w:rsidRPr="006B31EF">
        <w:rPr>
          <w:lang w:val="en-US"/>
        </w:rPr>
        <w:t>prevent reaching the WFD objectives within the time limits set). In order to achieve set environmental objectives, MS have developed and implemented Programs of Measures (PoM) including basic and supplementary measures.</w:t>
      </w:r>
    </w:p>
    <w:p w14:paraId="2200F164" w14:textId="77777777" w:rsidR="006B31EF" w:rsidRPr="000F4A43" w:rsidRDefault="006B31EF" w:rsidP="000F4A43">
      <w:pPr>
        <w:pStyle w:val="Body"/>
        <w:rPr>
          <w:color w:val="548DD4" w:themeColor="text2" w:themeTint="99"/>
          <w:lang w:val="en-US"/>
        </w:rPr>
      </w:pPr>
      <w:r w:rsidRPr="000F4A43">
        <w:rPr>
          <w:color w:val="548DD4" w:themeColor="text2" w:themeTint="99"/>
          <w:lang w:val="en-US"/>
        </w:rPr>
        <w:t>Costs of measures</w:t>
      </w:r>
    </w:p>
    <w:p w14:paraId="19393B9C" w14:textId="77777777" w:rsidR="006B31EF" w:rsidRPr="006B31EF" w:rsidRDefault="006B31EF" w:rsidP="006B31EF">
      <w:pPr>
        <w:pStyle w:val="Body"/>
        <w:rPr>
          <w:lang w:val="en-US"/>
        </w:rPr>
      </w:pPr>
      <w:r w:rsidRPr="006B31EF">
        <w:rPr>
          <w:lang w:val="en-US"/>
        </w:rPr>
        <w:t xml:space="preserve">Most countries estimate and report costs of planned measures in their RBMPs. The </w:t>
      </w:r>
      <w:r w:rsidRPr="006B31EF">
        <w:rPr>
          <w:b/>
          <w:lang w:val="en-US"/>
        </w:rPr>
        <w:t>knowledge base on costs of planned measures is</w:t>
      </w:r>
      <w:r w:rsidRPr="006B31EF">
        <w:rPr>
          <w:lang w:val="en-US"/>
        </w:rPr>
        <w:t xml:space="preserve">, however, </w:t>
      </w:r>
      <w:r w:rsidRPr="006B31EF">
        <w:rPr>
          <w:b/>
          <w:lang w:val="en-US"/>
        </w:rPr>
        <w:t>heterogeneous and incomplete</w:t>
      </w:r>
      <w:r w:rsidRPr="006B31EF">
        <w:rPr>
          <w:lang w:val="en-US"/>
        </w:rPr>
        <w:t xml:space="preserve"> across the EU. First of all, cost estimates of measures included in the 2</w:t>
      </w:r>
      <w:r w:rsidRPr="006B31EF">
        <w:rPr>
          <w:vertAlign w:val="superscript"/>
          <w:lang w:val="en-US"/>
        </w:rPr>
        <w:t>nd</w:t>
      </w:r>
      <w:r w:rsidRPr="006B31EF">
        <w:rPr>
          <w:lang w:val="en-US"/>
        </w:rPr>
        <w:t xml:space="preserve"> RBMPs are partial, covering mainly capital investment costs with no corresponding estimates of annual operational and maintenance costs that are known in less than a third of the countries (see Figure below). </w:t>
      </w:r>
    </w:p>
    <w:p w14:paraId="43B07E94" w14:textId="7A29FA71" w:rsidR="006B31EF" w:rsidRPr="000F4A43" w:rsidRDefault="000F4A43" w:rsidP="000F4A43">
      <w:pPr>
        <w:pStyle w:val="Caption"/>
        <w:rPr>
          <w:rFonts w:ascii="Verdana" w:hAnsi="Verdana"/>
          <w:color w:val="548DD4" w:themeColor="text2" w:themeTint="99"/>
          <w:sz w:val="18"/>
          <w:szCs w:val="18"/>
          <w:lang w:val="en-US"/>
        </w:rPr>
      </w:pPr>
      <w:bookmarkStart w:id="49" w:name="_Toc56669500"/>
      <w:bookmarkStart w:id="50" w:name="_Toc56776749"/>
      <w:bookmarkStart w:id="51" w:name="_Toc59181814"/>
      <w:r w:rsidRPr="000F4A43">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1</w:t>
      </w:r>
      <w:r w:rsidR="00E14072">
        <w:rPr>
          <w:rFonts w:ascii="Verdana" w:hAnsi="Verdana"/>
          <w:color w:val="548DD4" w:themeColor="text2" w:themeTint="99"/>
          <w:sz w:val="18"/>
          <w:szCs w:val="18"/>
          <w:lang w:val="en-US"/>
        </w:rPr>
        <w:fldChar w:fldCharType="end"/>
      </w:r>
      <w:r w:rsidRPr="000F4A43">
        <w:rPr>
          <w:rFonts w:ascii="Verdana" w:hAnsi="Verdana"/>
          <w:color w:val="548DD4" w:themeColor="text2" w:themeTint="99"/>
          <w:sz w:val="18"/>
          <w:szCs w:val="18"/>
          <w:lang w:val="en-US"/>
        </w:rPr>
        <w:t xml:space="preserve"> </w:t>
      </w:r>
      <w:r w:rsidR="006B31EF" w:rsidRPr="000F4A43">
        <w:rPr>
          <w:rFonts w:ascii="Verdana" w:hAnsi="Verdana"/>
          <w:color w:val="548DD4" w:themeColor="text2" w:themeTint="99"/>
          <w:sz w:val="18"/>
          <w:szCs w:val="18"/>
          <w:lang w:val="en-US"/>
        </w:rPr>
        <w:t>Knowledge base – number of countries estimating total costs of measures in the 2nd RBMPs</w:t>
      </w:r>
      <w:bookmarkEnd w:id="49"/>
      <w:bookmarkEnd w:id="50"/>
      <w:r w:rsidR="006B31EF" w:rsidRPr="000F4A43">
        <w:rPr>
          <w:rFonts w:ascii="Verdana" w:hAnsi="Verdana"/>
          <w:color w:val="548DD4" w:themeColor="text2" w:themeTint="99"/>
          <w:sz w:val="18"/>
          <w:szCs w:val="18"/>
          <w:lang w:val="en-US"/>
        </w:rPr>
        <w:t xml:space="preserve"> (2016-2021)</w:t>
      </w:r>
      <w:bookmarkEnd w:id="51"/>
    </w:p>
    <w:p w14:paraId="64F4C25D" w14:textId="77777777" w:rsidR="006B31EF" w:rsidRPr="00736A50" w:rsidRDefault="006B31EF" w:rsidP="006B31EF">
      <w:pPr>
        <w:pStyle w:val="Body"/>
        <w:rPr>
          <w:lang w:eastAsia="en-GB"/>
        </w:rPr>
      </w:pPr>
      <w:r w:rsidRPr="0040676E">
        <w:rPr>
          <w:noProof/>
          <w:lang w:val="en-US"/>
        </w:rPr>
        <w:drawing>
          <wp:inline distT="0" distB="0" distL="0" distR="0" wp14:anchorId="772D188F" wp14:editId="1814178B">
            <wp:extent cx="5767070" cy="278638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1467" cy="2788504"/>
                    </a:xfrm>
                    <a:prstGeom prst="rect">
                      <a:avLst/>
                    </a:prstGeom>
                    <a:noFill/>
                  </pic:spPr>
                </pic:pic>
              </a:graphicData>
            </a:graphic>
          </wp:inline>
        </w:drawing>
      </w:r>
    </w:p>
    <w:p w14:paraId="1CD15862" w14:textId="77777777" w:rsidR="006B31EF" w:rsidRPr="000F4A43" w:rsidRDefault="006B31EF" w:rsidP="006B31EF">
      <w:pPr>
        <w:spacing w:after="0"/>
        <w:rPr>
          <w:rFonts w:ascii="Verdana" w:hAnsi="Verdana" w:cs="Segoe UI"/>
          <w:sz w:val="16"/>
          <w:szCs w:val="16"/>
        </w:rPr>
      </w:pPr>
      <w:r w:rsidRPr="000F4A43">
        <w:rPr>
          <w:rFonts w:ascii="Verdana" w:hAnsi="Verdana" w:cs="Segoe UI"/>
          <w:sz w:val="16"/>
          <w:szCs w:val="16"/>
        </w:rPr>
        <w:t xml:space="preserve">Note: </w:t>
      </w:r>
    </w:p>
    <w:p w14:paraId="26385EFA" w14:textId="77777777" w:rsidR="006B31EF" w:rsidRPr="000F4A43" w:rsidRDefault="006B31EF" w:rsidP="00A13462">
      <w:pPr>
        <w:pStyle w:val="ListParagraph"/>
        <w:numPr>
          <w:ilvl w:val="0"/>
          <w:numId w:val="33"/>
        </w:numPr>
        <w:spacing w:after="0" w:line="240" w:lineRule="auto"/>
        <w:contextualSpacing w:val="0"/>
        <w:rPr>
          <w:rFonts w:ascii="Verdana" w:hAnsi="Verdana" w:cs="Segoe UI"/>
          <w:sz w:val="16"/>
          <w:szCs w:val="16"/>
          <w:lang w:val="en-GB"/>
        </w:rPr>
      </w:pPr>
      <w:r w:rsidRPr="000F4A43">
        <w:rPr>
          <w:rFonts w:ascii="Verdana" w:hAnsi="Verdana" w:cs="Segoe UI"/>
          <w:sz w:val="16"/>
          <w:szCs w:val="16"/>
          <w:lang w:val="en-GB"/>
        </w:rPr>
        <w:t>“Yes” cover Member States that report costs of measures in the 2</w:t>
      </w:r>
      <w:r w:rsidRPr="000F4A43">
        <w:rPr>
          <w:rFonts w:ascii="Verdana" w:hAnsi="Verdana" w:cs="Segoe UI"/>
          <w:sz w:val="16"/>
          <w:szCs w:val="16"/>
          <w:vertAlign w:val="superscript"/>
          <w:lang w:val="en-GB"/>
        </w:rPr>
        <w:t>nd</w:t>
      </w:r>
      <w:r w:rsidRPr="000F4A43">
        <w:rPr>
          <w:rFonts w:ascii="Verdana" w:hAnsi="Verdana" w:cs="Segoe UI"/>
          <w:sz w:val="16"/>
          <w:szCs w:val="16"/>
          <w:lang w:val="en-GB"/>
        </w:rPr>
        <w:t xml:space="preserve"> RBMPs; </w:t>
      </w:r>
    </w:p>
    <w:p w14:paraId="5BA05936" w14:textId="77777777" w:rsidR="006B31EF" w:rsidRPr="000F4A43" w:rsidRDefault="006B31EF" w:rsidP="00A13462">
      <w:pPr>
        <w:pStyle w:val="ListParagraph"/>
        <w:numPr>
          <w:ilvl w:val="0"/>
          <w:numId w:val="33"/>
        </w:numPr>
        <w:spacing w:after="0" w:line="240" w:lineRule="auto"/>
        <w:contextualSpacing w:val="0"/>
        <w:rPr>
          <w:rFonts w:ascii="Verdana" w:hAnsi="Verdana" w:cs="Segoe UI"/>
          <w:color w:val="000000"/>
          <w:sz w:val="16"/>
          <w:szCs w:val="16"/>
          <w:lang w:val="en-GB"/>
        </w:rPr>
      </w:pPr>
      <w:r w:rsidRPr="000F4A43">
        <w:rPr>
          <w:rFonts w:ascii="Verdana" w:hAnsi="Verdana" w:cs="Segoe UI"/>
          <w:sz w:val="16"/>
          <w:szCs w:val="16"/>
          <w:lang w:val="en-GB"/>
        </w:rPr>
        <w:t>“Yes, partial” cover Member States that provide costs of measures but partially, e.g. for selected RBDs rather than the country</w:t>
      </w:r>
      <w:r w:rsidRPr="000F4A43">
        <w:rPr>
          <w:rFonts w:ascii="Verdana" w:hAnsi="Verdana" w:cs="Segoe UI"/>
          <w:color w:val="000000"/>
          <w:sz w:val="16"/>
          <w:szCs w:val="16"/>
          <w:lang w:val="en-GB"/>
        </w:rPr>
        <w:t xml:space="preserve">; </w:t>
      </w:r>
    </w:p>
    <w:p w14:paraId="318B55E5" w14:textId="77777777" w:rsidR="006B31EF" w:rsidRPr="000F4A43" w:rsidRDefault="006B31EF" w:rsidP="00A13462">
      <w:pPr>
        <w:pStyle w:val="WDBodySmall"/>
        <w:numPr>
          <w:ilvl w:val="0"/>
          <w:numId w:val="33"/>
        </w:numPr>
        <w:rPr>
          <w:rFonts w:ascii="Verdana" w:hAnsi="Verdana"/>
        </w:rPr>
      </w:pPr>
      <w:r w:rsidRPr="000F4A43">
        <w:rPr>
          <w:rFonts w:ascii="Verdana" w:hAnsi="Verdana" w:cs="Segoe UI"/>
          <w:szCs w:val="16"/>
        </w:rPr>
        <w:t>“No” cover Member States that do not report costs of measures in the 2</w:t>
      </w:r>
      <w:r w:rsidRPr="000F4A43">
        <w:rPr>
          <w:rFonts w:ascii="Verdana" w:hAnsi="Verdana" w:cs="Segoe UI"/>
          <w:szCs w:val="16"/>
          <w:vertAlign w:val="superscript"/>
        </w:rPr>
        <w:t>nd</w:t>
      </w:r>
      <w:r w:rsidRPr="000F4A43">
        <w:rPr>
          <w:rFonts w:ascii="Verdana" w:hAnsi="Verdana" w:cs="Segoe UI"/>
          <w:szCs w:val="16"/>
        </w:rPr>
        <w:t xml:space="preserve"> RBMPs</w:t>
      </w:r>
    </w:p>
    <w:p w14:paraId="496AED89" w14:textId="77777777" w:rsidR="006B31EF" w:rsidRPr="000F4A43" w:rsidRDefault="006B31EF" w:rsidP="006B31EF">
      <w:pPr>
        <w:pStyle w:val="WDBodySmall"/>
        <w:rPr>
          <w:rFonts w:ascii="Verdana" w:hAnsi="Verdana"/>
        </w:rPr>
      </w:pPr>
      <w:r w:rsidRPr="000F4A43">
        <w:rPr>
          <w:rFonts w:ascii="Verdana" w:hAnsi="Verdana"/>
        </w:rPr>
        <w:t>Source: Data extracted from country information collated by the project team and provided by Member States</w:t>
      </w:r>
      <w:r w:rsidRPr="000F4A43" w:rsidDel="00D820E6">
        <w:rPr>
          <w:rFonts w:ascii="Verdana" w:hAnsi="Verdana"/>
        </w:rPr>
        <w:t xml:space="preserve"> </w:t>
      </w:r>
    </w:p>
    <w:p w14:paraId="26277537" w14:textId="44F399B0" w:rsidR="006B31EF" w:rsidRDefault="006B31EF" w:rsidP="006B31EF">
      <w:pPr>
        <w:pStyle w:val="Body"/>
        <w:rPr>
          <w:b/>
          <w:lang w:val="en-US"/>
        </w:rPr>
      </w:pPr>
    </w:p>
    <w:p w14:paraId="505BC76F" w14:textId="77777777" w:rsidR="000F4A43" w:rsidRPr="006B31EF" w:rsidRDefault="000F4A43" w:rsidP="006B31EF">
      <w:pPr>
        <w:pStyle w:val="Body"/>
        <w:rPr>
          <w:b/>
          <w:lang w:val="en-US"/>
        </w:rPr>
      </w:pPr>
    </w:p>
    <w:p w14:paraId="52C88DA8" w14:textId="77777777" w:rsidR="006B31EF" w:rsidRPr="006B31EF" w:rsidRDefault="006B31EF" w:rsidP="000F4A43">
      <w:pPr>
        <w:pStyle w:val="Body"/>
        <w:rPr>
          <w:rFonts w:eastAsiaTheme="minorHAnsi"/>
          <w:lang w:val="en-US"/>
        </w:rPr>
      </w:pPr>
      <w:r w:rsidRPr="006B31EF">
        <w:rPr>
          <w:rFonts w:eastAsiaTheme="minorHAnsi"/>
          <w:lang w:val="en-US"/>
        </w:rPr>
        <w:t xml:space="preserve">In many instances where </w:t>
      </w:r>
      <w:r w:rsidRPr="006B31EF">
        <w:rPr>
          <w:rFonts w:eastAsiaTheme="minorHAnsi"/>
          <w:b/>
          <w:lang w:val="en-US"/>
        </w:rPr>
        <w:t>cost estimates</w:t>
      </w:r>
      <w:r w:rsidRPr="006B31EF">
        <w:rPr>
          <w:rFonts w:eastAsiaTheme="minorHAnsi"/>
          <w:lang w:val="en-US"/>
        </w:rPr>
        <w:t xml:space="preserve"> are available, these </w:t>
      </w:r>
      <w:r w:rsidRPr="006B31EF">
        <w:rPr>
          <w:rFonts w:eastAsiaTheme="minorHAnsi"/>
          <w:b/>
          <w:lang w:val="en-US"/>
        </w:rPr>
        <w:t>are partial</w:t>
      </w:r>
      <w:r w:rsidRPr="006B31EF">
        <w:rPr>
          <w:rFonts w:eastAsiaTheme="minorHAnsi"/>
          <w:lang w:val="en-US"/>
        </w:rPr>
        <w:t xml:space="preserve"> in terms of:</w:t>
      </w:r>
    </w:p>
    <w:p w14:paraId="72EF353A" w14:textId="77777777" w:rsidR="006B31EF" w:rsidRPr="000F4A43" w:rsidRDefault="006B31EF" w:rsidP="00A13462">
      <w:pPr>
        <w:pStyle w:val="Body"/>
        <w:numPr>
          <w:ilvl w:val="0"/>
          <w:numId w:val="34"/>
        </w:numPr>
        <w:rPr>
          <w:lang w:val="en-US"/>
        </w:rPr>
      </w:pPr>
      <w:r w:rsidRPr="000F4A43">
        <w:rPr>
          <w:lang w:val="en-US"/>
        </w:rPr>
        <w:t xml:space="preserve">The </w:t>
      </w:r>
      <w:r w:rsidRPr="000F4A43">
        <w:rPr>
          <w:i/>
          <w:lang w:val="en-US"/>
        </w:rPr>
        <w:t>types of measures</w:t>
      </w:r>
      <w:r w:rsidRPr="000F4A43">
        <w:rPr>
          <w:lang w:val="en-US"/>
        </w:rPr>
        <w:t>, providing the costs for some types of measures only. For example, the costs of basic measures are not reported by Belgium,  the costs of supplementary measures are not reported by Luxembourg;</w:t>
      </w:r>
    </w:p>
    <w:p w14:paraId="5DD9F20C" w14:textId="77777777" w:rsidR="006B31EF" w:rsidRPr="000F4A43" w:rsidRDefault="006B31EF" w:rsidP="00A13462">
      <w:pPr>
        <w:pStyle w:val="Body"/>
        <w:numPr>
          <w:ilvl w:val="0"/>
          <w:numId w:val="34"/>
        </w:numPr>
        <w:rPr>
          <w:lang w:val="en-US"/>
        </w:rPr>
      </w:pPr>
      <w:r w:rsidRPr="000F4A43">
        <w:rPr>
          <w:lang w:val="en-US"/>
        </w:rPr>
        <w:t xml:space="preserve">Selected </w:t>
      </w:r>
      <w:r w:rsidRPr="000F4A43">
        <w:rPr>
          <w:i/>
          <w:lang w:val="en-US"/>
        </w:rPr>
        <w:t>measures</w:t>
      </w:r>
      <w:r w:rsidRPr="000F4A43">
        <w:rPr>
          <w:lang w:val="en-US"/>
        </w:rPr>
        <w:t>, providing cost estimates for some individual measures but not for others;</w:t>
      </w:r>
    </w:p>
    <w:p w14:paraId="0D27997E" w14:textId="77777777" w:rsidR="006B31EF" w:rsidRPr="000F4A43" w:rsidRDefault="006B31EF" w:rsidP="00A13462">
      <w:pPr>
        <w:pStyle w:val="Body"/>
        <w:numPr>
          <w:ilvl w:val="0"/>
          <w:numId w:val="34"/>
        </w:numPr>
        <w:rPr>
          <w:lang w:val="en-US"/>
        </w:rPr>
      </w:pPr>
      <w:r w:rsidRPr="000F4A43">
        <w:rPr>
          <w:lang w:val="en-US"/>
        </w:rPr>
        <w:t xml:space="preserve">Selected </w:t>
      </w:r>
      <w:r w:rsidRPr="000F4A43">
        <w:rPr>
          <w:i/>
          <w:lang w:val="en-US"/>
        </w:rPr>
        <w:t xml:space="preserve">areas </w:t>
      </w:r>
      <w:r w:rsidRPr="000F4A43">
        <w:rPr>
          <w:lang w:val="en-US"/>
        </w:rPr>
        <w:t>– estimating costs in selected River Basin Districts only;</w:t>
      </w:r>
    </w:p>
    <w:p w14:paraId="4338362A" w14:textId="77777777" w:rsidR="006B31EF" w:rsidRPr="000F4A43" w:rsidRDefault="006B31EF" w:rsidP="00A13462">
      <w:pPr>
        <w:pStyle w:val="Body"/>
        <w:numPr>
          <w:ilvl w:val="0"/>
          <w:numId w:val="34"/>
        </w:numPr>
        <w:rPr>
          <w:lang w:val="en-US"/>
        </w:rPr>
      </w:pPr>
      <w:r w:rsidRPr="000F4A43">
        <w:rPr>
          <w:lang w:val="en-US"/>
        </w:rPr>
        <w:t xml:space="preserve">Selected </w:t>
      </w:r>
      <w:r w:rsidRPr="000F4A43">
        <w:rPr>
          <w:i/>
          <w:lang w:val="en-US"/>
        </w:rPr>
        <w:t>sectors</w:t>
      </w:r>
      <w:r w:rsidRPr="000F4A43">
        <w:rPr>
          <w:lang w:val="en-US"/>
        </w:rPr>
        <w:t xml:space="preserve"> – excluding certain types of costs from cost appraisals e.g. private industry costs associated with abatement measures, or the non-financial costs of measures implemented by farmers (e.g. loss of yields).</w:t>
      </w:r>
    </w:p>
    <w:p w14:paraId="5E82B65C" w14:textId="77777777" w:rsidR="006B31EF" w:rsidRPr="006B31EF" w:rsidRDefault="006B31EF" w:rsidP="006B31EF">
      <w:pPr>
        <w:pStyle w:val="Body"/>
        <w:rPr>
          <w:lang w:val="en-US"/>
        </w:rPr>
      </w:pPr>
      <w:r w:rsidRPr="006B31EF">
        <w:rPr>
          <w:lang w:val="en-US"/>
        </w:rPr>
        <w:t>Available estimates of capital investment costs of measures included in the 2</w:t>
      </w:r>
      <w:r w:rsidRPr="006B31EF">
        <w:rPr>
          <w:vertAlign w:val="superscript"/>
          <w:lang w:val="en-US"/>
        </w:rPr>
        <w:t>nd</w:t>
      </w:r>
      <w:r w:rsidRPr="006B31EF">
        <w:rPr>
          <w:lang w:val="en-US"/>
        </w:rPr>
        <w:t xml:space="preserve"> RBMPs are presented in the Figure below. The cost estimates, however, should be treated with caution, as for some countries these are partial (for the reasons stated above). For instance, values for Belgium, Netherlands and Lithuania only encompass costs of supplementary measures, while cost estimates for Luxembourg only cover basic measures.   </w:t>
      </w:r>
    </w:p>
    <w:p w14:paraId="666DDF17" w14:textId="676413C6" w:rsidR="006B31EF" w:rsidRPr="000F4A43" w:rsidRDefault="000F4A43" w:rsidP="000F4A43">
      <w:pPr>
        <w:pStyle w:val="Caption"/>
        <w:rPr>
          <w:rFonts w:ascii="Verdana" w:hAnsi="Verdana"/>
          <w:color w:val="548DD4" w:themeColor="text2" w:themeTint="99"/>
          <w:sz w:val="18"/>
          <w:szCs w:val="18"/>
          <w:lang w:val="en-US"/>
        </w:rPr>
      </w:pPr>
      <w:bookmarkStart w:id="52" w:name="_Toc56669501"/>
      <w:bookmarkStart w:id="53" w:name="_Toc56776750"/>
      <w:bookmarkStart w:id="54" w:name="_Toc59181815"/>
      <w:r w:rsidRPr="000F4A43">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2</w:t>
      </w:r>
      <w:r w:rsidR="00E14072">
        <w:rPr>
          <w:rFonts w:ascii="Verdana" w:hAnsi="Verdana"/>
          <w:color w:val="548DD4" w:themeColor="text2" w:themeTint="99"/>
          <w:sz w:val="18"/>
          <w:szCs w:val="18"/>
          <w:lang w:val="en-US"/>
        </w:rPr>
        <w:fldChar w:fldCharType="end"/>
      </w:r>
      <w:r w:rsidRPr="000F4A43">
        <w:rPr>
          <w:rFonts w:ascii="Verdana" w:hAnsi="Verdana"/>
          <w:color w:val="548DD4" w:themeColor="text2" w:themeTint="99"/>
          <w:sz w:val="18"/>
          <w:szCs w:val="18"/>
          <w:lang w:val="en-US"/>
        </w:rPr>
        <w:t xml:space="preserve"> </w:t>
      </w:r>
      <w:r w:rsidR="006B31EF" w:rsidRPr="000F4A43">
        <w:rPr>
          <w:rFonts w:ascii="Verdana" w:hAnsi="Verdana"/>
          <w:color w:val="548DD4" w:themeColor="text2" w:themeTint="99"/>
          <w:sz w:val="18"/>
          <w:szCs w:val="18"/>
          <w:lang w:val="en-US"/>
        </w:rPr>
        <w:t>Capital investment costs of all (basic and supplementary) measures in the 2nd RBMPs (2016-2021) (EUR million)</w:t>
      </w:r>
      <w:bookmarkEnd w:id="52"/>
      <w:bookmarkEnd w:id="53"/>
      <w:bookmarkEnd w:id="54"/>
    </w:p>
    <w:p w14:paraId="2014509F" w14:textId="77777777" w:rsidR="006B31EF" w:rsidRPr="00736A50" w:rsidRDefault="006B31EF" w:rsidP="006B31EF">
      <w:pPr>
        <w:pStyle w:val="Body"/>
        <w:jc w:val="center"/>
        <w:rPr>
          <w:lang w:eastAsia="en-GB"/>
        </w:rPr>
      </w:pPr>
      <w:r>
        <w:rPr>
          <w:noProof/>
          <w:lang w:val="en-US"/>
        </w:rPr>
        <w:drawing>
          <wp:inline distT="0" distB="0" distL="0" distR="0" wp14:anchorId="55D7F10F" wp14:editId="6E945062">
            <wp:extent cx="5623560" cy="5250180"/>
            <wp:effectExtent l="0" t="0" r="15240" b="7620"/>
            <wp:docPr id="29" name="Chart 2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65A061" w14:textId="77777777" w:rsidR="006B31EF" w:rsidRPr="00736A50" w:rsidRDefault="006B31EF" w:rsidP="006B31EF">
      <w:pPr>
        <w:pStyle w:val="WDBodySmall"/>
      </w:pPr>
      <w:r w:rsidRPr="000F4CBE">
        <w:t xml:space="preserve">Source: Data extracted from country information collated by the project team and provided by Member </w:t>
      </w:r>
      <w:r w:rsidRPr="00736A50">
        <w:t>States</w:t>
      </w:r>
      <w:r w:rsidRPr="000F4CBE">
        <w:t xml:space="preserve"> Finland is not included as only provides annual costs</w:t>
      </w:r>
      <w:r w:rsidRPr="00736A50">
        <w:t xml:space="preserve">. </w:t>
      </w:r>
      <w:r>
        <w:t>Germany did not report total costs of the 2</w:t>
      </w:r>
      <w:r w:rsidRPr="0040676E">
        <w:rPr>
          <w:vertAlign w:val="superscript"/>
        </w:rPr>
        <w:t>nd</w:t>
      </w:r>
      <w:r>
        <w:t xml:space="preserve"> RBMPs and value presented reflect manual aggregation of costs from selected individual RBMPs.</w:t>
      </w:r>
    </w:p>
    <w:p w14:paraId="43C6810E" w14:textId="77777777" w:rsidR="006B31EF" w:rsidRPr="00736A50" w:rsidRDefault="006B31EF" w:rsidP="006B31EF">
      <w:pPr>
        <w:pStyle w:val="WDBodySmall"/>
      </w:pPr>
    </w:p>
    <w:p w14:paraId="3151CB6E" w14:textId="77777777" w:rsidR="006B31EF" w:rsidRPr="006B31EF" w:rsidRDefault="006B31EF" w:rsidP="006B31EF">
      <w:pPr>
        <w:pStyle w:val="Body"/>
        <w:rPr>
          <w:lang w:val="en-US"/>
        </w:rPr>
      </w:pPr>
      <w:r w:rsidRPr="006B31EF">
        <w:rPr>
          <w:lang w:val="en-US"/>
        </w:rPr>
        <w:t xml:space="preserve">In total, </w:t>
      </w:r>
      <w:r w:rsidRPr="006B31EF">
        <w:rPr>
          <w:b/>
          <w:lang w:val="en-US"/>
        </w:rPr>
        <w:t xml:space="preserve">capital investment costs </w:t>
      </w:r>
      <w:r w:rsidRPr="006B31EF">
        <w:rPr>
          <w:bCs/>
          <w:lang w:val="en-US"/>
        </w:rPr>
        <w:t>of the measures planned in the 2</w:t>
      </w:r>
      <w:r w:rsidRPr="006B31EF">
        <w:rPr>
          <w:bCs/>
          <w:vertAlign w:val="superscript"/>
          <w:lang w:val="en-US"/>
        </w:rPr>
        <w:t>nd</w:t>
      </w:r>
      <w:r w:rsidRPr="006B31EF">
        <w:rPr>
          <w:bCs/>
          <w:lang w:val="en-US"/>
        </w:rPr>
        <w:t xml:space="preserve"> RBMPs reach</w:t>
      </w:r>
      <w:r w:rsidRPr="006B31EF">
        <w:rPr>
          <w:b/>
          <w:lang w:val="en-US"/>
        </w:rPr>
        <w:t xml:space="preserve"> at least EUR 130 billion </w:t>
      </w:r>
      <w:r w:rsidRPr="006B31EF">
        <w:rPr>
          <w:bCs/>
          <w:lang w:val="en-US"/>
        </w:rPr>
        <w:t>(likely an underestimation in light of the comments made above).</w:t>
      </w:r>
      <w:r w:rsidRPr="006B31EF">
        <w:rPr>
          <w:lang w:val="en-US"/>
        </w:rPr>
        <w:t xml:space="preserve"> This largely correlates in order of magnitude with the estimated total capital investment costs in the 5</w:t>
      </w:r>
      <w:r w:rsidRPr="006B31EF">
        <w:rPr>
          <w:vertAlign w:val="superscript"/>
          <w:lang w:val="en-US"/>
        </w:rPr>
        <w:t>th</w:t>
      </w:r>
      <w:r w:rsidRPr="006B31EF">
        <w:rPr>
          <w:lang w:val="en-US"/>
        </w:rPr>
        <w:t xml:space="preserve"> Implementation report</w:t>
      </w:r>
      <w:r w:rsidRPr="00736A50">
        <w:rPr>
          <w:vertAlign w:val="superscript"/>
        </w:rPr>
        <w:footnoteReference w:id="26"/>
      </w:r>
      <w:r w:rsidRPr="006B31EF">
        <w:rPr>
          <w:lang w:val="en-US"/>
        </w:rPr>
        <w:t xml:space="preserve"> of EUR 115.6 billon</w:t>
      </w:r>
      <w:r w:rsidRPr="00736A50">
        <w:rPr>
          <w:rStyle w:val="FootnoteReference"/>
        </w:rPr>
        <w:footnoteReference w:id="27"/>
      </w:r>
      <w:r w:rsidRPr="006B31EF">
        <w:rPr>
          <w:lang w:val="en-US"/>
        </w:rPr>
        <w:t xml:space="preserve"> and may reflect updated information since</w:t>
      </w:r>
      <w:r w:rsidRPr="00736A50">
        <w:rPr>
          <w:rStyle w:val="FootnoteReference"/>
        </w:rPr>
        <w:footnoteReference w:id="28"/>
      </w:r>
      <w:r w:rsidRPr="006B31EF">
        <w:rPr>
          <w:lang w:val="en-US"/>
        </w:rPr>
        <w:t xml:space="preserve">. </w:t>
      </w:r>
    </w:p>
    <w:p w14:paraId="29F61088" w14:textId="77777777" w:rsidR="006B31EF" w:rsidRPr="006B31EF" w:rsidRDefault="006B31EF" w:rsidP="006B31EF">
      <w:pPr>
        <w:pStyle w:val="Body"/>
        <w:rPr>
          <w:lang w:val="en-US"/>
        </w:rPr>
      </w:pPr>
      <w:r w:rsidRPr="006B31EF">
        <w:rPr>
          <w:lang w:val="en-US"/>
        </w:rPr>
        <w:t xml:space="preserve">The knowledge is even more partial when considering </w:t>
      </w:r>
      <w:r w:rsidRPr="006B31EF">
        <w:rPr>
          <w:b/>
          <w:lang w:val="en-US"/>
        </w:rPr>
        <w:t>available cost data separately for</w:t>
      </w:r>
      <w:r w:rsidRPr="006B31EF">
        <w:rPr>
          <w:lang w:val="en-US"/>
        </w:rPr>
        <w:t xml:space="preserve"> </w:t>
      </w:r>
      <w:r w:rsidRPr="006B31EF">
        <w:rPr>
          <w:b/>
          <w:lang w:val="en-US"/>
        </w:rPr>
        <w:t>basic measures</w:t>
      </w:r>
      <w:r w:rsidRPr="006B31EF">
        <w:rPr>
          <w:lang w:val="en-US"/>
        </w:rPr>
        <w:t xml:space="preserve"> (Art 11(3)(a)) and </w:t>
      </w:r>
      <w:r w:rsidRPr="006B31EF">
        <w:rPr>
          <w:b/>
          <w:lang w:val="en-US"/>
        </w:rPr>
        <w:t>supplementary measures</w:t>
      </w:r>
      <w:r>
        <w:rPr>
          <w:rStyle w:val="FootnoteReference"/>
          <w:b/>
        </w:rPr>
        <w:footnoteReference w:id="29"/>
      </w:r>
      <w:r w:rsidRPr="006B31EF">
        <w:rPr>
          <w:lang w:val="en-US"/>
        </w:rPr>
        <w:t xml:space="preserve"> (Art 11(3)(b-l), 11(4) and 11(5)) included in the 2</w:t>
      </w:r>
      <w:r w:rsidRPr="006B31EF">
        <w:rPr>
          <w:vertAlign w:val="superscript"/>
          <w:lang w:val="en-US"/>
        </w:rPr>
        <w:t>nd</w:t>
      </w:r>
      <w:r w:rsidRPr="006B31EF">
        <w:rPr>
          <w:lang w:val="en-US"/>
        </w:rPr>
        <w:t xml:space="preserve"> RBMPs (see Figure below). </w:t>
      </w:r>
    </w:p>
    <w:p w14:paraId="5FE4F584" w14:textId="6D161713" w:rsidR="006B31EF" w:rsidRPr="000F4A43" w:rsidRDefault="000F4A43" w:rsidP="000F4A43">
      <w:pPr>
        <w:pStyle w:val="Caption"/>
        <w:rPr>
          <w:rFonts w:ascii="Verdana" w:hAnsi="Verdana"/>
          <w:color w:val="548DD4" w:themeColor="text2" w:themeTint="99"/>
          <w:sz w:val="18"/>
          <w:szCs w:val="18"/>
          <w:lang w:val="en-US"/>
        </w:rPr>
      </w:pPr>
      <w:bookmarkStart w:id="55" w:name="_Toc56669502"/>
      <w:bookmarkStart w:id="56" w:name="_Toc56776751"/>
      <w:bookmarkStart w:id="57" w:name="_Toc59181816"/>
      <w:r w:rsidRPr="000F4A43">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Pr="000F4A43">
        <w:rPr>
          <w:rFonts w:ascii="Verdana" w:hAnsi="Verdana"/>
          <w:color w:val="548DD4" w:themeColor="text2" w:themeTint="99"/>
          <w:sz w:val="18"/>
          <w:szCs w:val="18"/>
          <w:lang w:val="en-US"/>
        </w:rPr>
        <w:t xml:space="preserve"> </w:t>
      </w:r>
      <w:r w:rsidR="006B31EF" w:rsidRPr="000F4A43">
        <w:rPr>
          <w:rFonts w:ascii="Verdana" w:hAnsi="Verdana"/>
          <w:color w:val="548DD4" w:themeColor="text2" w:themeTint="99"/>
          <w:sz w:val="18"/>
          <w:szCs w:val="18"/>
          <w:lang w:val="en-US"/>
        </w:rPr>
        <w:t>Knowledge base – number of countries reporting costs of basic and supplementary measures separately in the 2nd RBMPs</w:t>
      </w:r>
      <w:bookmarkEnd w:id="55"/>
      <w:bookmarkEnd w:id="56"/>
      <w:r w:rsidR="006B31EF" w:rsidRPr="000F4A43">
        <w:rPr>
          <w:rFonts w:ascii="Verdana" w:hAnsi="Verdana"/>
          <w:color w:val="548DD4" w:themeColor="text2" w:themeTint="99"/>
          <w:sz w:val="18"/>
          <w:szCs w:val="18"/>
          <w:lang w:val="en-US"/>
        </w:rPr>
        <w:t xml:space="preserve"> (2016-2021)</w:t>
      </w:r>
      <w:bookmarkEnd w:id="57"/>
    </w:p>
    <w:p w14:paraId="6DABA710" w14:textId="77777777" w:rsidR="006B31EF" w:rsidRPr="00736A50" w:rsidRDefault="006B31EF" w:rsidP="006B31EF">
      <w:pPr>
        <w:pStyle w:val="Body"/>
        <w:rPr>
          <w:lang w:eastAsia="en-GB"/>
        </w:rPr>
      </w:pPr>
      <w:r w:rsidRPr="0040676E">
        <w:rPr>
          <w:noProof/>
          <w:lang w:val="en-US"/>
        </w:rPr>
        <w:drawing>
          <wp:inline distT="0" distB="0" distL="0" distR="0" wp14:anchorId="4F645AD2" wp14:editId="57FD1895">
            <wp:extent cx="6054090" cy="27254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4090" cy="2725420"/>
                    </a:xfrm>
                    <a:prstGeom prst="rect">
                      <a:avLst/>
                    </a:prstGeom>
                    <a:noFill/>
                  </pic:spPr>
                </pic:pic>
              </a:graphicData>
            </a:graphic>
          </wp:inline>
        </w:drawing>
      </w:r>
    </w:p>
    <w:p w14:paraId="6D34F00B" w14:textId="77777777" w:rsidR="006B31EF" w:rsidRPr="000F4CBE" w:rsidRDefault="006B31EF" w:rsidP="006B31EF">
      <w:pPr>
        <w:spacing w:after="0"/>
        <w:rPr>
          <w:rFonts w:ascii="Segoe UI" w:hAnsi="Segoe UI" w:cs="Segoe UI"/>
          <w:sz w:val="16"/>
          <w:szCs w:val="16"/>
        </w:rPr>
      </w:pPr>
      <w:r w:rsidRPr="000F4CBE">
        <w:rPr>
          <w:rFonts w:ascii="Segoe UI" w:hAnsi="Segoe UI" w:cs="Segoe UI"/>
          <w:sz w:val="16"/>
          <w:szCs w:val="16"/>
        </w:rPr>
        <w:t xml:space="preserve">Note: </w:t>
      </w:r>
    </w:p>
    <w:p w14:paraId="22E9D11B" w14:textId="77777777" w:rsidR="006B31EF" w:rsidRPr="00B22401" w:rsidRDefault="006B31EF" w:rsidP="00A13462">
      <w:pPr>
        <w:pStyle w:val="ListParagraph"/>
        <w:numPr>
          <w:ilvl w:val="0"/>
          <w:numId w:val="33"/>
        </w:numPr>
        <w:spacing w:after="0" w:line="240" w:lineRule="auto"/>
        <w:contextualSpacing w:val="0"/>
        <w:rPr>
          <w:rFonts w:cs="Segoe UI"/>
          <w:sz w:val="16"/>
          <w:szCs w:val="16"/>
          <w:lang w:val="en-GB"/>
        </w:rPr>
      </w:pPr>
      <w:r w:rsidRPr="00B22401">
        <w:rPr>
          <w:rFonts w:cs="Segoe UI"/>
          <w:sz w:val="16"/>
          <w:szCs w:val="16"/>
          <w:lang w:val="en-GB"/>
        </w:rPr>
        <w:t>“Yes” cover Member States that report costs of basic and supplementary measures separately in the 2</w:t>
      </w:r>
      <w:r w:rsidRPr="00B22401">
        <w:rPr>
          <w:rFonts w:cs="Segoe UI"/>
          <w:sz w:val="16"/>
          <w:szCs w:val="16"/>
          <w:vertAlign w:val="superscript"/>
          <w:lang w:val="en-GB"/>
        </w:rPr>
        <w:t>nd</w:t>
      </w:r>
      <w:r w:rsidRPr="00B22401">
        <w:rPr>
          <w:rFonts w:cs="Segoe UI"/>
          <w:sz w:val="16"/>
          <w:szCs w:val="16"/>
          <w:lang w:val="en-GB"/>
        </w:rPr>
        <w:t xml:space="preserve"> RBMPs; </w:t>
      </w:r>
    </w:p>
    <w:p w14:paraId="7F07BD11" w14:textId="77777777" w:rsidR="006B31EF" w:rsidRPr="00B22401" w:rsidRDefault="006B31EF" w:rsidP="00A13462">
      <w:pPr>
        <w:pStyle w:val="ListParagraph"/>
        <w:numPr>
          <w:ilvl w:val="0"/>
          <w:numId w:val="33"/>
        </w:numPr>
        <w:spacing w:after="0" w:line="240" w:lineRule="auto"/>
        <w:contextualSpacing w:val="0"/>
        <w:rPr>
          <w:rFonts w:cs="Segoe UI"/>
          <w:color w:val="000000"/>
          <w:sz w:val="16"/>
          <w:szCs w:val="16"/>
          <w:lang w:val="en-GB"/>
        </w:rPr>
      </w:pPr>
      <w:r w:rsidRPr="00B22401">
        <w:rPr>
          <w:rFonts w:cs="Segoe UI"/>
          <w:sz w:val="16"/>
          <w:szCs w:val="16"/>
          <w:lang w:val="en-GB"/>
        </w:rPr>
        <w:t>“Yes, partial” cover Member States that provide costs of basic and supplementary measures separately but partially, e.g. for selected RBDs rather than the country</w:t>
      </w:r>
      <w:r w:rsidRPr="00B22401">
        <w:rPr>
          <w:rFonts w:cs="Segoe UI"/>
          <w:color w:val="000000"/>
          <w:sz w:val="16"/>
          <w:szCs w:val="16"/>
          <w:lang w:val="en-GB"/>
        </w:rPr>
        <w:t xml:space="preserve">; </w:t>
      </w:r>
    </w:p>
    <w:p w14:paraId="66ED2138" w14:textId="77777777" w:rsidR="006B31EF" w:rsidRPr="00736A50" w:rsidRDefault="006B31EF" w:rsidP="00A13462">
      <w:pPr>
        <w:pStyle w:val="WDBodySmall"/>
        <w:numPr>
          <w:ilvl w:val="0"/>
          <w:numId w:val="33"/>
        </w:numPr>
      </w:pPr>
      <w:r w:rsidRPr="00736A50">
        <w:rPr>
          <w:rFonts w:cs="Segoe UI"/>
          <w:szCs w:val="16"/>
        </w:rPr>
        <w:t>“No” cover Member States that do not report costs of basic and supplementary measures s</w:t>
      </w:r>
      <w:r w:rsidRPr="000F4CBE">
        <w:rPr>
          <w:rFonts w:cs="Segoe UI"/>
          <w:szCs w:val="16"/>
        </w:rPr>
        <w:t>eparately in the 2</w:t>
      </w:r>
      <w:r w:rsidRPr="00736A50">
        <w:rPr>
          <w:rFonts w:cs="Segoe UI"/>
          <w:szCs w:val="16"/>
          <w:vertAlign w:val="superscript"/>
        </w:rPr>
        <w:t>nd</w:t>
      </w:r>
      <w:r w:rsidRPr="00736A50">
        <w:rPr>
          <w:rFonts w:cs="Segoe UI"/>
          <w:szCs w:val="16"/>
        </w:rPr>
        <w:t xml:space="preserve"> RBMPs</w:t>
      </w:r>
    </w:p>
    <w:p w14:paraId="32205EDA" w14:textId="77777777" w:rsidR="006B31EF" w:rsidRPr="000F4CBE" w:rsidRDefault="006B31EF" w:rsidP="006B31EF">
      <w:pPr>
        <w:pStyle w:val="WDBodySmall"/>
      </w:pPr>
      <w:r w:rsidRPr="00736A50">
        <w:t>Source: Data extracted from country information collated by the project team and provided by Member States</w:t>
      </w:r>
    </w:p>
    <w:p w14:paraId="1EE38E30" w14:textId="77777777" w:rsidR="006B31EF" w:rsidRPr="006B31EF" w:rsidRDefault="006B31EF" w:rsidP="006B31EF">
      <w:pPr>
        <w:pStyle w:val="Body"/>
        <w:rPr>
          <w:lang w:val="en-US"/>
        </w:rPr>
      </w:pPr>
    </w:p>
    <w:p w14:paraId="1AD29BBC" w14:textId="77777777" w:rsidR="006B31EF" w:rsidRPr="006B31EF" w:rsidRDefault="006B31EF" w:rsidP="006B31EF">
      <w:pPr>
        <w:pStyle w:val="Body"/>
        <w:rPr>
          <w:lang w:val="en-US"/>
        </w:rPr>
      </w:pPr>
      <w:r w:rsidRPr="006B31EF">
        <w:rPr>
          <w:lang w:val="en-US"/>
        </w:rPr>
        <w:t>In general, between 59% and 67% of Member States reported estimated capital investment costs of basic and supplementary measures in their 2</w:t>
      </w:r>
      <w:r w:rsidRPr="006B31EF">
        <w:rPr>
          <w:vertAlign w:val="superscript"/>
          <w:lang w:val="en-US"/>
        </w:rPr>
        <w:t>nd</w:t>
      </w:r>
      <w:r w:rsidRPr="006B31EF">
        <w:rPr>
          <w:lang w:val="en-US"/>
        </w:rPr>
        <w:t xml:space="preserve"> RBMPs (2016-2021). The knowledge base on operational and maintenance costs is relatively poorer (ranging from 33% to 41% of Member States for basic and supplementary measures. It should, however, be noted that some countries do not separately estimate and report on the costs of basic measures as these form part of ongoing budgetary expenditures. </w:t>
      </w:r>
    </w:p>
    <w:p w14:paraId="1CAD3C0A" w14:textId="77777777" w:rsidR="006B31EF" w:rsidRPr="006B31EF" w:rsidRDefault="006B31EF" w:rsidP="006B31EF">
      <w:pPr>
        <w:pStyle w:val="Body"/>
        <w:rPr>
          <w:lang w:val="en-US"/>
        </w:rPr>
      </w:pPr>
      <w:r w:rsidRPr="006B31EF">
        <w:rPr>
          <w:lang w:val="en-US"/>
        </w:rPr>
        <w:t>The 5</w:t>
      </w:r>
      <w:r w:rsidRPr="006B31EF">
        <w:rPr>
          <w:vertAlign w:val="superscript"/>
          <w:lang w:val="en-US"/>
        </w:rPr>
        <w:t>th</w:t>
      </w:r>
      <w:r w:rsidRPr="006B31EF">
        <w:rPr>
          <w:lang w:val="en-US"/>
        </w:rPr>
        <w:t xml:space="preserve"> Implementation report</w:t>
      </w:r>
      <w:r w:rsidRPr="00736A50">
        <w:rPr>
          <w:vertAlign w:val="superscript"/>
        </w:rPr>
        <w:footnoteReference w:id="30"/>
      </w:r>
      <w:r w:rsidRPr="006B31EF">
        <w:rPr>
          <w:lang w:val="en-US"/>
        </w:rPr>
        <w:t xml:space="preserve"> estimated that the total capital investment costs needed for Article 11(3)(a) measures from 2016-2021 will be at least EUR 56 billion, while the total capital investment costs for measures required by Articles 11(3)(b-l), 11(4) and 11(5) amounting to at least EUR 59.6 billion</w:t>
      </w:r>
      <w:r w:rsidRPr="00736A50">
        <w:rPr>
          <w:vertAlign w:val="superscript"/>
        </w:rPr>
        <w:footnoteReference w:id="31"/>
      </w:r>
      <w:r w:rsidRPr="006B31EF">
        <w:rPr>
          <w:lang w:val="en-US"/>
        </w:rPr>
        <w:t>, representing a 48% versus 52% balance between basic and supplementary measures in aggregated terms.</w:t>
      </w:r>
    </w:p>
    <w:p w14:paraId="3CE4FCB6" w14:textId="77777777" w:rsidR="006B31EF" w:rsidRPr="006B31EF" w:rsidRDefault="006B31EF" w:rsidP="006B31EF">
      <w:pPr>
        <w:pStyle w:val="Body"/>
        <w:rPr>
          <w:lang w:val="en-US"/>
        </w:rPr>
      </w:pPr>
      <w:r w:rsidRPr="006B31EF">
        <w:rPr>
          <w:lang w:val="en-US"/>
        </w:rPr>
        <w:t xml:space="preserve">On a country basis, there is </w:t>
      </w:r>
      <w:r w:rsidRPr="006B31EF">
        <w:rPr>
          <w:b/>
          <w:lang w:val="en-US"/>
        </w:rPr>
        <w:t>significant fluctuation in the shares of basic and supplementary measures in total capital investment costs of measures</w:t>
      </w:r>
      <w:r w:rsidRPr="006B31EF">
        <w:rPr>
          <w:lang w:val="en-US"/>
        </w:rPr>
        <w:t xml:space="preserve"> included in the 2</w:t>
      </w:r>
      <w:r w:rsidRPr="006B31EF">
        <w:rPr>
          <w:vertAlign w:val="superscript"/>
          <w:lang w:val="en-US"/>
        </w:rPr>
        <w:t>nd</w:t>
      </w:r>
      <w:r w:rsidRPr="006B31EF">
        <w:rPr>
          <w:lang w:val="en-US"/>
        </w:rPr>
        <w:t xml:space="preserve"> RBMPs (see Figure below). </w:t>
      </w:r>
    </w:p>
    <w:p w14:paraId="4F0F495B" w14:textId="0C600A6B" w:rsidR="006B31EF" w:rsidRPr="000F4A43" w:rsidRDefault="000F4A43" w:rsidP="000F4A43">
      <w:pPr>
        <w:pStyle w:val="Caption"/>
        <w:rPr>
          <w:rFonts w:ascii="Verdana" w:hAnsi="Verdana"/>
          <w:color w:val="548DD4" w:themeColor="text2" w:themeTint="99"/>
          <w:sz w:val="18"/>
          <w:szCs w:val="18"/>
          <w:lang w:val="en-US"/>
        </w:rPr>
      </w:pPr>
      <w:bookmarkStart w:id="58" w:name="_Toc56669503"/>
      <w:bookmarkStart w:id="59" w:name="_Toc56776752"/>
      <w:bookmarkStart w:id="60" w:name="_Toc59181817"/>
      <w:r w:rsidRPr="000F4A43">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4</w:t>
      </w:r>
      <w:r w:rsidR="00E14072">
        <w:rPr>
          <w:rFonts w:ascii="Verdana" w:hAnsi="Verdana"/>
          <w:color w:val="548DD4" w:themeColor="text2" w:themeTint="99"/>
          <w:sz w:val="18"/>
          <w:szCs w:val="18"/>
          <w:lang w:val="en-US"/>
        </w:rPr>
        <w:fldChar w:fldCharType="end"/>
      </w:r>
      <w:r w:rsidRPr="000F4A43">
        <w:rPr>
          <w:rFonts w:ascii="Verdana" w:hAnsi="Verdana"/>
          <w:color w:val="548DD4" w:themeColor="text2" w:themeTint="99"/>
          <w:sz w:val="18"/>
          <w:szCs w:val="18"/>
          <w:lang w:val="en-US"/>
        </w:rPr>
        <w:t xml:space="preserve"> </w:t>
      </w:r>
      <w:r w:rsidR="006B31EF" w:rsidRPr="000F4A43">
        <w:rPr>
          <w:rFonts w:ascii="Verdana" w:hAnsi="Verdana"/>
          <w:color w:val="548DD4" w:themeColor="text2" w:themeTint="99"/>
          <w:sz w:val="18"/>
          <w:szCs w:val="18"/>
          <w:lang w:val="en-US"/>
        </w:rPr>
        <w:t>Capital investment costs of measures - share of basic and supplementary measures in the total costs of 2nd RBMPs (2016-2021)</w:t>
      </w:r>
      <w:bookmarkEnd w:id="58"/>
      <w:bookmarkEnd w:id="59"/>
      <w:bookmarkEnd w:id="60"/>
    </w:p>
    <w:p w14:paraId="187E10A9" w14:textId="77777777" w:rsidR="006B31EF" w:rsidRPr="00736A50" w:rsidRDefault="006B31EF" w:rsidP="004679C7">
      <w:pPr>
        <w:pStyle w:val="Body"/>
        <w:ind w:left="-284"/>
        <w:rPr>
          <w:lang w:eastAsia="en-GB"/>
        </w:rPr>
      </w:pPr>
      <w:r>
        <w:rPr>
          <w:noProof/>
          <w:lang w:val="en-US"/>
        </w:rPr>
        <w:drawing>
          <wp:inline distT="0" distB="0" distL="0" distR="0" wp14:anchorId="23A4F45B" wp14:editId="0A3F13F0">
            <wp:extent cx="6120130" cy="3291840"/>
            <wp:effectExtent l="0" t="0" r="13970" b="3810"/>
            <wp:docPr id="32" name="Chart 3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751ECC0" w14:textId="77777777" w:rsidR="006B31EF" w:rsidRPr="000F4CBE" w:rsidRDefault="006B31EF" w:rsidP="006B31EF">
      <w:pPr>
        <w:pStyle w:val="WDBodySmall"/>
      </w:pPr>
      <w:r w:rsidRPr="000F4CBE">
        <w:t>Source: Data extracted from country information collated by the project team and provided by Member States</w:t>
      </w:r>
      <w:r w:rsidRPr="00736A50" w:rsidDel="00D820E6">
        <w:t xml:space="preserve"> </w:t>
      </w:r>
    </w:p>
    <w:p w14:paraId="5CF454EB" w14:textId="77777777" w:rsidR="006B31EF" w:rsidRPr="006B31EF" w:rsidRDefault="006B31EF" w:rsidP="006B31EF">
      <w:pPr>
        <w:pStyle w:val="Body"/>
        <w:rPr>
          <w:lang w:val="en-US"/>
        </w:rPr>
      </w:pPr>
    </w:p>
    <w:p w14:paraId="246AAD0A" w14:textId="77777777" w:rsidR="006B31EF" w:rsidRPr="006B31EF" w:rsidRDefault="006B31EF" w:rsidP="006B31EF">
      <w:pPr>
        <w:pStyle w:val="Body"/>
        <w:rPr>
          <w:lang w:val="en-US"/>
        </w:rPr>
      </w:pPr>
      <w:r w:rsidRPr="006B31EF">
        <w:rPr>
          <w:lang w:val="en-US"/>
        </w:rPr>
        <w:t>It ranges from 5% to 95% in Malta to 98% to 2% in Greece for basic and supplementary measures, respectively</w:t>
      </w:r>
      <w:r w:rsidRPr="00736A50">
        <w:rPr>
          <w:rStyle w:val="FootnoteReference"/>
        </w:rPr>
        <w:footnoteReference w:id="32"/>
      </w:r>
      <w:r w:rsidRPr="006B31EF">
        <w:rPr>
          <w:lang w:val="en-US"/>
        </w:rPr>
        <w:t xml:space="preserve">. In general, countries in Central and Eastern Europe still report significant capital investment costs related to the implementation of basic measures, including in the water supply and sanitation sectors. </w:t>
      </w:r>
    </w:p>
    <w:p w14:paraId="2B7D212A" w14:textId="2D4A61EB" w:rsidR="006B31EF" w:rsidRDefault="006B31EF" w:rsidP="006B31EF">
      <w:pPr>
        <w:pStyle w:val="Body"/>
        <w:rPr>
          <w:lang w:val="en-US"/>
        </w:rPr>
      </w:pPr>
      <w:r w:rsidRPr="006B31EF">
        <w:rPr>
          <w:lang w:val="en-US"/>
        </w:rPr>
        <w:t xml:space="preserve">Finally, very </w:t>
      </w:r>
      <w:r w:rsidRPr="006B31EF">
        <w:rPr>
          <w:b/>
          <w:lang w:val="en-US"/>
        </w:rPr>
        <w:t>few countries assess the total costs of achieving water policy goals</w:t>
      </w:r>
      <w:r w:rsidRPr="006B31EF">
        <w:rPr>
          <w:lang w:val="en-US"/>
        </w:rPr>
        <w:t xml:space="preserve"> (i.e. the costs of achieving the environmental objectives set by the WFD) as the majority of countries report the costs of their PoMs covering a 6 year period (see Figure below). Some countries, like Belgium, employ scenario approaches to estimate costs of achieving objectives while other countries (e.g. Estonia, Slovakia) focus such assessments on investing in water supply and sanitation infrastructure.</w:t>
      </w:r>
      <w:r w:rsidRPr="006B31EF" w:rsidDel="00C87454">
        <w:rPr>
          <w:lang w:val="en-US"/>
        </w:rPr>
        <w:t xml:space="preserve"> </w:t>
      </w:r>
      <w:r w:rsidRPr="006B31EF">
        <w:rPr>
          <w:lang w:val="en-US"/>
        </w:rPr>
        <w:t>(see</w:t>
      </w:r>
      <w:r w:rsidR="000F4A43" w:rsidRPr="000F4A43">
        <w:rPr>
          <w:lang w:val="en-US"/>
        </w:rPr>
        <w:t xml:space="preserve"> Figure 5.5 below</w:t>
      </w:r>
      <w:r w:rsidRPr="006B31EF">
        <w:rPr>
          <w:lang w:val="en-US"/>
        </w:rPr>
        <w:t>).</w:t>
      </w:r>
    </w:p>
    <w:p w14:paraId="199B4FDC" w14:textId="76537C71" w:rsidR="000F4A43" w:rsidRDefault="000F4A43" w:rsidP="006B31EF">
      <w:pPr>
        <w:pStyle w:val="Body"/>
        <w:rPr>
          <w:lang w:val="en-US"/>
        </w:rPr>
      </w:pPr>
    </w:p>
    <w:p w14:paraId="7BD9ECDD" w14:textId="77777777" w:rsidR="000F4A43" w:rsidRPr="006B31EF" w:rsidRDefault="000F4A43" w:rsidP="006B31EF">
      <w:pPr>
        <w:pStyle w:val="Body"/>
        <w:rPr>
          <w:lang w:val="en-US"/>
        </w:rPr>
      </w:pPr>
    </w:p>
    <w:p w14:paraId="7A6E1B80" w14:textId="57696941" w:rsidR="006B31EF" w:rsidRPr="000F4A43" w:rsidRDefault="000F4A43" w:rsidP="000F4A43">
      <w:pPr>
        <w:pStyle w:val="Caption"/>
        <w:rPr>
          <w:rFonts w:ascii="Verdana" w:hAnsi="Verdana"/>
          <w:color w:val="548DD4" w:themeColor="text2" w:themeTint="99"/>
          <w:sz w:val="18"/>
          <w:szCs w:val="18"/>
          <w:lang w:val="en-US"/>
        </w:rPr>
      </w:pPr>
      <w:bookmarkStart w:id="61" w:name="_Toc56669504"/>
      <w:bookmarkStart w:id="62" w:name="_Toc56776753"/>
      <w:bookmarkStart w:id="63" w:name="_Toc59181818"/>
      <w:r w:rsidRPr="000F4A43">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Pr="000F4A43">
        <w:rPr>
          <w:rFonts w:ascii="Verdana" w:hAnsi="Verdana"/>
          <w:color w:val="548DD4" w:themeColor="text2" w:themeTint="99"/>
          <w:sz w:val="18"/>
          <w:szCs w:val="18"/>
          <w:lang w:val="en-US"/>
        </w:rPr>
        <w:t xml:space="preserve"> </w:t>
      </w:r>
      <w:r w:rsidR="006B31EF" w:rsidRPr="000F4A43">
        <w:rPr>
          <w:rFonts w:ascii="Verdana" w:hAnsi="Verdana"/>
          <w:color w:val="548DD4" w:themeColor="text2" w:themeTint="99"/>
          <w:sz w:val="18"/>
          <w:szCs w:val="18"/>
          <w:lang w:val="en-US"/>
        </w:rPr>
        <w:t>Knowledge base – number of countries estimating costs of achieving WFD’s environmental objectives</w:t>
      </w:r>
      <w:bookmarkEnd w:id="61"/>
      <w:bookmarkEnd w:id="62"/>
      <w:bookmarkEnd w:id="63"/>
      <w:r w:rsidR="006B31EF" w:rsidRPr="000F4A43">
        <w:rPr>
          <w:rFonts w:ascii="Verdana" w:hAnsi="Verdana"/>
          <w:color w:val="548DD4" w:themeColor="text2" w:themeTint="99"/>
          <w:sz w:val="18"/>
          <w:szCs w:val="18"/>
          <w:lang w:val="en-US"/>
        </w:rPr>
        <w:t xml:space="preserve"> </w:t>
      </w:r>
    </w:p>
    <w:p w14:paraId="6D21F622" w14:textId="77777777" w:rsidR="006B31EF" w:rsidRPr="00736A50" w:rsidRDefault="006B31EF" w:rsidP="006B31EF">
      <w:pPr>
        <w:pStyle w:val="Body"/>
        <w:rPr>
          <w:lang w:eastAsia="en-GB"/>
        </w:rPr>
      </w:pPr>
      <w:r w:rsidRPr="0040676E">
        <w:rPr>
          <w:noProof/>
          <w:lang w:val="en-US"/>
        </w:rPr>
        <w:drawing>
          <wp:inline distT="0" distB="0" distL="0" distR="0" wp14:anchorId="30EC9F9A" wp14:editId="00B3A061">
            <wp:extent cx="5836920" cy="1425575"/>
            <wp:effectExtent l="0" t="0" r="1143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AEC6146" w14:textId="77777777" w:rsidR="006B31EF" w:rsidRPr="00F22465" w:rsidRDefault="006B31EF" w:rsidP="006B31EF">
      <w:pPr>
        <w:spacing w:after="0"/>
        <w:rPr>
          <w:rFonts w:ascii="Verdana" w:hAnsi="Verdana" w:cs="Segoe UI"/>
          <w:sz w:val="16"/>
          <w:szCs w:val="16"/>
        </w:rPr>
      </w:pPr>
      <w:r w:rsidRPr="00F22465">
        <w:rPr>
          <w:rFonts w:ascii="Verdana" w:hAnsi="Verdana" w:cs="Segoe UI"/>
          <w:sz w:val="16"/>
          <w:szCs w:val="16"/>
        </w:rPr>
        <w:t xml:space="preserve">Note: </w:t>
      </w:r>
    </w:p>
    <w:p w14:paraId="695C9C0F" w14:textId="77777777" w:rsidR="006B31EF" w:rsidRPr="00F22465" w:rsidRDefault="006B31EF" w:rsidP="00A13462">
      <w:pPr>
        <w:pStyle w:val="ListParagraph"/>
        <w:numPr>
          <w:ilvl w:val="0"/>
          <w:numId w:val="33"/>
        </w:numPr>
        <w:spacing w:after="0" w:line="240" w:lineRule="auto"/>
        <w:contextualSpacing w:val="0"/>
        <w:rPr>
          <w:rFonts w:ascii="Verdana" w:hAnsi="Verdana" w:cs="Segoe UI"/>
          <w:sz w:val="16"/>
          <w:szCs w:val="16"/>
          <w:lang w:val="en-GB"/>
        </w:rPr>
      </w:pPr>
      <w:r w:rsidRPr="00F22465">
        <w:rPr>
          <w:rFonts w:ascii="Verdana" w:hAnsi="Verdana" w:cs="Segoe UI"/>
          <w:sz w:val="16"/>
          <w:szCs w:val="16"/>
          <w:lang w:val="en-GB"/>
        </w:rPr>
        <w:t xml:space="preserve">“Yes” cover Member States that assess costs of achieving the WFD’s environmental objectives; </w:t>
      </w:r>
    </w:p>
    <w:p w14:paraId="20DBDF4A" w14:textId="77777777" w:rsidR="006B31EF" w:rsidRPr="00F22465" w:rsidRDefault="006B31EF" w:rsidP="00A13462">
      <w:pPr>
        <w:pStyle w:val="WDBodySmall"/>
        <w:numPr>
          <w:ilvl w:val="0"/>
          <w:numId w:val="33"/>
        </w:numPr>
        <w:rPr>
          <w:rFonts w:ascii="Verdana" w:hAnsi="Verdana"/>
        </w:rPr>
      </w:pPr>
      <w:r w:rsidRPr="00F22465">
        <w:rPr>
          <w:rFonts w:ascii="Verdana" w:hAnsi="Verdana" w:cs="Segoe UI"/>
          <w:szCs w:val="16"/>
        </w:rPr>
        <w:t>“No” cover Member States that do not assess costs of achieving the WFD’s environmental objectives</w:t>
      </w:r>
    </w:p>
    <w:p w14:paraId="00B19E0A" w14:textId="6BA7100D" w:rsidR="006B31EF" w:rsidRPr="00F22465" w:rsidRDefault="00F16218" w:rsidP="00F22465">
      <w:pPr>
        <w:pStyle w:val="WDBodySmall"/>
      </w:pPr>
      <w:r w:rsidRPr="00F22465">
        <w:rPr>
          <w:rFonts w:ascii="Verdana" w:hAnsi="Verdana"/>
          <w:noProof/>
          <w:lang w:val="en-US"/>
        </w:rPr>
        <mc:AlternateContent>
          <mc:Choice Requires="wps">
            <w:drawing>
              <wp:anchor distT="0" distB="0" distL="114300" distR="114300" simplePos="0" relativeHeight="251678720" behindDoc="0" locked="0" layoutInCell="1" allowOverlap="1" wp14:anchorId="061C5D05" wp14:editId="18F9662E">
                <wp:simplePos x="0" y="0"/>
                <wp:positionH relativeFrom="column">
                  <wp:posOffset>13970</wp:posOffset>
                </wp:positionH>
                <wp:positionV relativeFrom="paragraph">
                  <wp:posOffset>351155</wp:posOffset>
                </wp:positionV>
                <wp:extent cx="5905500" cy="6370320"/>
                <wp:effectExtent l="0" t="0" r="19050" b="11430"/>
                <wp:wrapSquare wrapText="bothSides"/>
                <wp:docPr id="51" name="Rectangle 51"/>
                <wp:cNvGraphicFramePr/>
                <a:graphic xmlns:a="http://schemas.openxmlformats.org/drawingml/2006/main">
                  <a:graphicData uri="http://schemas.microsoft.com/office/word/2010/wordprocessingShape">
                    <wps:wsp>
                      <wps:cNvSpPr/>
                      <wps:spPr>
                        <a:xfrm>
                          <a:off x="0" y="0"/>
                          <a:ext cx="5905500" cy="6370320"/>
                        </a:xfrm>
                        <a:prstGeom prst="rect">
                          <a:avLst/>
                        </a:prstGeom>
                        <a:solidFill>
                          <a:schemeClr val="bg1"/>
                        </a:solidFill>
                        <a:ln w="25400" cap="flat" cmpd="sng" algn="ctr">
                          <a:solidFill>
                            <a:schemeClr val="accent1"/>
                          </a:solidFill>
                          <a:prstDash val="solid"/>
                        </a:ln>
                        <a:effectLst/>
                      </wps:spPr>
                      <wps:txbx>
                        <w:txbxContent>
                          <w:p w14:paraId="6DED2E94" w14:textId="77777777" w:rsidR="006B31EF" w:rsidRPr="000428A5"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 xml:space="preserve">Box 5.1 ASSESSMENT OF INVESTMENT NEEDS TO FULLY ACHIEVE WFD OBJECTIVES </w:t>
                            </w:r>
                          </w:p>
                          <w:p w14:paraId="3F20E564" w14:textId="77777777" w:rsidR="006B31EF" w:rsidRPr="006C1104" w:rsidRDefault="006B31EF" w:rsidP="00324094">
                            <w:pPr>
                              <w:pStyle w:val="WDBullets"/>
                              <w:ind w:left="567" w:right="321"/>
                              <w:jc w:val="both"/>
                              <w:rPr>
                                <w:rFonts w:ascii="Verdana" w:hAnsi="Verdana" w:cs="Times New Roman"/>
                                <w:sz w:val="29"/>
                                <w:szCs w:val="24"/>
                              </w:rPr>
                            </w:pPr>
                            <w:r w:rsidRPr="006C1104">
                              <w:rPr>
                                <w:rFonts w:ascii="Verdana" w:hAnsi="Verdana"/>
                              </w:rPr>
                              <w:t xml:space="preserve">In </w:t>
                            </w:r>
                            <w:r w:rsidRPr="006C1104">
                              <w:rPr>
                                <w:rFonts w:ascii="Verdana" w:hAnsi="Verdana"/>
                                <w:b/>
                                <w:bCs/>
                              </w:rPr>
                              <w:t>Belgium</w:t>
                            </w:r>
                            <w:r w:rsidRPr="006C1104">
                              <w:rPr>
                                <w:rFonts w:ascii="Verdana" w:hAnsi="Verdana"/>
                              </w:rPr>
                              <w:t>, all three regions defined maximum scenarios in the RBMPs to estimate the costs required to achieve the objectives set by each region by 2027. However, whether or not these scenarios would be sufficient to fully reach the WFD objectives is uncertain due to intrinsic uncertainty about the effectiveness of measures. In Flanders and Brussels, additional costs for the maximum scenarios are high (EUR +10 billion) while in Wallonia the additional costs are limited:</w:t>
                            </w:r>
                          </w:p>
                          <w:p w14:paraId="6C0D1075" w14:textId="77777777" w:rsidR="006B31EF" w:rsidRPr="006C1104" w:rsidRDefault="006B31EF" w:rsidP="00324094">
                            <w:pPr>
                              <w:pStyle w:val="WDBullets2"/>
                              <w:ind w:left="1134" w:right="321"/>
                              <w:jc w:val="both"/>
                              <w:rPr>
                                <w:rFonts w:ascii="Verdana" w:hAnsi="Verdana" w:cs="Times New Roman"/>
                                <w:sz w:val="29"/>
                                <w:szCs w:val="24"/>
                              </w:rPr>
                            </w:pPr>
                            <w:r w:rsidRPr="006C1104">
                              <w:rPr>
                                <w:rFonts w:ascii="Verdana" w:hAnsi="Verdana"/>
                              </w:rPr>
                              <w:t>Capex of 9.7-14.5 billion Euro in Flanders for achieving the maximum scenario. Costs of baseline “efficient” scenario included in the 2</w:t>
                            </w:r>
                            <w:r w:rsidRPr="006C1104">
                              <w:rPr>
                                <w:rFonts w:ascii="Verdana" w:hAnsi="Verdana"/>
                                <w:vertAlign w:val="superscript"/>
                              </w:rPr>
                              <w:t>nd</w:t>
                            </w:r>
                            <w:r w:rsidRPr="006C1104">
                              <w:rPr>
                                <w:rFonts w:ascii="Verdana" w:hAnsi="Verdana"/>
                              </w:rPr>
                              <w:t xml:space="preserve"> RBMPs (2016-2021) are 2.7 billion Euro.</w:t>
                            </w:r>
                          </w:p>
                          <w:p w14:paraId="4C3D3E42" w14:textId="77777777" w:rsidR="006B31EF" w:rsidRPr="006C1104" w:rsidRDefault="006B31EF" w:rsidP="00324094">
                            <w:pPr>
                              <w:pStyle w:val="WDBullets2"/>
                              <w:ind w:left="1134" w:right="321"/>
                              <w:jc w:val="both"/>
                              <w:rPr>
                                <w:rFonts w:ascii="Verdana" w:hAnsi="Verdana" w:cs="Times New Roman"/>
                                <w:sz w:val="29"/>
                                <w:szCs w:val="24"/>
                              </w:rPr>
                            </w:pPr>
                            <w:r w:rsidRPr="006C1104">
                              <w:rPr>
                                <w:rFonts w:ascii="Verdana" w:hAnsi="Verdana"/>
                              </w:rPr>
                              <w:t>Capex of 5-9 billion Euro in Brussels for achieving the maximum scenario. Costs of baseline “efficient” scenario included in the 2</w:t>
                            </w:r>
                            <w:r w:rsidRPr="006C1104">
                              <w:rPr>
                                <w:rFonts w:ascii="Verdana" w:hAnsi="Verdana"/>
                                <w:vertAlign w:val="superscript"/>
                              </w:rPr>
                              <w:t>nd</w:t>
                            </w:r>
                            <w:r w:rsidRPr="006C1104">
                              <w:rPr>
                                <w:rFonts w:ascii="Verdana" w:hAnsi="Verdana"/>
                              </w:rPr>
                              <w:t xml:space="preserve"> RBMPs (2016-2021) are 1.5-3 billion Euro.</w:t>
                            </w:r>
                          </w:p>
                          <w:p w14:paraId="648A373A" w14:textId="77777777" w:rsidR="006B31EF" w:rsidRPr="006C1104" w:rsidRDefault="006B31EF" w:rsidP="00324094">
                            <w:pPr>
                              <w:pStyle w:val="WDBullets2"/>
                              <w:ind w:left="1134" w:right="321"/>
                              <w:jc w:val="both"/>
                              <w:rPr>
                                <w:rFonts w:ascii="Verdana" w:hAnsi="Verdana"/>
                              </w:rPr>
                            </w:pPr>
                            <w:r w:rsidRPr="006C1104">
                              <w:rPr>
                                <w:rFonts w:ascii="Verdana" w:hAnsi="Verdana"/>
                              </w:rPr>
                              <w:t>Capex of 1.1 billion Euro   in Wallonia for achieving the maximum scenario. Costs of baseline “efficient” scenario included in the 2</w:t>
                            </w:r>
                            <w:r w:rsidRPr="006C1104">
                              <w:rPr>
                                <w:rFonts w:ascii="Verdana" w:hAnsi="Verdana"/>
                                <w:vertAlign w:val="superscript"/>
                              </w:rPr>
                              <w:t>nd</w:t>
                            </w:r>
                            <w:r w:rsidRPr="006C1104">
                              <w:rPr>
                                <w:rFonts w:ascii="Verdana" w:hAnsi="Verdana"/>
                              </w:rPr>
                              <w:t xml:space="preserve"> RBMPs (2016-2021) are 0.8 billion Euro. Net additional costs are limited (0.3 billion Euro) due to better current water status.</w:t>
                            </w:r>
                          </w:p>
                          <w:p w14:paraId="25759054" w14:textId="77777777" w:rsidR="006B31EF" w:rsidRPr="006C1104" w:rsidRDefault="006B31EF" w:rsidP="00324094">
                            <w:pPr>
                              <w:pStyle w:val="WDBullets"/>
                              <w:ind w:left="567" w:right="321"/>
                              <w:jc w:val="both"/>
                              <w:rPr>
                                <w:rFonts w:ascii="Verdana" w:hAnsi="Verdana"/>
                              </w:rPr>
                            </w:pPr>
                            <w:r w:rsidRPr="006C1104">
                              <w:rPr>
                                <w:rFonts w:ascii="Verdana" w:hAnsi="Verdana"/>
                              </w:rPr>
                              <w:t xml:space="preserve">In </w:t>
                            </w:r>
                            <w:r w:rsidRPr="006C1104">
                              <w:rPr>
                                <w:rFonts w:ascii="Verdana" w:hAnsi="Verdana"/>
                                <w:b/>
                              </w:rPr>
                              <w:t>France</w:t>
                            </w:r>
                            <w:r w:rsidRPr="006C1104">
                              <w:rPr>
                                <w:rFonts w:ascii="Verdana" w:hAnsi="Verdana"/>
                              </w:rPr>
                              <w:t xml:space="preserve">, the investment gap that would need to be filled for achieving good status is estimated at 66.65 billion Euro. </w:t>
                            </w:r>
                          </w:p>
                          <w:p w14:paraId="2A2E9B57" w14:textId="77777777" w:rsidR="006B31EF" w:rsidRPr="006C1104" w:rsidRDefault="006B31EF" w:rsidP="00324094">
                            <w:pPr>
                              <w:pStyle w:val="WDBullets"/>
                              <w:ind w:left="567" w:right="321"/>
                              <w:jc w:val="both"/>
                              <w:rPr>
                                <w:rFonts w:ascii="Verdana" w:hAnsi="Verdana" w:cs="Times New Roman"/>
                                <w:sz w:val="29"/>
                                <w:szCs w:val="24"/>
                              </w:rPr>
                            </w:pPr>
                            <w:r w:rsidRPr="006C1104">
                              <w:rPr>
                                <w:rFonts w:ascii="Verdana" w:hAnsi="Verdana"/>
                                <w:lang w:val="en-US"/>
                              </w:rPr>
                              <w:t xml:space="preserve">In </w:t>
                            </w:r>
                            <w:r w:rsidRPr="006C1104">
                              <w:rPr>
                                <w:rFonts w:ascii="Verdana" w:hAnsi="Verdana"/>
                                <w:b/>
                                <w:bCs/>
                                <w:lang w:val="en-US"/>
                              </w:rPr>
                              <w:t>Hungary</w:t>
                            </w:r>
                            <w:r w:rsidRPr="006C1104">
                              <w:rPr>
                                <w:rFonts w:ascii="Verdana" w:hAnsi="Verdana"/>
                                <w:lang w:val="en-US"/>
                              </w:rPr>
                              <w:t xml:space="preserve">, investment needs to </w:t>
                            </w:r>
                            <w:r w:rsidRPr="006C1104">
                              <w:rPr>
                                <w:rFonts w:ascii="Verdana" w:eastAsia="Calibri" w:hAnsi="Verdana" w:cs="Times New Roman"/>
                              </w:rPr>
                              <w:t>ensure full achievement of the WFD objectives by 2027 are 10.17 billion Euro (of which basic measures:  5.86 billion Euro; supplementary measures: 4.09 billion Euro; and, preparatory measures: 0.23 billion Euro). Estimation was made in the 1</w:t>
                            </w:r>
                            <w:r w:rsidRPr="006C1104">
                              <w:rPr>
                                <w:rFonts w:ascii="Verdana" w:eastAsia="Calibri" w:hAnsi="Verdana" w:cs="Times New Roman"/>
                                <w:vertAlign w:val="superscript"/>
                              </w:rPr>
                              <w:t>st</w:t>
                            </w:r>
                            <w:r w:rsidRPr="006C1104">
                              <w:rPr>
                                <w:rFonts w:ascii="Verdana" w:eastAsia="Calibri" w:hAnsi="Verdana" w:cs="Times New Roman"/>
                              </w:rPr>
                              <w:t xml:space="preserve"> RBMP. </w:t>
                            </w:r>
                          </w:p>
                          <w:p w14:paraId="590A349E" w14:textId="77777777" w:rsidR="006B31EF" w:rsidRPr="006C1104" w:rsidRDefault="006B31EF" w:rsidP="00324094">
                            <w:pPr>
                              <w:pStyle w:val="WDBullets"/>
                              <w:ind w:left="567" w:right="321"/>
                              <w:jc w:val="both"/>
                              <w:rPr>
                                <w:rFonts w:ascii="Verdana" w:hAnsi="Verdana"/>
                                <w:b/>
                                <w:bCs/>
                                <w:color w:val="4F81BD" w:themeColor="accent1"/>
                              </w:rPr>
                            </w:pPr>
                            <w:r w:rsidRPr="006C1104">
                              <w:rPr>
                                <w:rFonts w:ascii="Verdana" w:hAnsi="Verdana"/>
                              </w:rPr>
                              <w:t xml:space="preserve">In </w:t>
                            </w:r>
                            <w:r w:rsidRPr="006C1104">
                              <w:rPr>
                                <w:rFonts w:ascii="Verdana" w:hAnsi="Verdana"/>
                                <w:b/>
                              </w:rPr>
                              <w:t>Lithuania</w:t>
                            </w:r>
                            <w:r w:rsidRPr="006C1104">
                              <w:rPr>
                                <w:rFonts w:ascii="Verdana" w:hAnsi="Verdana"/>
                              </w:rPr>
                              <w:t>, the achievement of the WFD goals has been postponed mainly as a result of natural conditions. According to the RBMPs, the achievement of good status or potential for water bodies will require more than EUR 240 million of investments for relevant state and municipal institutions as well as individual (private) operators. About EUR 46 million per year will be needed for pollution reduction and other improvement measures yearly (2016–2021);</w:t>
                            </w:r>
                          </w:p>
                          <w:p w14:paraId="77916D55" w14:textId="7080B1DC" w:rsidR="006B31EF" w:rsidRPr="006C1104" w:rsidRDefault="006B31EF" w:rsidP="00324094">
                            <w:pPr>
                              <w:pStyle w:val="WDBullets"/>
                              <w:ind w:left="567" w:right="321"/>
                              <w:jc w:val="both"/>
                              <w:rPr>
                                <w:rFonts w:ascii="Verdana" w:hAnsi="Verdana"/>
                              </w:rPr>
                            </w:pPr>
                            <w:r w:rsidRPr="006C1104">
                              <w:rPr>
                                <w:rFonts w:ascii="Verdana" w:hAnsi="Verdana"/>
                              </w:rPr>
                              <w:t xml:space="preserve">In </w:t>
                            </w:r>
                            <w:r w:rsidRPr="006C1104">
                              <w:rPr>
                                <w:rFonts w:ascii="Verdana" w:hAnsi="Verdana"/>
                                <w:b/>
                              </w:rPr>
                              <w:t>Romania</w:t>
                            </w:r>
                            <w:r w:rsidRPr="006C1104">
                              <w:rPr>
                                <w:rFonts w:ascii="Verdana" w:hAnsi="Verdana"/>
                              </w:rPr>
                              <w:t>: The analysis of the total investment gap to ensure full achievement of the WFD objectives (for the period 2021-2027) will take place in the context of the 3</w:t>
                            </w:r>
                            <w:r w:rsidRPr="006C1104">
                              <w:rPr>
                                <w:rFonts w:ascii="Verdana" w:hAnsi="Verdana"/>
                                <w:vertAlign w:val="superscript"/>
                              </w:rPr>
                              <w:t>rd</w:t>
                            </w:r>
                            <w:r w:rsidRPr="006C1104">
                              <w:rPr>
                                <w:rFonts w:ascii="Verdana" w:hAnsi="Verdana"/>
                              </w:rPr>
                              <w:t xml:space="preserve"> planning cycle for delivering the 3</w:t>
                            </w:r>
                            <w:r w:rsidRPr="006C1104">
                              <w:rPr>
                                <w:rFonts w:ascii="Verdana" w:hAnsi="Verdana"/>
                                <w:vertAlign w:val="superscript"/>
                              </w:rPr>
                              <w:t>rd</w:t>
                            </w:r>
                            <w:r w:rsidRPr="006C1104">
                              <w:rPr>
                                <w:rFonts w:ascii="Verdana" w:hAnsi="Verdana"/>
                              </w:rPr>
                              <w:t xml:space="preserve"> RBMPs.</w:t>
                            </w:r>
                          </w:p>
                          <w:p w14:paraId="14342C8D" w14:textId="32631107" w:rsidR="00324094" w:rsidRPr="00324094" w:rsidRDefault="00324094" w:rsidP="00324094">
                            <w:pPr>
                              <w:pStyle w:val="WDBullets"/>
                              <w:numPr>
                                <w:ilvl w:val="0"/>
                                <w:numId w:val="0"/>
                              </w:numPr>
                              <w:jc w:val="both"/>
                              <w:rPr>
                                <w:rFonts w:ascii="Verdana" w:hAnsi="Verdana"/>
                                <w:sz w:val="14"/>
                                <w:szCs w:val="14"/>
                              </w:rPr>
                            </w:pPr>
                            <w:r w:rsidRPr="00324094">
                              <w:rPr>
                                <w:rFonts w:ascii="Verdana" w:hAnsi="Verdana"/>
                                <w:sz w:val="14"/>
                                <w:szCs w:val="14"/>
                              </w:rPr>
                              <w:t>Source: Data extracted from country information collated by the project team and provided by Member States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C5D05" id="Rectangle 51" o:spid="_x0000_s1026" style="position:absolute;margin-left:1.1pt;margin-top:27.65pt;width:465pt;height:50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CVZQIAANoEAAAOAAAAZHJzL2Uyb0RvYy54bWysVE1v2zAMvQ/YfxB0X+2mS7cFdYogRYcB&#10;RRusHXpmZPkDkCVNUmJ3v35PspOuXU/DLjIpUeTj06MvLodOsb10vjW64KcnOWdSC1O2ui74j4fr&#10;D58584F0ScpoWfAn6fnl8v27i94u5Mw0RpXSMSTRftHbgjch2EWWedHIjvyJsVLjsDKuowDX1Vnp&#10;qEf2TmWzPD/PeuNK64yQ3mP3ajzky5S/qqQId1XlZWCq4MAW0urSuo1rtrygRe3INq2YYNA/oOio&#10;1Sh6THVFgdjOtX+l6lrhjDdVOBGmy0xVtUKmHtDNaf6qm/uGrEy9gBxvjzT5/5dW3O43jrVlween&#10;nGnq8EbfwRrpWkmGPRDUW79A3L3duMnzMGO3Q+W6+EUfbEikPh1JlUNgApvzL/l8noN7gbPzs0/5&#10;2SzRnj1ft86Hr9J0LBoFd6ifyKT9jQ8oidBDSKzmjWrL61ap5ESlyLVybE94422dIOPGiyilWV/w&#10;2fxjAkIQWqUoAFNn0brXNWekaihYBJdKv7id1Phcg4SQOrxZJ8K8It+MYFKSyCDgKB3RyiTJqavI&#10;68hktMKwHSZ6t6Z8wqs4M8rVW3HdIvEN+bAhB32CTcxcuMNSKYPOzGRx1hj36639GA/Z4JSzHnpH&#10;1z935CRn6puGoOJwHAx3MLYHQ++6tQG90AjQJBMXXFAHs3Kme8QormIVHJEWqDXyOTnrMM4dhlnI&#10;1SqFYQgshRt9b0VMHimKFD4Mj+TsJIcAJd2awyzQ4pUqxth4U5vVLpiqTZKJlI48gv7oYIDSQ0zD&#10;Hif0Tz9FPf+Slr8BAAD//wMAUEsDBBQABgAIAAAAIQCIHd3Z3AAAAAkBAAAPAAAAZHJzL2Rvd25y&#10;ZXYueG1sTI/BTsMwDIbvSLxDZCQuaEvpVLSVphMa4gwbHDimjWm7NU6VZG15e7wTO9r/p9+fi+1s&#10;ezGiD50jBY/LBARS7UxHjYKvz7fFGkSImozuHaGCXwywLW9vCp0bN9Eex0NsBJdQyLWCNsYhlzLU&#10;LVodlm5A4uzHeasjj76RxuuJy20v0yR5klZ3xBdaPeCuxfp0OFsF8kjT+/frbm+HKsbs+OEfTqNX&#10;6v5ufnkGEXGO/zBc9FkdSnaq3JlMEL2CNGVQQZatQHC8WV0WFXNJts5AloW8/qD8AwAA//8DAFBL&#10;AQItABQABgAIAAAAIQC2gziS/gAAAOEBAAATAAAAAAAAAAAAAAAAAAAAAABbQ29udGVudF9UeXBl&#10;c10ueG1sUEsBAi0AFAAGAAgAAAAhADj9If/WAAAAlAEAAAsAAAAAAAAAAAAAAAAALwEAAF9yZWxz&#10;Ly5yZWxzUEsBAi0AFAAGAAgAAAAhAEjLAJVlAgAA2gQAAA4AAAAAAAAAAAAAAAAALgIAAGRycy9l&#10;Mm9Eb2MueG1sUEsBAi0AFAAGAAgAAAAhAIgd3dncAAAACQEAAA8AAAAAAAAAAAAAAAAAvwQAAGRy&#10;cy9kb3ducmV2LnhtbFBLBQYAAAAABAAEAPMAAADIBQAAAAA=&#10;" fillcolor="white [3212]" strokecolor="#4f81bd [3204]" strokeweight="2pt">
                <v:textbox inset="0,0,0,0">
                  <w:txbxContent>
                    <w:p w14:paraId="6DED2E94" w14:textId="77777777" w:rsidR="006B31EF" w:rsidRPr="000428A5"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 xml:space="preserve">Box 5.1 ASSESSMENT OF INVESTMENT NEEDS TO FULLY ACHIEVE WFD OBJECTIVES </w:t>
                      </w:r>
                    </w:p>
                    <w:p w14:paraId="3F20E564" w14:textId="77777777" w:rsidR="006B31EF" w:rsidRPr="006C1104" w:rsidRDefault="006B31EF" w:rsidP="00324094">
                      <w:pPr>
                        <w:pStyle w:val="WDBullets"/>
                        <w:ind w:left="567" w:right="321"/>
                        <w:jc w:val="both"/>
                        <w:rPr>
                          <w:rFonts w:ascii="Verdana" w:hAnsi="Verdana" w:cs="Times New Roman"/>
                          <w:sz w:val="29"/>
                          <w:szCs w:val="24"/>
                        </w:rPr>
                      </w:pPr>
                      <w:r w:rsidRPr="006C1104">
                        <w:rPr>
                          <w:rFonts w:ascii="Verdana" w:hAnsi="Verdana"/>
                        </w:rPr>
                        <w:t xml:space="preserve">In </w:t>
                      </w:r>
                      <w:r w:rsidRPr="006C1104">
                        <w:rPr>
                          <w:rFonts w:ascii="Verdana" w:hAnsi="Verdana"/>
                          <w:b/>
                          <w:bCs/>
                        </w:rPr>
                        <w:t>Belgium</w:t>
                      </w:r>
                      <w:r w:rsidRPr="006C1104">
                        <w:rPr>
                          <w:rFonts w:ascii="Verdana" w:hAnsi="Verdana"/>
                        </w:rPr>
                        <w:t>, all three regions defined maximum scenarios in the RBMPs to estimate the costs required to achieve the objectives set by each region by 2027. However, whether or not these scenarios would be sufficient to fully reach the WFD objectives is uncertain due to intrinsic uncertainty about the effectiveness of measures. In Flanders and Brussels, additional costs for the maximum scenarios are high (EUR +10 billion) while in Wallonia the additional costs are limited:</w:t>
                      </w:r>
                    </w:p>
                    <w:p w14:paraId="6C0D1075" w14:textId="77777777" w:rsidR="006B31EF" w:rsidRPr="006C1104" w:rsidRDefault="006B31EF" w:rsidP="00324094">
                      <w:pPr>
                        <w:pStyle w:val="WDBullets2"/>
                        <w:ind w:left="1134" w:right="321"/>
                        <w:jc w:val="both"/>
                        <w:rPr>
                          <w:rFonts w:ascii="Verdana" w:hAnsi="Verdana" w:cs="Times New Roman"/>
                          <w:sz w:val="29"/>
                          <w:szCs w:val="24"/>
                        </w:rPr>
                      </w:pPr>
                      <w:r w:rsidRPr="006C1104">
                        <w:rPr>
                          <w:rFonts w:ascii="Verdana" w:hAnsi="Verdana"/>
                        </w:rPr>
                        <w:t>Capex of 9.7-14.5 billion Euro in Flanders for achieving the maximum scenario. Costs of baseline “efficient” scenario included in the 2</w:t>
                      </w:r>
                      <w:r w:rsidRPr="006C1104">
                        <w:rPr>
                          <w:rFonts w:ascii="Verdana" w:hAnsi="Verdana"/>
                          <w:vertAlign w:val="superscript"/>
                        </w:rPr>
                        <w:t>nd</w:t>
                      </w:r>
                      <w:r w:rsidRPr="006C1104">
                        <w:rPr>
                          <w:rFonts w:ascii="Verdana" w:hAnsi="Verdana"/>
                        </w:rPr>
                        <w:t xml:space="preserve"> RBMPs (2016-2021) are 2.7 billion Euro.</w:t>
                      </w:r>
                    </w:p>
                    <w:p w14:paraId="4C3D3E42" w14:textId="77777777" w:rsidR="006B31EF" w:rsidRPr="006C1104" w:rsidRDefault="006B31EF" w:rsidP="00324094">
                      <w:pPr>
                        <w:pStyle w:val="WDBullets2"/>
                        <w:ind w:left="1134" w:right="321"/>
                        <w:jc w:val="both"/>
                        <w:rPr>
                          <w:rFonts w:ascii="Verdana" w:hAnsi="Verdana" w:cs="Times New Roman"/>
                          <w:sz w:val="29"/>
                          <w:szCs w:val="24"/>
                        </w:rPr>
                      </w:pPr>
                      <w:r w:rsidRPr="006C1104">
                        <w:rPr>
                          <w:rFonts w:ascii="Verdana" w:hAnsi="Verdana"/>
                        </w:rPr>
                        <w:t>Capex of 5-9 billion Euro in Brussels for achieving the maximum scenario. Costs of baseline “efficient” scenario included in the 2</w:t>
                      </w:r>
                      <w:r w:rsidRPr="006C1104">
                        <w:rPr>
                          <w:rFonts w:ascii="Verdana" w:hAnsi="Verdana"/>
                          <w:vertAlign w:val="superscript"/>
                        </w:rPr>
                        <w:t>nd</w:t>
                      </w:r>
                      <w:r w:rsidRPr="006C1104">
                        <w:rPr>
                          <w:rFonts w:ascii="Verdana" w:hAnsi="Verdana"/>
                        </w:rPr>
                        <w:t xml:space="preserve"> RBMPs (2016-2021) are 1.5-3 billion Euro.</w:t>
                      </w:r>
                    </w:p>
                    <w:p w14:paraId="648A373A" w14:textId="77777777" w:rsidR="006B31EF" w:rsidRPr="006C1104" w:rsidRDefault="006B31EF" w:rsidP="00324094">
                      <w:pPr>
                        <w:pStyle w:val="WDBullets2"/>
                        <w:ind w:left="1134" w:right="321"/>
                        <w:jc w:val="both"/>
                        <w:rPr>
                          <w:rFonts w:ascii="Verdana" w:hAnsi="Verdana"/>
                        </w:rPr>
                      </w:pPr>
                      <w:r w:rsidRPr="006C1104">
                        <w:rPr>
                          <w:rFonts w:ascii="Verdana" w:hAnsi="Verdana"/>
                        </w:rPr>
                        <w:t>Capex of 1.1 billion Euro   in Wallonia for achieving the maximum scenario. Costs of baseline “efficient” scenario included in the 2</w:t>
                      </w:r>
                      <w:r w:rsidRPr="006C1104">
                        <w:rPr>
                          <w:rFonts w:ascii="Verdana" w:hAnsi="Verdana"/>
                          <w:vertAlign w:val="superscript"/>
                        </w:rPr>
                        <w:t>nd</w:t>
                      </w:r>
                      <w:r w:rsidRPr="006C1104">
                        <w:rPr>
                          <w:rFonts w:ascii="Verdana" w:hAnsi="Verdana"/>
                        </w:rPr>
                        <w:t xml:space="preserve"> RBMPs (2016-2021) are 0.8 billion Euro. Net additional costs are limited (0.3 billion Euro) due to better current water status.</w:t>
                      </w:r>
                    </w:p>
                    <w:p w14:paraId="25759054" w14:textId="77777777" w:rsidR="006B31EF" w:rsidRPr="006C1104" w:rsidRDefault="006B31EF" w:rsidP="00324094">
                      <w:pPr>
                        <w:pStyle w:val="WDBullets"/>
                        <w:ind w:left="567" w:right="321"/>
                        <w:jc w:val="both"/>
                        <w:rPr>
                          <w:rFonts w:ascii="Verdana" w:hAnsi="Verdana"/>
                        </w:rPr>
                      </w:pPr>
                      <w:r w:rsidRPr="006C1104">
                        <w:rPr>
                          <w:rFonts w:ascii="Verdana" w:hAnsi="Verdana"/>
                        </w:rPr>
                        <w:t xml:space="preserve">In </w:t>
                      </w:r>
                      <w:r w:rsidRPr="006C1104">
                        <w:rPr>
                          <w:rFonts w:ascii="Verdana" w:hAnsi="Verdana"/>
                          <w:b/>
                        </w:rPr>
                        <w:t>France</w:t>
                      </w:r>
                      <w:r w:rsidRPr="006C1104">
                        <w:rPr>
                          <w:rFonts w:ascii="Verdana" w:hAnsi="Verdana"/>
                        </w:rPr>
                        <w:t xml:space="preserve">, the investment gap that would need to be filled for achieving good status is estimated at 66.65 billion Euro. </w:t>
                      </w:r>
                    </w:p>
                    <w:p w14:paraId="2A2E9B57" w14:textId="77777777" w:rsidR="006B31EF" w:rsidRPr="006C1104" w:rsidRDefault="006B31EF" w:rsidP="00324094">
                      <w:pPr>
                        <w:pStyle w:val="WDBullets"/>
                        <w:ind w:left="567" w:right="321"/>
                        <w:jc w:val="both"/>
                        <w:rPr>
                          <w:rFonts w:ascii="Verdana" w:hAnsi="Verdana" w:cs="Times New Roman"/>
                          <w:sz w:val="29"/>
                          <w:szCs w:val="24"/>
                        </w:rPr>
                      </w:pPr>
                      <w:r w:rsidRPr="006C1104">
                        <w:rPr>
                          <w:rFonts w:ascii="Verdana" w:hAnsi="Verdana"/>
                          <w:lang w:val="en-US"/>
                        </w:rPr>
                        <w:t xml:space="preserve">In </w:t>
                      </w:r>
                      <w:r w:rsidRPr="006C1104">
                        <w:rPr>
                          <w:rFonts w:ascii="Verdana" w:hAnsi="Verdana"/>
                          <w:b/>
                          <w:bCs/>
                          <w:lang w:val="en-US"/>
                        </w:rPr>
                        <w:t>Hungary</w:t>
                      </w:r>
                      <w:r w:rsidRPr="006C1104">
                        <w:rPr>
                          <w:rFonts w:ascii="Verdana" w:hAnsi="Verdana"/>
                          <w:lang w:val="en-US"/>
                        </w:rPr>
                        <w:t xml:space="preserve">, investment needs to </w:t>
                      </w:r>
                      <w:r w:rsidRPr="006C1104">
                        <w:rPr>
                          <w:rFonts w:ascii="Verdana" w:eastAsia="Calibri" w:hAnsi="Verdana" w:cs="Times New Roman"/>
                        </w:rPr>
                        <w:t>ensure full achievement of the WFD objectives by 2027 are 10.17 billion Euro (of which basic measures:  5.86 billion Euro; supplementary measures: 4.09 billion Euro; and, preparatory measures: 0.23 billion Euro). Estimation was made in the 1</w:t>
                      </w:r>
                      <w:r w:rsidRPr="006C1104">
                        <w:rPr>
                          <w:rFonts w:ascii="Verdana" w:eastAsia="Calibri" w:hAnsi="Verdana" w:cs="Times New Roman"/>
                          <w:vertAlign w:val="superscript"/>
                        </w:rPr>
                        <w:t>st</w:t>
                      </w:r>
                      <w:r w:rsidRPr="006C1104">
                        <w:rPr>
                          <w:rFonts w:ascii="Verdana" w:eastAsia="Calibri" w:hAnsi="Verdana" w:cs="Times New Roman"/>
                        </w:rPr>
                        <w:t xml:space="preserve"> RBMP. </w:t>
                      </w:r>
                    </w:p>
                    <w:p w14:paraId="590A349E" w14:textId="77777777" w:rsidR="006B31EF" w:rsidRPr="006C1104" w:rsidRDefault="006B31EF" w:rsidP="00324094">
                      <w:pPr>
                        <w:pStyle w:val="WDBullets"/>
                        <w:ind w:left="567" w:right="321"/>
                        <w:jc w:val="both"/>
                        <w:rPr>
                          <w:rFonts w:ascii="Verdana" w:hAnsi="Verdana"/>
                          <w:b/>
                          <w:bCs/>
                          <w:color w:val="4F81BD" w:themeColor="accent1"/>
                        </w:rPr>
                      </w:pPr>
                      <w:r w:rsidRPr="006C1104">
                        <w:rPr>
                          <w:rFonts w:ascii="Verdana" w:hAnsi="Verdana"/>
                        </w:rPr>
                        <w:t xml:space="preserve">In </w:t>
                      </w:r>
                      <w:r w:rsidRPr="006C1104">
                        <w:rPr>
                          <w:rFonts w:ascii="Verdana" w:hAnsi="Verdana"/>
                          <w:b/>
                        </w:rPr>
                        <w:t>Lithuania</w:t>
                      </w:r>
                      <w:r w:rsidRPr="006C1104">
                        <w:rPr>
                          <w:rFonts w:ascii="Verdana" w:hAnsi="Verdana"/>
                        </w:rPr>
                        <w:t>, the achievement of the WFD goals has been postponed mainly as a result of natural conditions. According to the RBMPs, the achievement of good status or potential for water bodies will require more than EUR 240 million of investments for relevant state and municipal institutions as well as individual (private) operators. About EUR 46 million per year will be needed for pollution reduction and other improvement measures yearly (2016–2021);</w:t>
                      </w:r>
                    </w:p>
                    <w:p w14:paraId="77916D55" w14:textId="7080B1DC" w:rsidR="006B31EF" w:rsidRPr="006C1104" w:rsidRDefault="006B31EF" w:rsidP="00324094">
                      <w:pPr>
                        <w:pStyle w:val="WDBullets"/>
                        <w:ind w:left="567" w:right="321"/>
                        <w:jc w:val="both"/>
                        <w:rPr>
                          <w:rFonts w:ascii="Verdana" w:hAnsi="Verdana"/>
                        </w:rPr>
                      </w:pPr>
                      <w:r w:rsidRPr="006C1104">
                        <w:rPr>
                          <w:rFonts w:ascii="Verdana" w:hAnsi="Verdana"/>
                        </w:rPr>
                        <w:t xml:space="preserve">In </w:t>
                      </w:r>
                      <w:r w:rsidRPr="006C1104">
                        <w:rPr>
                          <w:rFonts w:ascii="Verdana" w:hAnsi="Verdana"/>
                          <w:b/>
                        </w:rPr>
                        <w:t>Romania</w:t>
                      </w:r>
                      <w:r w:rsidRPr="006C1104">
                        <w:rPr>
                          <w:rFonts w:ascii="Verdana" w:hAnsi="Verdana"/>
                        </w:rPr>
                        <w:t>: The analysis of the total investment gap to ensure full achievement of the WFD objectives (for the period 2021-2027) will take place in the context of the 3</w:t>
                      </w:r>
                      <w:r w:rsidRPr="006C1104">
                        <w:rPr>
                          <w:rFonts w:ascii="Verdana" w:hAnsi="Verdana"/>
                          <w:vertAlign w:val="superscript"/>
                        </w:rPr>
                        <w:t>rd</w:t>
                      </w:r>
                      <w:r w:rsidRPr="006C1104">
                        <w:rPr>
                          <w:rFonts w:ascii="Verdana" w:hAnsi="Verdana"/>
                        </w:rPr>
                        <w:t xml:space="preserve"> planning cycle for delivering the 3</w:t>
                      </w:r>
                      <w:r w:rsidRPr="006C1104">
                        <w:rPr>
                          <w:rFonts w:ascii="Verdana" w:hAnsi="Verdana"/>
                          <w:vertAlign w:val="superscript"/>
                        </w:rPr>
                        <w:t>rd</w:t>
                      </w:r>
                      <w:r w:rsidRPr="006C1104">
                        <w:rPr>
                          <w:rFonts w:ascii="Verdana" w:hAnsi="Verdana"/>
                        </w:rPr>
                        <w:t xml:space="preserve"> RBMPs.</w:t>
                      </w:r>
                    </w:p>
                    <w:p w14:paraId="14342C8D" w14:textId="32631107" w:rsidR="00324094" w:rsidRPr="00324094" w:rsidRDefault="00324094" w:rsidP="00324094">
                      <w:pPr>
                        <w:pStyle w:val="WDBullets"/>
                        <w:numPr>
                          <w:ilvl w:val="0"/>
                          <w:numId w:val="0"/>
                        </w:numPr>
                        <w:jc w:val="both"/>
                        <w:rPr>
                          <w:rFonts w:ascii="Verdana" w:hAnsi="Verdana"/>
                          <w:sz w:val="14"/>
                          <w:szCs w:val="14"/>
                        </w:rPr>
                      </w:pPr>
                      <w:r w:rsidRPr="00324094">
                        <w:rPr>
                          <w:rFonts w:ascii="Verdana" w:hAnsi="Verdana"/>
                          <w:sz w:val="14"/>
                          <w:szCs w:val="14"/>
                        </w:rPr>
                        <w:t>Source: Data extracted from country information collated by the project team and provided by Member States</w:t>
                      </w:r>
                    </w:p>
                  </w:txbxContent>
                </v:textbox>
                <w10:wrap type="square"/>
              </v:rect>
            </w:pict>
          </mc:Fallback>
        </mc:AlternateContent>
      </w:r>
      <w:r w:rsidR="006B31EF" w:rsidRPr="00F22465">
        <w:rPr>
          <w:rFonts w:ascii="Verdana" w:hAnsi="Verdana"/>
        </w:rPr>
        <w:t>Source: Data extracted from country information collated by the project team and provided by Member States</w:t>
      </w:r>
    </w:p>
    <w:p w14:paraId="220861B3" w14:textId="031FB571" w:rsidR="00F16218" w:rsidRDefault="00F16218" w:rsidP="006B31EF">
      <w:pPr>
        <w:pStyle w:val="Body"/>
        <w:rPr>
          <w:lang w:val="en-US"/>
        </w:rPr>
      </w:pPr>
    </w:p>
    <w:p w14:paraId="7280671F" w14:textId="0A70A8F4" w:rsidR="00F16218" w:rsidRDefault="00F16218" w:rsidP="006B31EF">
      <w:pPr>
        <w:pStyle w:val="Body"/>
        <w:rPr>
          <w:lang w:val="en-US"/>
        </w:rPr>
      </w:pPr>
    </w:p>
    <w:p w14:paraId="1EA5A7C7" w14:textId="578008F3" w:rsidR="00F16218" w:rsidRDefault="00F16218" w:rsidP="006B31EF">
      <w:pPr>
        <w:pStyle w:val="Body"/>
        <w:rPr>
          <w:lang w:val="en-US"/>
        </w:rPr>
      </w:pPr>
      <w:r w:rsidRPr="006B31EF">
        <w:rPr>
          <w:lang w:val="en-US"/>
        </w:rPr>
        <w:t xml:space="preserve">In some countries, the </w:t>
      </w:r>
      <w:r w:rsidRPr="006B31EF">
        <w:rPr>
          <w:b/>
          <w:lang w:val="en-US"/>
        </w:rPr>
        <w:t>assessments of future investment needs strongly focuses on</w:t>
      </w:r>
      <w:r w:rsidRPr="006B31EF">
        <w:rPr>
          <w:lang w:val="en-US"/>
        </w:rPr>
        <w:t xml:space="preserve"> investment needs for the </w:t>
      </w:r>
      <w:r w:rsidRPr="006B31EF">
        <w:rPr>
          <w:b/>
          <w:lang w:val="en-US"/>
        </w:rPr>
        <w:t>water supply and sanitation infrastructure</w:t>
      </w:r>
      <w:r w:rsidRPr="006B31EF">
        <w:rPr>
          <w:lang w:val="en-US"/>
        </w:rPr>
        <w:t xml:space="preserve"> (</w:t>
      </w:r>
      <w:r>
        <w:rPr>
          <w:lang w:val="en-US"/>
        </w:rPr>
        <w:t>see Box 5.2 below</w:t>
      </w:r>
      <w:r w:rsidRPr="006B31EF">
        <w:rPr>
          <w:lang w:val="en-US"/>
        </w:rPr>
        <w:t>).</w:t>
      </w:r>
    </w:p>
    <w:p w14:paraId="329CAE83" w14:textId="7F188B5B" w:rsidR="006B31EF" w:rsidRPr="006B31EF" w:rsidRDefault="006B31EF" w:rsidP="006B31EF">
      <w:pPr>
        <w:pStyle w:val="Body"/>
        <w:rPr>
          <w:lang w:val="en-US"/>
        </w:rPr>
      </w:pPr>
    </w:p>
    <w:p w14:paraId="3FDFAE48" w14:textId="65E4407F" w:rsidR="006B31EF" w:rsidRPr="006B31EF" w:rsidRDefault="006B31EF" w:rsidP="006B31EF">
      <w:pPr>
        <w:pStyle w:val="Body"/>
        <w:rPr>
          <w:lang w:val="en-US"/>
        </w:rPr>
      </w:pPr>
      <w:r w:rsidRPr="0040676E">
        <w:rPr>
          <w:noProof/>
          <w:lang w:val="en-US"/>
        </w:rPr>
        <mc:AlternateContent>
          <mc:Choice Requires="wps">
            <w:drawing>
              <wp:inline distT="0" distB="0" distL="0" distR="0" wp14:anchorId="0B2F269F" wp14:editId="2AE95226">
                <wp:extent cx="5774266" cy="2065866"/>
                <wp:effectExtent l="0" t="0" r="17145" b="10795"/>
                <wp:docPr id="53" name="Rectangle 53"/>
                <wp:cNvGraphicFramePr/>
                <a:graphic xmlns:a="http://schemas.openxmlformats.org/drawingml/2006/main">
                  <a:graphicData uri="http://schemas.microsoft.com/office/word/2010/wordprocessingShape">
                    <wps:wsp>
                      <wps:cNvSpPr/>
                      <wps:spPr>
                        <a:xfrm>
                          <a:off x="0" y="0"/>
                          <a:ext cx="5774266" cy="2065866"/>
                        </a:xfrm>
                        <a:prstGeom prst="rect">
                          <a:avLst/>
                        </a:prstGeom>
                        <a:solidFill>
                          <a:schemeClr val="bg1"/>
                        </a:solidFill>
                        <a:ln w="25400" cap="flat" cmpd="sng" algn="ctr">
                          <a:solidFill>
                            <a:schemeClr val="accent1"/>
                          </a:solidFill>
                          <a:prstDash val="solid"/>
                        </a:ln>
                        <a:effectLst/>
                      </wps:spPr>
                      <wps:txbx>
                        <w:txbxContent>
                          <w:p w14:paraId="211C5137" w14:textId="77777777" w:rsidR="006B31EF" w:rsidRPr="005E72D4"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5E72D4">
                              <w:rPr>
                                <w:rFonts w:asciiTheme="majorHAnsi" w:eastAsiaTheme="majorEastAsia" w:hAnsiTheme="majorHAnsi" w:cstheme="majorBidi"/>
                                <w:caps/>
                                <w:color w:val="4F81BD" w:themeColor="accent1"/>
                                <w:szCs w:val="24"/>
                              </w:rPr>
                              <w:t>Box 5.2 FOCUS ON WATER INFRASTRUCTURE</w:t>
                            </w:r>
                          </w:p>
                          <w:p w14:paraId="56645DDB" w14:textId="77777777" w:rsidR="006B31EF" w:rsidRPr="006C1104" w:rsidRDefault="006B31EF" w:rsidP="00F16218">
                            <w:pPr>
                              <w:pStyle w:val="WDBullets"/>
                              <w:ind w:left="567" w:right="259"/>
                              <w:jc w:val="both"/>
                              <w:rPr>
                                <w:rFonts w:ascii="Verdana" w:hAnsi="Verdana"/>
                              </w:rPr>
                            </w:pPr>
                            <w:r w:rsidRPr="006C1104">
                              <w:rPr>
                                <w:rFonts w:ascii="Verdana" w:hAnsi="Verdana"/>
                              </w:rPr>
                              <w:t xml:space="preserve">In </w:t>
                            </w:r>
                            <w:r w:rsidRPr="006C1104">
                              <w:rPr>
                                <w:rFonts w:ascii="Verdana" w:hAnsi="Verdana"/>
                                <w:b/>
                                <w:bCs/>
                              </w:rPr>
                              <w:t>Estonia</w:t>
                            </w:r>
                            <w:r w:rsidRPr="006C1104">
                              <w:rPr>
                                <w:rFonts w:ascii="Verdana" w:hAnsi="Verdana"/>
                              </w:rPr>
                              <w:t>, the "Water Infrastructure Investment Plan" estimated that 1.1 billion Euro should be invested in the water management infrastructure in the next 12 years. In order to maintain or achieve compliance with the requirements of the UWWD and DWD, around 893 million Euro will be required, out of which 434 million Euro in the next 4 years and 459 million Euro in the next 5-12 years.</w:t>
                            </w:r>
                          </w:p>
                          <w:p w14:paraId="63718135" w14:textId="77777777" w:rsidR="006B31EF" w:rsidRPr="006C1104" w:rsidRDefault="006B31EF" w:rsidP="00F16218">
                            <w:pPr>
                              <w:pStyle w:val="WDBullets"/>
                              <w:ind w:left="567" w:right="259"/>
                              <w:jc w:val="both"/>
                              <w:rPr>
                                <w:rFonts w:ascii="Verdana" w:hAnsi="Verdana"/>
                                <w:b/>
                                <w:bCs/>
                              </w:rPr>
                            </w:pPr>
                            <w:r w:rsidRPr="006C1104">
                              <w:rPr>
                                <w:rFonts w:ascii="Verdana" w:hAnsi="Verdana"/>
                              </w:rPr>
                              <w:t xml:space="preserve">In </w:t>
                            </w:r>
                            <w:r w:rsidRPr="006C1104">
                              <w:rPr>
                                <w:rFonts w:ascii="Verdana" w:hAnsi="Verdana"/>
                                <w:b/>
                                <w:bCs/>
                              </w:rPr>
                              <w:t>Slovakia</w:t>
                            </w:r>
                            <w:r w:rsidRPr="006C1104">
                              <w:rPr>
                                <w:rFonts w:ascii="Verdana" w:hAnsi="Verdana"/>
                              </w:rPr>
                              <w:t>, cost estimates for upgrading the sewerage networks and wastewater treatment plants (WWTPs) by 2027 are 1.56 billion Euro. Cost estimates for improving public water supply by 2027 are 656.60 million Euro.</w:t>
                            </w:r>
                          </w:p>
                          <w:p w14:paraId="1476C89D" w14:textId="77777777" w:rsidR="006B31EF" w:rsidRPr="006B31EF" w:rsidRDefault="006B31EF" w:rsidP="006B31EF">
                            <w:pPr>
                              <w:rPr>
                                <w:b/>
                                <w:bCs/>
                                <w:color w:val="4F81BD" w:themeColor="accent1"/>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0B2F269F" id="Rectangle 53" o:spid="_x0000_s1027" style="width:454.65pt;height:1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jUZQIAAN8EAAAOAAAAZHJzL2Uyb0RvYy54bWysVE1v2zAMvQ/YfxB0X51kTVoEdYqgRYcB&#10;RVs0HXpmZMk2oK9RSuzu14+SnWbtehp2kUmJeiSfHn1x2RvN9hJD62zJpycTzqQVrmptXfIfTzdf&#10;zjkLEWwF2llZ8hcZ+OXq86eLzi/lzDVOVxIZgdiw7HzJmxj9siiCaKSBcOK8tHSoHBqI5GJdVAgd&#10;oRtdzCaTRdE5rDw6IUOg3evhkK8yvlJSxHulgoxMl5xqi3nFvG7TWqwuYFkj+KYVYxnwD1UYaC0l&#10;fYW6hghsh+1fUKYV6IJT8UQ4UzilWiFzD9TNdPKum00DXuZeiJzgX2kK/w9W3O0fkLVVyedfObNg&#10;6I0eiTWwtZaM9oigzoclxW38A45eIDN12ys06Ut9sD6T+vJKquwjE7Q5Pzs7nS0WnAk6m00W83Ny&#10;CKc4XvcY4jfpDEtGyZHyZzJhfxviEHoISdmC021102qdnaQUeaWR7YHeeFtPR/A3UdqyjrLPTyck&#10;AgEkNKUhkmk8tR5szRnomhQsIubUb25nNR5zgBDSxg/zpDKvITRDMRlkLEfbVK3Mkhy7SrwOTCYr&#10;9ts+P0QGTjtbV73Q46AbVBu8uGkJ/xZCfAAkmVIvNHrxnhalHTXoRouzxuGvj/ZTPKmHTjnrSPbU&#10;/M8doORMf7ekqzQjBwMPxvZg2J25csTylIbai2zSBYz6YCp05pkmcp2y0BFYQblKTlQP5lUcho8m&#10;Wsj1OgfRJHiIt3bjRYJOPCUen/pnQD9qIpKc7txhIGD5ThpDbLpp3XoXnWqzbo4skt6SQ1OUlTdO&#10;fBrTP/0cdfwvrX4DAAD//wMAUEsDBBQABgAIAAAAIQD3Zej22wAAAAUBAAAPAAAAZHJzL2Rvd25y&#10;ZXYueG1sTI/NTsMwEITvSLyDtUjcqE0jEA3ZVAWpcOgB0cLdjTc/SryObDcNb4/hApeVRjOa+bZY&#10;z3YQE/nQOUa4XSgQxJUzHTcIH4ftzQOIEDUbPTgmhC8KsC4vLwqdG3fmd5r2sRGphEOuEdoYx1zK&#10;ULVkdVi4kTh5tfNWxyR9I43X51RuB7lU6l5a3XFaaPVIzy1V/f5kET77vg47VWdvT4fpdbPbvvho&#10;LOL11bx5BBFpjn9h+MFP6FAmpqM7sQliQEiPxN+bvJVaZSCOCNnyLgNZFvI/ffkNAAD//wMAUEsB&#10;Ai0AFAAGAAgAAAAhALaDOJL+AAAA4QEAABMAAAAAAAAAAAAAAAAAAAAAAFtDb250ZW50X1R5cGVz&#10;XS54bWxQSwECLQAUAAYACAAAACEAOP0h/9YAAACUAQAACwAAAAAAAAAAAAAAAAAvAQAAX3JlbHMv&#10;LnJlbHNQSwECLQAUAAYACAAAACEAlX1Y1GUCAADfBAAADgAAAAAAAAAAAAAAAAAuAgAAZHJzL2Uy&#10;b0RvYy54bWxQSwECLQAUAAYACAAAACEA92Xo9tsAAAAFAQAADwAAAAAAAAAAAAAAAAC/BAAAZHJz&#10;L2Rvd25yZXYueG1sUEsFBgAAAAAEAAQA8wAAAMcFAAAAAA==&#10;" fillcolor="white [3212]" strokecolor="#4f81bd [3204]" strokeweight="2pt">
                <v:textbox inset="0,0,0,0">
                  <w:txbxContent>
                    <w:p w14:paraId="211C5137" w14:textId="77777777" w:rsidR="006B31EF" w:rsidRPr="005E72D4"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5E72D4">
                        <w:rPr>
                          <w:rFonts w:asciiTheme="majorHAnsi" w:eastAsiaTheme="majorEastAsia" w:hAnsiTheme="majorHAnsi" w:cstheme="majorBidi"/>
                          <w:caps/>
                          <w:color w:val="4F81BD" w:themeColor="accent1"/>
                          <w:szCs w:val="24"/>
                        </w:rPr>
                        <w:t>Box 5.2 FOCUS ON WATER INFRASTRUCTURE</w:t>
                      </w:r>
                    </w:p>
                    <w:p w14:paraId="56645DDB" w14:textId="77777777" w:rsidR="006B31EF" w:rsidRPr="006C1104" w:rsidRDefault="006B31EF" w:rsidP="00F16218">
                      <w:pPr>
                        <w:pStyle w:val="WDBullets"/>
                        <w:ind w:left="567" w:right="259"/>
                        <w:jc w:val="both"/>
                        <w:rPr>
                          <w:rFonts w:ascii="Verdana" w:hAnsi="Verdana"/>
                        </w:rPr>
                      </w:pPr>
                      <w:r w:rsidRPr="006C1104">
                        <w:rPr>
                          <w:rFonts w:ascii="Verdana" w:hAnsi="Verdana"/>
                        </w:rPr>
                        <w:t xml:space="preserve">In </w:t>
                      </w:r>
                      <w:r w:rsidRPr="006C1104">
                        <w:rPr>
                          <w:rFonts w:ascii="Verdana" w:hAnsi="Verdana"/>
                          <w:b/>
                          <w:bCs/>
                        </w:rPr>
                        <w:t>Estonia</w:t>
                      </w:r>
                      <w:r w:rsidRPr="006C1104">
                        <w:rPr>
                          <w:rFonts w:ascii="Verdana" w:hAnsi="Verdana"/>
                        </w:rPr>
                        <w:t>, the "Water Infrastructure Investment Plan" estimated that 1.1 billion Euro should be invested in the water management infrastructure in the next 12 years. In order to maintain or achieve compliance with the requirements of the UWWD and DWD, around 893 million Euro will be required, out of which 434 million Euro in the next 4 years and 459 million Euro in the next 5-12 years.</w:t>
                      </w:r>
                    </w:p>
                    <w:p w14:paraId="63718135" w14:textId="77777777" w:rsidR="006B31EF" w:rsidRPr="006C1104" w:rsidRDefault="006B31EF" w:rsidP="00F16218">
                      <w:pPr>
                        <w:pStyle w:val="WDBullets"/>
                        <w:ind w:left="567" w:right="259"/>
                        <w:jc w:val="both"/>
                        <w:rPr>
                          <w:rFonts w:ascii="Verdana" w:hAnsi="Verdana"/>
                          <w:b/>
                          <w:bCs/>
                        </w:rPr>
                      </w:pPr>
                      <w:r w:rsidRPr="006C1104">
                        <w:rPr>
                          <w:rFonts w:ascii="Verdana" w:hAnsi="Verdana"/>
                        </w:rPr>
                        <w:t xml:space="preserve">In </w:t>
                      </w:r>
                      <w:r w:rsidRPr="006C1104">
                        <w:rPr>
                          <w:rFonts w:ascii="Verdana" w:hAnsi="Verdana"/>
                          <w:b/>
                          <w:bCs/>
                        </w:rPr>
                        <w:t>Slovakia</w:t>
                      </w:r>
                      <w:r w:rsidRPr="006C1104">
                        <w:rPr>
                          <w:rFonts w:ascii="Verdana" w:hAnsi="Verdana"/>
                        </w:rPr>
                        <w:t>, cost estimates for upgrading the sewerage networks and wastewater treatment plants (WWTPs) by 2027 are 1.56 billion Euro. Cost estimates for improving public water supply by 2027 are 656.60 million Euro.</w:t>
                      </w:r>
                    </w:p>
                    <w:p w14:paraId="1476C89D" w14:textId="77777777" w:rsidR="006B31EF" w:rsidRPr="006B31EF" w:rsidRDefault="006B31EF" w:rsidP="006B31EF">
                      <w:pPr>
                        <w:rPr>
                          <w:b/>
                          <w:bCs/>
                          <w:color w:val="4F81BD" w:themeColor="accent1"/>
                          <w:lang w:val="en-US"/>
                        </w:rPr>
                      </w:pPr>
                    </w:p>
                  </w:txbxContent>
                </v:textbox>
                <w10:anchorlock/>
              </v:rect>
            </w:pict>
          </mc:Fallback>
        </mc:AlternateContent>
      </w:r>
    </w:p>
    <w:p w14:paraId="032DE012" w14:textId="60469A8C" w:rsidR="006B31EF" w:rsidRDefault="006B31EF" w:rsidP="006B31EF">
      <w:pPr>
        <w:pStyle w:val="WDBodySmall"/>
      </w:pPr>
      <w:r w:rsidRPr="00736A50">
        <w:t>Source: Data extracted from country information collated by the project team and provided by Member States</w:t>
      </w:r>
    </w:p>
    <w:p w14:paraId="0FA3C880" w14:textId="194F8F99" w:rsidR="00F16218" w:rsidRPr="00FE10BD" w:rsidRDefault="00F16218" w:rsidP="00F16218">
      <w:pPr>
        <w:pStyle w:val="Body"/>
        <w:rPr>
          <w:lang w:val="en-US"/>
        </w:rPr>
      </w:pPr>
    </w:p>
    <w:p w14:paraId="1C44A3CC" w14:textId="77777777" w:rsidR="00F16218" w:rsidRPr="00FE10BD" w:rsidRDefault="00F16218" w:rsidP="00F16218">
      <w:pPr>
        <w:pStyle w:val="Body"/>
        <w:rPr>
          <w:lang w:val="en-US"/>
        </w:rPr>
      </w:pPr>
    </w:p>
    <w:p w14:paraId="11F9B2D6" w14:textId="77777777" w:rsidR="006B31EF" w:rsidRPr="00C60AE3" w:rsidRDefault="006B31EF" w:rsidP="00C60AE3">
      <w:pPr>
        <w:pStyle w:val="Body"/>
        <w:rPr>
          <w:color w:val="548DD4" w:themeColor="text2" w:themeTint="99"/>
          <w:lang w:val="en-US"/>
        </w:rPr>
      </w:pPr>
      <w:r w:rsidRPr="00C60AE3">
        <w:rPr>
          <w:color w:val="548DD4" w:themeColor="text2" w:themeTint="99"/>
          <w:lang w:val="en-US"/>
        </w:rPr>
        <w:t>Measures</w:t>
      </w:r>
    </w:p>
    <w:p w14:paraId="334E7A3C" w14:textId="77777777" w:rsidR="006B31EF" w:rsidRPr="006B31EF" w:rsidRDefault="006B31EF" w:rsidP="006B31EF">
      <w:pPr>
        <w:pStyle w:val="Body"/>
        <w:rPr>
          <w:lang w:val="en-US"/>
        </w:rPr>
      </w:pPr>
      <w:r w:rsidRPr="006B31EF">
        <w:rPr>
          <w:lang w:val="en-US"/>
        </w:rPr>
        <w:t>A wide range of measures is included in the 2</w:t>
      </w:r>
      <w:r w:rsidRPr="006B31EF">
        <w:rPr>
          <w:vertAlign w:val="superscript"/>
          <w:lang w:val="en-US"/>
        </w:rPr>
        <w:t>nd</w:t>
      </w:r>
      <w:r w:rsidRPr="006B31EF">
        <w:rPr>
          <w:lang w:val="en-US"/>
        </w:rPr>
        <w:t xml:space="preserve"> RBMPs to address pressures caused by:</w:t>
      </w:r>
    </w:p>
    <w:p w14:paraId="64B42D01" w14:textId="77777777" w:rsidR="006B31EF" w:rsidRPr="00C60AE3" w:rsidRDefault="006B31EF" w:rsidP="006B31EF">
      <w:pPr>
        <w:pStyle w:val="WDBullets"/>
        <w:jc w:val="both"/>
        <w:rPr>
          <w:rFonts w:ascii="Verdana" w:hAnsi="Verdana"/>
        </w:rPr>
      </w:pPr>
      <w:r w:rsidRPr="00C60AE3">
        <w:rPr>
          <w:rFonts w:ascii="Verdana" w:hAnsi="Verdana"/>
          <w:b/>
        </w:rPr>
        <w:t>Abstraction and water scarcity</w:t>
      </w:r>
      <w:r w:rsidRPr="00C60AE3">
        <w:rPr>
          <w:rFonts w:ascii="Verdana" w:hAnsi="Verdana"/>
        </w:rPr>
        <w:t xml:space="preserve"> (e.g. improvements in flow regime, water efficiency measures, drinking water protection measures, water pricing policy measures etc.);</w:t>
      </w:r>
    </w:p>
    <w:p w14:paraId="6F2F7E11" w14:textId="77777777" w:rsidR="006B31EF" w:rsidRPr="00C60AE3" w:rsidRDefault="006B31EF" w:rsidP="006B31EF">
      <w:pPr>
        <w:pStyle w:val="WDBullets"/>
        <w:jc w:val="both"/>
        <w:rPr>
          <w:rFonts w:ascii="Verdana" w:hAnsi="Verdana"/>
        </w:rPr>
      </w:pPr>
      <w:r w:rsidRPr="00C60AE3">
        <w:rPr>
          <w:rFonts w:ascii="Verdana" w:hAnsi="Verdana"/>
          <w:b/>
        </w:rPr>
        <w:t>Non-agricultural pollution sources</w:t>
      </w:r>
      <w:r w:rsidRPr="00C60AE3">
        <w:rPr>
          <w:rFonts w:ascii="Verdana" w:hAnsi="Verdana"/>
        </w:rPr>
        <w:t xml:space="preserve"> (e.g. construction or upgrades of urban wastewater treatment plants and industrial wastewater treatment plants, remediation of contaminated sites (historical pollution including sediments, groundwater, soil), measures tackling Priority Substances and Priority Hazardous Substances etc.);</w:t>
      </w:r>
    </w:p>
    <w:p w14:paraId="0C0431F0" w14:textId="77777777" w:rsidR="006B31EF" w:rsidRPr="00C60AE3" w:rsidRDefault="006B31EF" w:rsidP="006B31EF">
      <w:pPr>
        <w:pStyle w:val="WDBullets"/>
        <w:jc w:val="both"/>
        <w:rPr>
          <w:rFonts w:ascii="Verdana" w:hAnsi="Verdana"/>
          <w:b/>
        </w:rPr>
      </w:pPr>
      <w:r w:rsidRPr="00C60AE3">
        <w:rPr>
          <w:rFonts w:ascii="Verdana" w:hAnsi="Verdana"/>
          <w:b/>
        </w:rPr>
        <w:t xml:space="preserve">Pollution from agriculture </w:t>
      </w:r>
      <w:r w:rsidRPr="00C60AE3">
        <w:rPr>
          <w:rFonts w:ascii="Verdana" w:hAnsi="Verdana"/>
        </w:rPr>
        <w:t xml:space="preserve">(e.g. measures to reduce nutrient pollution </w:t>
      </w:r>
      <w:r w:rsidRPr="00C60AE3">
        <w:rPr>
          <w:rStyle w:val="BodyChar"/>
          <w:lang w:val="en-US"/>
        </w:rPr>
        <w:t>from agriculture, measures to reduce pesticides pollution from agriculture, phase-out or reduce emissions of Priority Hazardous Substances / Priority</w:t>
      </w:r>
      <w:r w:rsidRPr="00C60AE3">
        <w:rPr>
          <w:rFonts w:ascii="Verdana" w:hAnsi="Verdana"/>
        </w:rPr>
        <w:t xml:space="preserve"> Substances and drinking water protection measures); and </w:t>
      </w:r>
    </w:p>
    <w:p w14:paraId="17FC7D10" w14:textId="77777777" w:rsidR="006B31EF" w:rsidRPr="00C60AE3" w:rsidRDefault="006B31EF" w:rsidP="006B31EF">
      <w:pPr>
        <w:pStyle w:val="WDBullets"/>
        <w:jc w:val="both"/>
        <w:rPr>
          <w:rFonts w:ascii="Verdana" w:hAnsi="Verdana"/>
          <w:b/>
        </w:rPr>
      </w:pPr>
      <w:r w:rsidRPr="00C60AE3">
        <w:rPr>
          <w:rFonts w:ascii="Verdana" w:hAnsi="Verdana"/>
          <w:b/>
        </w:rPr>
        <w:t xml:space="preserve">Hydro-morphological alterations </w:t>
      </w:r>
      <w:r w:rsidRPr="00C60AE3">
        <w:rPr>
          <w:rStyle w:val="BodyChar"/>
          <w:lang w:val="en-US"/>
        </w:rPr>
        <w:t>(e.g. improving longitudinal continuity, improving hydro-morphological conditions of water bodies (e.g. river restoration), improvements in flow regime and/or establishment of ecological flows, natural water retention measures)</w:t>
      </w:r>
      <w:r w:rsidRPr="00C60AE3">
        <w:rPr>
          <w:rFonts w:ascii="Verdana" w:hAnsi="Verdana"/>
          <w:vertAlign w:val="superscript"/>
        </w:rPr>
        <w:footnoteReference w:id="33"/>
      </w:r>
    </w:p>
    <w:p w14:paraId="4C567D1E" w14:textId="654DDE7A" w:rsidR="006B31EF" w:rsidRDefault="006B31EF" w:rsidP="006B31EF">
      <w:pPr>
        <w:pStyle w:val="Body"/>
        <w:rPr>
          <w:lang w:val="en-US"/>
        </w:rPr>
      </w:pPr>
      <w:r w:rsidRPr="006B31EF">
        <w:rPr>
          <w:lang w:val="en-US"/>
        </w:rPr>
        <w:t xml:space="preserve">The majority of countries estimate and report costs of planned measures by sector or by type of measure in their RBMPs (see Figure below). </w:t>
      </w:r>
    </w:p>
    <w:p w14:paraId="775CC888" w14:textId="3D85FDEC" w:rsidR="00FE10BD" w:rsidRDefault="00FE10BD" w:rsidP="006B31EF">
      <w:pPr>
        <w:pStyle w:val="Body"/>
        <w:rPr>
          <w:lang w:val="en-US"/>
        </w:rPr>
      </w:pPr>
    </w:p>
    <w:p w14:paraId="586B0B98" w14:textId="6368FDB2" w:rsidR="00FE10BD" w:rsidRDefault="00FE10BD" w:rsidP="006B31EF">
      <w:pPr>
        <w:pStyle w:val="Body"/>
        <w:rPr>
          <w:lang w:val="en-US"/>
        </w:rPr>
      </w:pPr>
    </w:p>
    <w:p w14:paraId="4DD97C64" w14:textId="652213FE" w:rsidR="00FE10BD" w:rsidRDefault="00FE10BD" w:rsidP="006B31EF">
      <w:pPr>
        <w:pStyle w:val="Body"/>
        <w:rPr>
          <w:lang w:val="en-US"/>
        </w:rPr>
      </w:pPr>
    </w:p>
    <w:p w14:paraId="6765F17B" w14:textId="77777777" w:rsidR="00FE10BD" w:rsidRPr="006B31EF" w:rsidRDefault="00FE10BD" w:rsidP="006B31EF">
      <w:pPr>
        <w:pStyle w:val="Body"/>
        <w:rPr>
          <w:lang w:val="en-US"/>
        </w:rPr>
      </w:pPr>
    </w:p>
    <w:p w14:paraId="2D0ACB7B" w14:textId="08637070" w:rsidR="006B31EF" w:rsidRPr="00FE10BD" w:rsidRDefault="00FE10BD" w:rsidP="00FE10BD">
      <w:pPr>
        <w:pStyle w:val="Caption"/>
        <w:rPr>
          <w:rFonts w:ascii="Verdana" w:hAnsi="Verdana"/>
          <w:color w:val="548DD4" w:themeColor="text2" w:themeTint="99"/>
          <w:sz w:val="18"/>
          <w:szCs w:val="18"/>
          <w:lang w:val="en-US"/>
        </w:rPr>
      </w:pPr>
      <w:bookmarkStart w:id="64" w:name="_Toc56669505"/>
      <w:bookmarkStart w:id="65" w:name="_Toc56776756"/>
      <w:bookmarkStart w:id="66" w:name="_Toc59181819"/>
      <w:r w:rsidRPr="00FE10BD">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Pr="00FE10BD">
        <w:rPr>
          <w:rFonts w:ascii="Verdana" w:hAnsi="Verdana"/>
          <w:color w:val="548DD4" w:themeColor="text2" w:themeTint="99"/>
          <w:sz w:val="18"/>
          <w:szCs w:val="18"/>
          <w:lang w:val="en-US"/>
        </w:rPr>
        <w:t xml:space="preserve"> </w:t>
      </w:r>
      <w:r w:rsidR="006B31EF" w:rsidRPr="00FE10BD">
        <w:rPr>
          <w:rFonts w:ascii="Verdana" w:hAnsi="Verdana"/>
          <w:color w:val="548DD4" w:themeColor="text2" w:themeTint="99"/>
          <w:sz w:val="18"/>
          <w:szCs w:val="18"/>
          <w:lang w:val="en-US"/>
        </w:rPr>
        <w:t xml:space="preserve">Knowledge base – </w:t>
      </w:r>
      <w:bookmarkStart w:id="67" w:name="_Hlk58933173"/>
      <w:r w:rsidR="006B31EF" w:rsidRPr="00FE10BD">
        <w:rPr>
          <w:rFonts w:ascii="Verdana" w:hAnsi="Verdana"/>
          <w:color w:val="548DD4" w:themeColor="text2" w:themeTint="99"/>
          <w:sz w:val="18"/>
          <w:szCs w:val="18"/>
          <w:lang w:val="en-US"/>
        </w:rPr>
        <w:t xml:space="preserve">number of countries reporting </w:t>
      </w:r>
      <w:bookmarkEnd w:id="67"/>
      <w:r w:rsidR="006B31EF" w:rsidRPr="00FE10BD">
        <w:rPr>
          <w:rFonts w:ascii="Verdana" w:hAnsi="Verdana"/>
          <w:color w:val="548DD4" w:themeColor="text2" w:themeTint="99"/>
          <w:sz w:val="18"/>
          <w:szCs w:val="18"/>
          <w:lang w:val="en-US"/>
        </w:rPr>
        <w:t>costs of measures by sector or type in the 2nd RBMPs</w:t>
      </w:r>
      <w:bookmarkEnd w:id="64"/>
      <w:bookmarkEnd w:id="65"/>
      <w:bookmarkEnd w:id="66"/>
    </w:p>
    <w:p w14:paraId="122CF086" w14:textId="77777777" w:rsidR="006B31EF" w:rsidRPr="00736A50" w:rsidRDefault="006B31EF" w:rsidP="006B31EF">
      <w:pPr>
        <w:pStyle w:val="Body"/>
        <w:rPr>
          <w:lang w:eastAsia="en-GB"/>
        </w:rPr>
      </w:pPr>
      <w:r w:rsidRPr="0040676E">
        <w:rPr>
          <w:noProof/>
          <w:lang w:val="en-US"/>
        </w:rPr>
        <w:drawing>
          <wp:inline distT="0" distB="0" distL="0" distR="0" wp14:anchorId="5401442A" wp14:editId="4FA0F2CC">
            <wp:extent cx="6084570" cy="12134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4570" cy="1213485"/>
                    </a:xfrm>
                    <a:prstGeom prst="rect">
                      <a:avLst/>
                    </a:prstGeom>
                    <a:noFill/>
                  </pic:spPr>
                </pic:pic>
              </a:graphicData>
            </a:graphic>
          </wp:inline>
        </w:drawing>
      </w:r>
    </w:p>
    <w:p w14:paraId="6113F90E" w14:textId="77777777" w:rsidR="006B31EF" w:rsidRPr="005878B4" w:rsidRDefault="006B31EF" w:rsidP="005878B4">
      <w:pPr>
        <w:spacing w:after="120"/>
        <w:rPr>
          <w:rFonts w:ascii="Verdana" w:hAnsi="Verdana" w:cs="Segoe UI"/>
          <w:sz w:val="14"/>
          <w:szCs w:val="14"/>
        </w:rPr>
      </w:pPr>
      <w:r w:rsidRPr="005878B4">
        <w:rPr>
          <w:rFonts w:ascii="Verdana" w:hAnsi="Verdana" w:cs="Segoe UI"/>
          <w:sz w:val="14"/>
          <w:szCs w:val="14"/>
        </w:rPr>
        <w:t xml:space="preserve">Note: </w:t>
      </w:r>
    </w:p>
    <w:p w14:paraId="564666A6" w14:textId="77777777" w:rsidR="006B31EF" w:rsidRPr="005878B4" w:rsidRDefault="006B31EF" w:rsidP="00A13462">
      <w:pPr>
        <w:pStyle w:val="ListParagraph"/>
        <w:numPr>
          <w:ilvl w:val="0"/>
          <w:numId w:val="33"/>
        </w:numPr>
        <w:spacing w:after="0" w:line="240" w:lineRule="auto"/>
        <w:contextualSpacing w:val="0"/>
        <w:rPr>
          <w:rFonts w:ascii="Verdana" w:hAnsi="Verdana" w:cs="Segoe UI"/>
          <w:sz w:val="14"/>
          <w:szCs w:val="14"/>
          <w:lang w:val="en-GB"/>
        </w:rPr>
      </w:pPr>
      <w:r w:rsidRPr="005878B4">
        <w:rPr>
          <w:rFonts w:ascii="Verdana" w:hAnsi="Verdana" w:cs="Segoe UI"/>
          <w:sz w:val="14"/>
          <w:szCs w:val="14"/>
          <w:lang w:val="en-GB"/>
        </w:rPr>
        <w:t xml:space="preserve">“Yes” cover Member States that report costs of measures by KTM, sector or other national categorisation; </w:t>
      </w:r>
    </w:p>
    <w:p w14:paraId="65DCE2F7" w14:textId="77777777" w:rsidR="006B31EF" w:rsidRPr="005878B4" w:rsidRDefault="006B31EF" w:rsidP="00A13462">
      <w:pPr>
        <w:pStyle w:val="ListParagraph"/>
        <w:numPr>
          <w:ilvl w:val="0"/>
          <w:numId w:val="33"/>
        </w:numPr>
        <w:spacing w:after="0" w:line="240" w:lineRule="auto"/>
        <w:contextualSpacing w:val="0"/>
        <w:rPr>
          <w:rFonts w:ascii="Verdana" w:hAnsi="Verdana" w:cs="Segoe UI"/>
          <w:color w:val="000000"/>
          <w:sz w:val="14"/>
          <w:szCs w:val="14"/>
          <w:lang w:val="en-GB"/>
        </w:rPr>
      </w:pPr>
      <w:r w:rsidRPr="005878B4">
        <w:rPr>
          <w:rFonts w:ascii="Verdana" w:hAnsi="Verdana" w:cs="Segoe UI"/>
          <w:sz w:val="14"/>
          <w:szCs w:val="14"/>
          <w:lang w:val="en-GB"/>
        </w:rPr>
        <w:t xml:space="preserve">“Yes, partial” cover Member States that provide costs of measures by type or sector but partially, i.e. for selected RBDs rather than the country, for specific types of water bodies (e.g. groundwater), for selected sectors or </w:t>
      </w:r>
      <w:r w:rsidRPr="005878B4">
        <w:rPr>
          <w:rFonts w:ascii="Verdana" w:hAnsi="Verdana" w:cs="Segoe UI"/>
          <w:color w:val="000000"/>
          <w:sz w:val="14"/>
          <w:szCs w:val="14"/>
          <w:lang w:val="en-GB"/>
        </w:rPr>
        <w:t xml:space="preserve">supplementary measures only; </w:t>
      </w:r>
    </w:p>
    <w:p w14:paraId="65FC16D0" w14:textId="77777777" w:rsidR="006B31EF" w:rsidRPr="005878B4" w:rsidRDefault="006B31EF" w:rsidP="00A13462">
      <w:pPr>
        <w:pStyle w:val="ListParagraph"/>
        <w:numPr>
          <w:ilvl w:val="0"/>
          <w:numId w:val="33"/>
        </w:numPr>
        <w:spacing w:after="0" w:line="240" w:lineRule="auto"/>
        <w:contextualSpacing w:val="0"/>
        <w:rPr>
          <w:rFonts w:ascii="Verdana" w:hAnsi="Verdana" w:cs="Segoe UI"/>
          <w:sz w:val="14"/>
          <w:szCs w:val="14"/>
          <w:lang w:val="en-GB"/>
        </w:rPr>
      </w:pPr>
      <w:r w:rsidRPr="005878B4">
        <w:rPr>
          <w:rFonts w:ascii="Verdana" w:hAnsi="Verdana" w:cs="Segoe UI"/>
          <w:sz w:val="14"/>
          <w:szCs w:val="14"/>
          <w:lang w:val="en-GB"/>
        </w:rPr>
        <w:t>“No” cover Member States that do not report costs by sector, type or other form of disaggregation</w:t>
      </w:r>
    </w:p>
    <w:p w14:paraId="130417C9" w14:textId="77777777" w:rsidR="006B31EF" w:rsidRPr="005878B4" w:rsidRDefault="006B31EF" w:rsidP="006B31EF">
      <w:pPr>
        <w:pStyle w:val="WDBodySmall"/>
        <w:rPr>
          <w:rFonts w:ascii="Verdana" w:hAnsi="Verdana"/>
          <w:sz w:val="14"/>
          <w:szCs w:val="14"/>
        </w:rPr>
      </w:pPr>
      <w:r w:rsidRPr="005878B4">
        <w:rPr>
          <w:rFonts w:ascii="Verdana" w:hAnsi="Verdana"/>
          <w:sz w:val="14"/>
          <w:szCs w:val="14"/>
        </w:rPr>
        <w:t>Source: Data extracted from country information collated by the project team and provided by Member States</w:t>
      </w:r>
    </w:p>
    <w:p w14:paraId="1F1134EA" w14:textId="77777777" w:rsidR="006B31EF" w:rsidRPr="00FE10BD" w:rsidRDefault="006B31EF" w:rsidP="005878B4">
      <w:pPr>
        <w:pStyle w:val="Body"/>
        <w:rPr>
          <w:lang w:val="en-US"/>
        </w:rPr>
      </w:pPr>
    </w:p>
    <w:p w14:paraId="7227C601" w14:textId="77777777" w:rsidR="006B31EF" w:rsidRPr="00736A50" w:rsidRDefault="006B31EF" w:rsidP="006B31EF">
      <w:pPr>
        <w:pStyle w:val="Body"/>
      </w:pPr>
      <w:r w:rsidRPr="006B31EF">
        <w:rPr>
          <w:lang w:val="en-US"/>
        </w:rPr>
        <w:t xml:space="preserve">There is, however, </w:t>
      </w:r>
      <w:r w:rsidRPr="006B31EF">
        <w:rPr>
          <w:b/>
          <w:bCs/>
          <w:lang w:val="en-US"/>
        </w:rPr>
        <w:t xml:space="preserve">substantial heterogeneity </w:t>
      </w:r>
      <w:r w:rsidRPr="006B31EF">
        <w:rPr>
          <w:bCs/>
          <w:lang w:val="en-US"/>
        </w:rPr>
        <w:t>in the available information on</w:t>
      </w:r>
      <w:r w:rsidRPr="006B31EF">
        <w:rPr>
          <w:b/>
          <w:bCs/>
          <w:lang w:val="en-US"/>
        </w:rPr>
        <w:t xml:space="preserve"> costs of measures by sector or by measure type </w:t>
      </w:r>
      <w:r w:rsidRPr="006B31EF">
        <w:rPr>
          <w:lang w:val="en-US"/>
        </w:rPr>
        <w:t xml:space="preserve">hindering comparisons between countries. </w:t>
      </w:r>
      <w:r w:rsidRPr="00736A50">
        <w:t>Depending on the countries, cost estimates are presented by:</w:t>
      </w:r>
    </w:p>
    <w:p w14:paraId="7AE3FBC3" w14:textId="77777777" w:rsidR="006B31EF" w:rsidRPr="00B018B9" w:rsidRDefault="006B31EF" w:rsidP="006B31EF">
      <w:pPr>
        <w:pStyle w:val="WDBullets"/>
        <w:jc w:val="both"/>
        <w:rPr>
          <w:rFonts w:ascii="Verdana" w:hAnsi="Verdana"/>
        </w:rPr>
      </w:pPr>
      <w:r w:rsidRPr="00B018B9">
        <w:rPr>
          <w:rFonts w:ascii="Verdana" w:hAnsi="Verdana"/>
        </w:rPr>
        <w:t>Sector (agriculture, industry, urban sector etc.);</w:t>
      </w:r>
    </w:p>
    <w:p w14:paraId="173E5B28" w14:textId="77777777" w:rsidR="006B31EF" w:rsidRPr="00B018B9" w:rsidRDefault="006B31EF" w:rsidP="006B31EF">
      <w:pPr>
        <w:pStyle w:val="WDBullets"/>
        <w:jc w:val="both"/>
        <w:rPr>
          <w:rFonts w:ascii="Verdana" w:hAnsi="Verdana"/>
        </w:rPr>
      </w:pPr>
      <w:r w:rsidRPr="00B018B9">
        <w:rPr>
          <w:rFonts w:ascii="Verdana" w:hAnsi="Verdana"/>
        </w:rPr>
        <w:t xml:space="preserve">(National categorisation of) type of measures; </w:t>
      </w:r>
    </w:p>
    <w:p w14:paraId="4E3BD5FD" w14:textId="77777777" w:rsidR="006B31EF" w:rsidRPr="00B018B9" w:rsidRDefault="006B31EF" w:rsidP="006B31EF">
      <w:pPr>
        <w:pStyle w:val="WDBullets"/>
        <w:jc w:val="both"/>
        <w:rPr>
          <w:rFonts w:ascii="Verdana" w:hAnsi="Verdana"/>
        </w:rPr>
      </w:pPr>
      <w:r w:rsidRPr="00B018B9">
        <w:rPr>
          <w:rFonts w:ascii="Verdana" w:hAnsi="Verdana"/>
        </w:rPr>
        <w:t xml:space="preserve">Key Types of Measures (KTM); </w:t>
      </w:r>
    </w:p>
    <w:p w14:paraId="688D172F" w14:textId="77777777" w:rsidR="006B31EF" w:rsidRPr="00B018B9" w:rsidRDefault="006B31EF" w:rsidP="006B31EF">
      <w:pPr>
        <w:pStyle w:val="WDBullets"/>
        <w:jc w:val="both"/>
        <w:rPr>
          <w:rFonts w:ascii="Verdana" w:hAnsi="Verdana"/>
        </w:rPr>
      </w:pPr>
      <w:r w:rsidRPr="00B018B9">
        <w:rPr>
          <w:rFonts w:ascii="Verdana" w:hAnsi="Verdana"/>
        </w:rPr>
        <w:t>Other categorisation comparing basic and supplementary measures, surface water bodies and groundwater bodies, costs of measures implemented for different spatial units (e.g. different (sub)basins).</w:t>
      </w:r>
    </w:p>
    <w:p w14:paraId="07BF62D5" w14:textId="3A4F4B5A" w:rsidR="006B31EF" w:rsidRPr="006B31EF" w:rsidRDefault="006B31EF" w:rsidP="006B31EF">
      <w:pPr>
        <w:pStyle w:val="Body"/>
        <w:rPr>
          <w:lang w:val="en-US"/>
        </w:rPr>
      </w:pPr>
      <w:r w:rsidRPr="006B31EF">
        <w:rPr>
          <w:lang w:val="en-US"/>
        </w:rPr>
        <w:t>As a result of using different lists of sectors, types of measures and other groupings to estimate and report costs of measures in the 2</w:t>
      </w:r>
      <w:r w:rsidRPr="006B31EF">
        <w:rPr>
          <w:vertAlign w:val="superscript"/>
          <w:lang w:val="en-US"/>
        </w:rPr>
        <w:t>nd</w:t>
      </w:r>
      <w:r w:rsidRPr="006B31EF">
        <w:rPr>
          <w:lang w:val="en-US"/>
        </w:rPr>
        <w:t xml:space="preserve"> RBMPs, comparing cost estimates for different measures is challenging. The situation is somewhat better for measures that address wastewater treatment/drinking water supply and proposed for reducing agricultural pollution (see</w:t>
      </w:r>
      <w:r w:rsidR="00B018B9">
        <w:rPr>
          <w:lang w:val="en-US"/>
        </w:rPr>
        <w:t xml:space="preserve"> Box 5.3</w:t>
      </w:r>
      <w:r w:rsidRPr="006B31EF">
        <w:rPr>
          <w:lang w:val="en-US"/>
        </w:rPr>
        <w:t xml:space="preserve"> with illustrative examples). Also, despite the fact that hydro-morphological alterations are one of the main pressures on water bodies, there is limited focus on assessing the costs of measures that improve hydro-morphological conditions. Where these costs are estimated, they represent a limited share of the total costs, in some cases stressing the gap between the recognition of the importance of addressing hydro-morphological pressures for achieving good water status and the selection of measures that remain focused on pressures traditionally addressed by the EU legislation such as point-source pollution.  On the other hand, relatively lower costs associated with hydro-morphological measures (in absolute terms) may also reflect their cost-effectiveness in contributing towards status improvements in comparison to further wastewater treatment.</w:t>
      </w:r>
    </w:p>
    <w:p w14:paraId="543F496A" w14:textId="77777777" w:rsidR="006B31EF" w:rsidRPr="006B31EF" w:rsidRDefault="006B31EF" w:rsidP="006B31EF">
      <w:pPr>
        <w:pStyle w:val="Body"/>
        <w:rPr>
          <w:lang w:val="en-US"/>
        </w:rPr>
      </w:pPr>
    </w:p>
    <w:p w14:paraId="1AF03EA7" w14:textId="77777777" w:rsidR="006B31EF" w:rsidRPr="00736A50" w:rsidRDefault="006B31EF" w:rsidP="006B31EF">
      <w:pPr>
        <w:pStyle w:val="Body"/>
      </w:pPr>
      <w:r w:rsidRPr="0040676E">
        <w:rPr>
          <w:noProof/>
          <w:lang w:val="en-US"/>
        </w:rPr>
        <mc:AlternateContent>
          <mc:Choice Requires="wps">
            <w:drawing>
              <wp:inline distT="0" distB="0" distL="0" distR="0" wp14:anchorId="6C8F5965" wp14:editId="1B18E227">
                <wp:extent cx="5782733" cy="3803904"/>
                <wp:effectExtent l="0" t="0" r="27940" b="25400"/>
                <wp:docPr id="72" name="Rectangle 72"/>
                <wp:cNvGraphicFramePr/>
                <a:graphic xmlns:a="http://schemas.openxmlformats.org/drawingml/2006/main">
                  <a:graphicData uri="http://schemas.microsoft.com/office/word/2010/wordprocessingShape">
                    <wps:wsp>
                      <wps:cNvSpPr/>
                      <wps:spPr>
                        <a:xfrm>
                          <a:off x="0" y="0"/>
                          <a:ext cx="5782733" cy="3803904"/>
                        </a:xfrm>
                        <a:prstGeom prst="rect">
                          <a:avLst/>
                        </a:prstGeom>
                        <a:solidFill>
                          <a:schemeClr val="bg1"/>
                        </a:solidFill>
                        <a:ln w="25400" cap="flat" cmpd="sng" algn="ctr">
                          <a:solidFill>
                            <a:schemeClr val="accent1"/>
                          </a:solidFill>
                          <a:prstDash val="solid"/>
                        </a:ln>
                        <a:effectLst/>
                      </wps:spPr>
                      <wps:txbx>
                        <w:txbxContent>
                          <w:p w14:paraId="2BFAFA44" w14:textId="77777777" w:rsidR="006B31EF" w:rsidRPr="005E72D4"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5.3 Costs of measures by sector or type</w:t>
                            </w:r>
                          </w:p>
                          <w:p w14:paraId="565FC444"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w:t>
                            </w:r>
                            <w:r w:rsidRPr="006C1104">
                              <w:rPr>
                                <w:rFonts w:ascii="Verdana" w:hAnsi="Verdana"/>
                                <w:b/>
                                <w:bCs/>
                              </w:rPr>
                              <w:t>Belgium (Flanders)</w:t>
                            </w:r>
                            <w:r w:rsidRPr="006C1104">
                              <w:rPr>
                                <w:rFonts w:ascii="Verdana" w:hAnsi="Verdana"/>
                              </w:rPr>
                              <w:t>, the costs of measures that improve water supply and sewerage account for 90% of total costs, followed by the costs of hydromorphological measures (3.3%).</w:t>
                            </w:r>
                          </w:p>
                          <w:p w14:paraId="32F93C12"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(mainland) </w:t>
                            </w:r>
                            <w:r w:rsidRPr="006C1104">
                              <w:rPr>
                                <w:rFonts w:ascii="Verdana" w:hAnsi="Verdana"/>
                                <w:b/>
                                <w:bCs/>
                              </w:rPr>
                              <w:t>Portugal</w:t>
                            </w:r>
                            <w:r w:rsidRPr="006C1104">
                              <w:rPr>
                                <w:rFonts w:ascii="Verdana" w:hAnsi="Verdana"/>
                              </w:rPr>
                              <w:t xml:space="preserve">, reducing/eliminating pollution load accounts for 75.85% of costs (between 2016-2027) while minimising hydromorphological alterations accounts for 15.45%. </w:t>
                            </w:r>
                          </w:p>
                          <w:p w14:paraId="1E825070"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w:t>
                            </w:r>
                            <w:r w:rsidRPr="006C1104">
                              <w:rPr>
                                <w:rFonts w:ascii="Verdana" w:hAnsi="Verdana"/>
                                <w:b/>
                                <w:bCs/>
                              </w:rPr>
                              <w:t>Romania</w:t>
                            </w:r>
                            <w:r w:rsidRPr="006C1104">
                              <w:rPr>
                                <w:rFonts w:ascii="Verdana" w:hAnsi="Verdana"/>
                              </w:rPr>
                              <w:t xml:space="preserve">, the costs of measures in urban agglomerations account for 89% of total costs, followed by agriculture accounting for only 4.1% of total costs. </w:t>
                            </w:r>
                          </w:p>
                          <w:p w14:paraId="0854A09F"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w:t>
                            </w:r>
                            <w:r w:rsidRPr="006C1104">
                              <w:rPr>
                                <w:rFonts w:ascii="Verdana" w:hAnsi="Verdana"/>
                                <w:b/>
                                <w:bCs/>
                              </w:rPr>
                              <w:t>Hungary</w:t>
                            </w:r>
                            <w:r w:rsidRPr="006C1104">
                              <w:rPr>
                                <w:rFonts w:ascii="Verdana" w:hAnsi="Verdana"/>
                              </w:rPr>
                              <w:t>, the costs of agricultural measures account for 51.5% of total investment costs, followed by water supply and sanitation (29%).</w:t>
                            </w:r>
                          </w:p>
                          <w:p w14:paraId="31A2B5A0"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w:t>
                            </w:r>
                            <w:r w:rsidRPr="006C1104">
                              <w:rPr>
                                <w:rFonts w:ascii="Verdana" w:hAnsi="Verdana"/>
                                <w:b/>
                                <w:bCs/>
                              </w:rPr>
                              <w:t>Slovakia</w:t>
                            </w:r>
                            <w:r w:rsidRPr="006C1104">
                              <w:rPr>
                                <w:rFonts w:ascii="Verdana" w:hAnsi="Verdana"/>
                              </w:rPr>
                              <w:t xml:space="preserve">, measures in water supply and sanitation account for 40.60% of total costs, followed by measures for </w:t>
                            </w:r>
                            <w:r w:rsidRPr="006C1104">
                              <w:rPr>
                                <w:rFonts w:ascii="Verdana" w:hAnsi="Verdana"/>
                                <w:b/>
                                <w:bCs/>
                              </w:rPr>
                              <w:t>nature protected areas</w:t>
                            </w:r>
                            <w:r w:rsidRPr="006C1104">
                              <w:rPr>
                                <w:rFonts w:ascii="Verdana" w:hAnsi="Verdana"/>
                              </w:rPr>
                              <w:t xml:space="preserve"> (27.8%), agriculture (13.6%) and industry (9.80%). </w:t>
                            </w:r>
                          </w:p>
                          <w:p w14:paraId="4A1E8800" w14:textId="77777777" w:rsidR="006B31EF" w:rsidRPr="006C1104" w:rsidRDefault="006B31EF" w:rsidP="006C1104">
                            <w:pPr>
                              <w:pStyle w:val="WDBullets"/>
                              <w:ind w:left="851" w:right="413"/>
                              <w:jc w:val="both"/>
                              <w:rPr>
                                <w:rFonts w:ascii="Verdana" w:hAnsi="Verdana"/>
                                <w:b/>
                                <w:bCs/>
                                <w:color w:val="4F81BD" w:themeColor="accent1"/>
                              </w:rPr>
                            </w:pPr>
                            <w:r w:rsidRPr="006C1104">
                              <w:rPr>
                                <w:rFonts w:ascii="Verdana" w:hAnsi="Verdana"/>
                              </w:rPr>
                              <w:t xml:space="preserve">In </w:t>
                            </w:r>
                            <w:r w:rsidRPr="006C1104">
                              <w:rPr>
                                <w:rFonts w:ascii="Verdana" w:hAnsi="Verdana"/>
                                <w:b/>
                                <w:bCs/>
                              </w:rPr>
                              <w:t>Cyprus</w:t>
                            </w:r>
                            <w:r w:rsidRPr="006C1104">
                              <w:rPr>
                                <w:rFonts w:ascii="Verdana" w:hAnsi="Verdana"/>
                              </w:rPr>
                              <w:t xml:space="preserve">, </w:t>
                            </w:r>
                            <w:r w:rsidRPr="006C1104">
                              <w:rPr>
                                <w:rFonts w:ascii="Verdana" w:hAnsi="Verdana"/>
                                <w:b/>
                                <w:bCs/>
                              </w:rPr>
                              <w:t xml:space="preserve">pollution control measures </w:t>
                            </w:r>
                            <w:r w:rsidRPr="006C1104">
                              <w:rPr>
                                <w:rFonts w:ascii="Verdana" w:hAnsi="Verdana"/>
                              </w:rPr>
                              <w:t xml:space="preserve">(urban areas and transport) account for 46% of total costs, followed by measures targeting </w:t>
                            </w:r>
                            <w:r w:rsidRPr="006C1104">
                              <w:rPr>
                                <w:rFonts w:ascii="Verdana" w:hAnsi="Verdana"/>
                                <w:b/>
                                <w:bCs/>
                              </w:rPr>
                              <w:t xml:space="preserve">water efficiency </w:t>
                            </w:r>
                            <w:r w:rsidRPr="006C1104">
                              <w:rPr>
                                <w:rFonts w:ascii="Verdana" w:hAnsi="Verdana"/>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6C8F5965" id="Rectangle 72" o:spid="_x0000_s1028" style="width:455.35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hFZwIAAN8EAAAOAAAAZHJzL2Uyb0RvYy54bWysVE1P3DAQvVfqf7B8L8nuQqErsmgFoqqE&#10;ABUqzrOOnUTyV8feTeiv79jJLoVyqnpxZuzxm5nnNzm/GIxmO4mhc7bis6OSM2mFqzvbVPzH4/Wn&#10;M85CBFuDdlZW/FkGfrH6+OG890s5d63TtURGIDYse1/xNka/LIogWmkgHDkvLR0qhwYiudgUNUJP&#10;6EYX87L8XPQOa49OyBBo92o85KuMr5QU8U6pICPTFafaYl4xr5u0FqtzWDYIvu3EVAb8QxUGOktJ&#10;D1BXEIFtsfsLynQCXXAqHglnCqdUJ2TugbqZlW+6eWjBy9wLkRP8gabw/2DF7e4eWVdX/HTOmQVD&#10;b/SdWAPbaMlojwjqfVhS3IO/x8kLZKZuB4UmfakPNmRSnw+kyiEyQZsnp2fz08WCM0Fni7Ny8aU8&#10;TqjFy3WPIX6VzrBkVBwpfyYTdjchjqH7kJQtON3V153W2UlKkZca2Q7ojTfNbAJ/FaUt6ys+Pzku&#10;SQQCSGhKQyTTeGo92IYz0A0pWETMqV/dzmp8yQFCSBvfzZPKvILQjsVkkKkcbVO1Mkty6irxOjKZ&#10;rDhshvwQB843rn6mx0E3qjZ4cd0R/g2EeA9IMqVeaPTiHS1KO2rQTRZnrcNf7+2neFIPnXLWk+yp&#10;+Z9bQMmZ/mZJV2lG9gbujc3esFtz6YjlGQ21F9mkCxj13lTozBNN5DploSOwgnJVnKgezcs4Dh9N&#10;tJDrdQ6iSfAQb+yDFwk68ZR4fByeAP2kiUhyunX7gYDlG2mMsemmdettdKrLukm8jiyS3pJDU5SV&#10;N018GtM//Rz18l9a/QYAAP//AwBQSwMEFAAGAAgAAAAhAFoE+V3bAAAABQEAAA8AAABkcnMvZG93&#10;bnJldi54bWxMj0tPwzAQhO9I/AdrkbhRuyAeCXGqglQ49IBo4e7Gm4cSryN7m4Z/j+ECl5VGM5r5&#10;tljNbhAThth50rBcKBBIlbcdNRo+9purBxCRDVkzeEINXxhhVZ6fFSa3/kTvOO24EamEYm40tMxj&#10;LmWsWnQmLvyIlLzaB2c4ydBIG8wplbtBXit1J53pKC20ZsTnFqt+d3QaPvu+jltV37w97afX9Xbz&#10;Etg6rS8v5vUjCMaZ/8Lwg5/QoUxMB38kG8WgIT3Cvzd52VLdgzhouM0yBbIs5H/68hsAAP//AwBQ&#10;SwECLQAUAAYACAAAACEAtoM4kv4AAADhAQAAEwAAAAAAAAAAAAAAAAAAAAAAW0NvbnRlbnRfVHlw&#10;ZXNdLnhtbFBLAQItABQABgAIAAAAIQA4/SH/1gAAAJQBAAALAAAAAAAAAAAAAAAAAC8BAABfcmVs&#10;cy8ucmVsc1BLAQItABQABgAIAAAAIQDfRGhFZwIAAN8EAAAOAAAAAAAAAAAAAAAAAC4CAABkcnMv&#10;ZTJvRG9jLnhtbFBLAQItABQABgAIAAAAIQBaBPld2wAAAAUBAAAPAAAAAAAAAAAAAAAAAMEEAABk&#10;cnMvZG93bnJldi54bWxQSwUGAAAAAAQABADzAAAAyQUAAAAA&#10;" fillcolor="white [3212]" strokecolor="#4f81bd [3204]" strokeweight="2pt">
                <v:textbox inset="0,0,0,0">
                  <w:txbxContent>
                    <w:p w14:paraId="2BFAFA44" w14:textId="77777777" w:rsidR="006B31EF" w:rsidRPr="005E72D4"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5.3 Costs of measures by sector or type</w:t>
                      </w:r>
                    </w:p>
                    <w:p w14:paraId="565FC444"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w:t>
                      </w:r>
                      <w:r w:rsidRPr="006C1104">
                        <w:rPr>
                          <w:rFonts w:ascii="Verdana" w:hAnsi="Verdana"/>
                          <w:b/>
                          <w:bCs/>
                        </w:rPr>
                        <w:t>Belgium (Flanders)</w:t>
                      </w:r>
                      <w:r w:rsidRPr="006C1104">
                        <w:rPr>
                          <w:rFonts w:ascii="Verdana" w:hAnsi="Verdana"/>
                        </w:rPr>
                        <w:t>, the costs of measures that improve water supply and sewerage account for 90% of total costs, followed by the costs of hydromorphological measures (3.3%).</w:t>
                      </w:r>
                    </w:p>
                    <w:p w14:paraId="32F93C12"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(mainland) </w:t>
                      </w:r>
                      <w:r w:rsidRPr="006C1104">
                        <w:rPr>
                          <w:rFonts w:ascii="Verdana" w:hAnsi="Verdana"/>
                          <w:b/>
                          <w:bCs/>
                        </w:rPr>
                        <w:t>Portugal</w:t>
                      </w:r>
                      <w:r w:rsidRPr="006C1104">
                        <w:rPr>
                          <w:rFonts w:ascii="Verdana" w:hAnsi="Verdana"/>
                        </w:rPr>
                        <w:t xml:space="preserve">, reducing/eliminating pollution load accounts for 75.85% of costs (between 2016-2027) while minimising hydromorphological alterations accounts for 15.45%. </w:t>
                      </w:r>
                    </w:p>
                    <w:p w14:paraId="1E825070"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w:t>
                      </w:r>
                      <w:r w:rsidRPr="006C1104">
                        <w:rPr>
                          <w:rFonts w:ascii="Verdana" w:hAnsi="Verdana"/>
                          <w:b/>
                          <w:bCs/>
                        </w:rPr>
                        <w:t>Romania</w:t>
                      </w:r>
                      <w:r w:rsidRPr="006C1104">
                        <w:rPr>
                          <w:rFonts w:ascii="Verdana" w:hAnsi="Verdana"/>
                        </w:rPr>
                        <w:t xml:space="preserve">, the costs of measures in urban agglomerations account for 89% of total costs, followed by agriculture accounting for only 4.1% of total costs. </w:t>
                      </w:r>
                    </w:p>
                    <w:p w14:paraId="0854A09F"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w:t>
                      </w:r>
                      <w:r w:rsidRPr="006C1104">
                        <w:rPr>
                          <w:rFonts w:ascii="Verdana" w:hAnsi="Verdana"/>
                          <w:b/>
                          <w:bCs/>
                        </w:rPr>
                        <w:t>Hungary</w:t>
                      </w:r>
                      <w:r w:rsidRPr="006C1104">
                        <w:rPr>
                          <w:rFonts w:ascii="Verdana" w:hAnsi="Verdana"/>
                        </w:rPr>
                        <w:t>, the costs of agricultural measures account for 51.5% of total investment costs, followed by water supply and sanitation (29%).</w:t>
                      </w:r>
                    </w:p>
                    <w:p w14:paraId="31A2B5A0" w14:textId="77777777" w:rsidR="006B31EF" w:rsidRPr="006C1104" w:rsidRDefault="006B31EF" w:rsidP="006C1104">
                      <w:pPr>
                        <w:pStyle w:val="WDBullets"/>
                        <w:ind w:left="851" w:right="413"/>
                        <w:jc w:val="both"/>
                        <w:rPr>
                          <w:rFonts w:ascii="Verdana" w:hAnsi="Verdana" w:cs="Times New Roman"/>
                          <w:sz w:val="24"/>
                          <w:szCs w:val="24"/>
                        </w:rPr>
                      </w:pPr>
                      <w:r w:rsidRPr="006C1104">
                        <w:rPr>
                          <w:rFonts w:ascii="Verdana" w:hAnsi="Verdana"/>
                        </w:rPr>
                        <w:t xml:space="preserve">In </w:t>
                      </w:r>
                      <w:r w:rsidRPr="006C1104">
                        <w:rPr>
                          <w:rFonts w:ascii="Verdana" w:hAnsi="Verdana"/>
                          <w:b/>
                          <w:bCs/>
                        </w:rPr>
                        <w:t>Slovakia</w:t>
                      </w:r>
                      <w:r w:rsidRPr="006C1104">
                        <w:rPr>
                          <w:rFonts w:ascii="Verdana" w:hAnsi="Verdana"/>
                        </w:rPr>
                        <w:t xml:space="preserve">, measures in water supply and sanitation account for 40.60% of total costs, followed by measures for </w:t>
                      </w:r>
                      <w:r w:rsidRPr="006C1104">
                        <w:rPr>
                          <w:rFonts w:ascii="Verdana" w:hAnsi="Verdana"/>
                          <w:b/>
                          <w:bCs/>
                        </w:rPr>
                        <w:t>nature protected areas</w:t>
                      </w:r>
                      <w:r w:rsidRPr="006C1104">
                        <w:rPr>
                          <w:rFonts w:ascii="Verdana" w:hAnsi="Verdana"/>
                        </w:rPr>
                        <w:t xml:space="preserve"> (27.8%), agriculture (13.6%) and industry (9.80%). </w:t>
                      </w:r>
                    </w:p>
                    <w:p w14:paraId="4A1E8800" w14:textId="77777777" w:rsidR="006B31EF" w:rsidRPr="006C1104" w:rsidRDefault="006B31EF" w:rsidP="006C1104">
                      <w:pPr>
                        <w:pStyle w:val="WDBullets"/>
                        <w:ind w:left="851" w:right="413"/>
                        <w:jc w:val="both"/>
                        <w:rPr>
                          <w:rFonts w:ascii="Verdana" w:hAnsi="Verdana"/>
                          <w:b/>
                          <w:bCs/>
                          <w:color w:val="4F81BD" w:themeColor="accent1"/>
                        </w:rPr>
                      </w:pPr>
                      <w:r w:rsidRPr="006C1104">
                        <w:rPr>
                          <w:rFonts w:ascii="Verdana" w:hAnsi="Verdana"/>
                        </w:rPr>
                        <w:t xml:space="preserve">In </w:t>
                      </w:r>
                      <w:r w:rsidRPr="006C1104">
                        <w:rPr>
                          <w:rFonts w:ascii="Verdana" w:hAnsi="Verdana"/>
                          <w:b/>
                          <w:bCs/>
                        </w:rPr>
                        <w:t>Cyprus</w:t>
                      </w:r>
                      <w:r w:rsidRPr="006C1104">
                        <w:rPr>
                          <w:rFonts w:ascii="Verdana" w:hAnsi="Verdana"/>
                        </w:rPr>
                        <w:t xml:space="preserve">, </w:t>
                      </w:r>
                      <w:r w:rsidRPr="006C1104">
                        <w:rPr>
                          <w:rFonts w:ascii="Verdana" w:hAnsi="Verdana"/>
                          <w:b/>
                          <w:bCs/>
                        </w:rPr>
                        <w:t xml:space="preserve">pollution control measures </w:t>
                      </w:r>
                      <w:r w:rsidRPr="006C1104">
                        <w:rPr>
                          <w:rFonts w:ascii="Verdana" w:hAnsi="Verdana"/>
                        </w:rPr>
                        <w:t xml:space="preserve">(urban areas and transport) account for 46% of total costs, followed by measures targeting </w:t>
                      </w:r>
                      <w:r w:rsidRPr="006C1104">
                        <w:rPr>
                          <w:rFonts w:ascii="Verdana" w:hAnsi="Verdana"/>
                          <w:b/>
                          <w:bCs/>
                        </w:rPr>
                        <w:t xml:space="preserve">water efficiency </w:t>
                      </w:r>
                      <w:r w:rsidRPr="006C1104">
                        <w:rPr>
                          <w:rFonts w:ascii="Verdana" w:hAnsi="Verdana"/>
                        </w:rPr>
                        <w:t>(31%).</w:t>
                      </w:r>
                    </w:p>
                  </w:txbxContent>
                </v:textbox>
                <w10:anchorlock/>
              </v:rect>
            </w:pict>
          </mc:Fallback>
        </mc:AlternateContent>
      </w:r>
    </w:p>
    <w:p w14:paraId="0DA049AA" w14:textId="77777777" w:rsidR="006B31EF" w:rsidRPr="000F4CBE" w:rsidRDefault="006B31EF" w:rsidP="006B31EF">
      <w:pPr>
        <w:pStyle w:val="WDBodySmall"/>
      </w:pPr>
      <w:r w:rsidRPr="00736A50">
        <w:t xml:space="preserve">Source: </w:t>
      </w:r>
      <w:bookmarkStart w:id="68" w:name="_Hlk58923389"/>
      <w:r w:rsidRPr="00736A50">
        <w:t>Data extracted from</w:t>
      </w:r>
      <w:r w:rsidRPr="000F4CBE">
        <w:t xml:space="preserve"> country information collated </w:t>
      </w:r>
      <w:r w:rsidRPr="00736A50">
        <w:t>by the project team and provided by Member States</w:t>
      </w:r>
      <w:bookmarkEnd w:id="68"/>
    </w:p>
    <w:p w14:paraId="5936ACB0" w14:textId="76975C2E" w:rsidR="006B31EF" w:rsidRPr="006C1104" w:rsidRDefault="006B31EF" w:rsidP="00B018B9">
      <w:pPr>
        <w:pStyle w:val="Body"/>
        <w:rPr>
          <w:lang w:val="en-US"/>
        </w:rPr>
      </w:pPr>
    </w:p>
    <w:p w14:paraId="27B849DF" w14:textId="77777777" w:rsidR="00B018B9" w:rsidRPr="006C1104" w:rsidRDefault="00B018B9" w:rsidP="00B018B9">
      <w:pPr>
        <w:pStyle w:val="Body"/>
        <w:rPr>
          <w:lang w:val="en-US"/>
        </w:rPr>
      </w:pPr>
    </w:p>
    <w:p w14:paraId="218BC30A" w14:textId="77777777" w:rsidR="006B31EF" w:rsidRPr="00B018B9" w:rsidRDefault="006B31EF" w:rsidP="00B018B9">
      <w:pPr>
        <w:pStyle w:val="Body"/>
        <w:rPr>
          <w:b/>
          <w:bCs/>
          <w:color w:val="548DD4" w:themeColor="text2" w:themeTint="99"/>
          <w:lang w:val="en-US"/>
        </w:rPr>
      </w:pPr>
      <w:bookmarkStart w:id="69" w:name="_Toc59180777"/>
      <w:r w:rsidRPr="00B018B9">
        <w:rPr>
          <w:b/>
          <w:bCs/>
          <w:color w:val="548DD4" w:themeColor="text2" w:themeTint="99"/>
          <w:lang w:val="en-US"/>
        </w:rPr>
        <w:t>Floods Directive</w:t>
      </w:r>
      <w:bookmarkEnd w:id="69"/>
    </w:p>
    <w:p w14:paraId="09C62E14" w14:textId="77777777" w:rsidR="006B31EF" w:rsidRPr="00B018B9" w:rsidRDefault="006B31EF" w:rsidP="00B018B9">
      <w:pPr>
        <w:pStyle w:val="Body"/>
        <w:rPr>
          <w:color w:val="548DD4" w:themeColor="text2" w:themeTint="99"/>
          <w:lang w:val="en-US"/>
        </w:rPr>
      </w:pPr>
      <w:r w:rsidRPr="00B018B9">
        <w:rPr>
          <w:color w:val="548DD4" w:themeColor="text2" w:themeTint="99"/>
          <w:lang w:val="en-US"/>
        </w:rPr>
        <w:t>Objectives</w:t>
      </w:r>
    </w:p>
    <w:p w14:paraId="12E267C5" w14:textId="77777777" w:rsidR="006B31EF" w:rsidRPr="006B31EF" w:rsidRDefault="006B31EF" w:rsidP="006B31EF">
      <w:pPr>
        <w:pStyle w:val="Body"/>
        <w:rPr>
          <w:lang w:val="en-US"/>
        </w:rPr>
      </w:pPr>
      <w:r w:rsidRPr="006B31EF">
        <w:rPr>
          <w:lang w:val="en-US"/>
        </w:rPr>
        <w:t xml:space="preserve">The Floods Directive aims to reduce and manage the risks that floods pose to human health, the environment, cultural heritage, and economic activity. The Floods Directive requires EU MS to prepare Flood Risk Management Plans at the scale of river basin districts (or UoMs) presenting flooding risk, measures for reducing risk and setting out how stakeholders will cooperate to manage flood risk.  </w:t>
      </w:r>
    </w:p>
    <w:p w14:paraId="12B3B461" w14:textId="77777777" w:rsidR="006B31EF" w:rsidRPr="006B31EF" w:rsidRDefault="006B31EF" w:rsidP="006B31EF">
      <w:pPr>
        <w:pStyle w:val="Body"/>
        <w:rPr>
          <w:lang w:val="en-US"/>
        </w:rPr>
      </w:pPr>
      <w:r w:rsidRPr="006B31EF">
        <w:rPr>
          <w:lang w:val="en-US"/>
        </w:rPr>
        <w:t xml:space="preserve">Countries report objectives for flood risk management in their Flood Risk Management Plans. The information collated from the MS shows </w:t>
      </w:r>
      <w:r w:rsidRPr="006B31EF">
        <w:rPr>
          <w:b/>
          <w:bCs/>
          <w:lang w:val="en-US"/>
        </w:rPr>
        <w:t>that the formulation of flood risk management objectives is heterogeneous across the EU</w:t>
      </w:r>
      <w:r w:rsidRPr="006B31EF">
        <w:rPr>
          <w:lang w:val="en-US"/>
        </w:rPr>
        <w:t xml:space="preserve">. In many instances, objectives are defined qualitatively and the lack of </w:t>
      </w:r>
      <w:r w:rsidRPr="006B31EF">
        <w:rPr>
          <w:b/>
          <w:bCs/>
          <w:lang w:val="en-US"/>
        </w:rPr>
        <w:t>quantified and measurable</w:t>
      </w:r>
      <w:r w:rsidRPr="006B31EF">
        <w:rPr>
          <w:lang w:val="en-US"/>
        </w:rPr>
        <w:t xml:space="preserve"> </w:t>
      </w:r>
      <w:r w:rsidRPr="006B31EF">
        <w:rPr>
          <w:b/>
          <w:bCs/>
          <w:lang w:val="en-US"/>
        </w:rPr>
        <w:t>objectives</w:t>
      </w:r>
      <w:r w:rsidRPr="006B31EF">
        <w:rPr>
          <w:lang w:val="en-US"/>
        </w:rPr>
        <w:t xml:space="preserve"> represents an important </w:t>
      </w:r>
      <w:r w:rsidRPr="006B31EF">
        <w:rPr>
          <w:b/>
          <w:bCs/>
          <w:lang w:val="en-US"/>
        </w:rPr>
        <w:t>knowledge gap</w:t>
      </w:r>
      <w:r w:rsidRPr="00736A50">
        <w:rPr>
          <w:rStyle w:val="FootnoteReference"/>
        </w:rPr>
        <w:footnoteReference w:id="34"/>
      </w:r>
      <w:r w:rsidRPr="006B31EF">
        <w:rPr>
          <w:lang w:val="en-US"/>
        </w:rPr>
        <w:t xml:space="preserve">. Several countries present general objectives often related to the quantification and reduction of flood risk (hazard, exposure, vulnerability) through prevention, protection and preparedness measures, while other countries set more detailed objectives related to the application of measure-oriented objectives such as non-structural measures (Hungary, Czechia), spatial planning measures (Estonia, Spain, Portugal), awareness raising (e.g. Austria, Spain, Portugal) or additional research (Spain). Some countries (e.g. Sweden, Latvia, Romania) specify objectives in terms of avoided negative impacts, in particular impacts on human health, the environment, nature loss, cultural heritage, and economic activities. Finally, some countries aim for strengthening the coordination (1) between the FD and the WFD (Spain, Portugal), (2) with neighbouring countries (Hungary), or (3) among all actors involved in flood risk management (Spain). </w:t>
      </w:r>
    </w:p>
    <w:p w14:paraId="131BAF7A" w14:textId="04144ECE" w:rsidR="006B31EF" w:rsidRPr="006B31EF" w:rsidRDefault="006B31EF" w:rsidP="006B31EF">
      <w:pPr>
        <w:pStyle w:val="Body"/>
        <w:rPr>
          <w:lang w:val="en-US"/>
        </w:rPr>
      </w:pPr>
      <w:r w:rsidRPr="006B31EF">
        <w:rPr>
          <w:lang w:val="en-US"/>
        </w:rPr>
        <w:t>Previous studies have also highlighted  that there is scope to better detail flood risk management objectives and to explain more clearly how measures will be effective in achieving the objectives</w:t>
      </w:r>
      <w:r w:rsidRPr="00736A50">
        <w:rPr>
          <w:rStyle w:val="FootnoteReference"/>
        </w:rPr>
        <w:footnoteReference w:id="35"/>
      </w:r>
      <w:r w:rsidRPr="006B31EF">
        <w:rPr>
          <w:vertAlign w:val="superscript"/>
          <w:lang w:val="en-US"/>
        </w:rPr>
        <w:t>,</w:t>
      </w:r>
      <w:r w:rsidRPr="00736A50">
        <w:rPr>
          <w:rStyle w:val="FootnoteReference"/>
        </w:rPr>
        <w:footnoteReference w:id="36"/>
      </w:r>
      <w:r w:rsidRPr="006B31EF">
        <w:rPr>
          <w:lang w:val="en-US"/>
        </w:rPr>
        <w:t>.  Poorly elaborated objectives may hindertracking implementation progress and the evaluation of the contribution of proposed measures to the achievement of objectives. Setting quantified and measurable objectives is key to estimating the level of effort and associated costs as well as setting a basis for the quantification of future flood investment needs accounting for climate change and socio-economic developments</w:t>
      </w:r>
      <w:r w:rsidRPr="00736A50">
        <w:rPr>
          <w:rStyle w:val="FootnoteReference"/>
        </w:rPr>
        <w:footnoteReference w:id="37"/>
      </w:r>
      <w:r w:rsidRPr="006B31EF">
        <w:rPr>
          <w:lang w:val="en-US"/>
        </w:rPr>
        <w:t xml:space="preserve">. </w:t>
      </w:r>
      <w:r w:rsidR="006C1104" w:rsidRPr="006C1104">
        <w:rPr>
          <w:lang w:val="en-US"/>
        </w:rPr>
        <w:t>Bo</w:t>
      </w:r>
      <w:r w:rsidR="006C1104">
        <w:rPr>
          <w:lang w:val="en-US"/>
        </w:rPr>
        <w:t>x 5.4</w:t>
      </w:r>
      <w:r w:rsidRPr="006B31EF">
        <w:rPr>
          <w:lang w:val="en-US"/>
        </w:rPr>
        <w:t xml:space="preserve"> illustrates the practise of Sweden that has proposed an articulated system of objectives, with four overarching objectives set at national level and three types of objectives – specific, measure-oriented and knowledge objectives – set in individual FRMPs. </w:t>
      </w:r>
    </w:p>
    <w:p w14:paraId="2827A4AD" w14:textId="77777777" w:rsidR="006B31EF" w:rsidRPr="00736A50" w:rsidRDefault="006B31EF" w:rsidP="006B31EF">
      <w:r w:rsidRPr="0040676E">
        <w:rPr>
          <w:noProof/>
          <w:lang w:val="en-US"/>
        </w:rPr>
        <mc:AlternateContent>
          <mc:Choice Requires="wps">
            <w:drawing>
              <wp:inline distT="0" distB="0" distL="0" distR="0" wp14:anchorId="14C776A4" wp14:editId="78710B41">
                <wp:extent cx="5833533" cy="3863340"/>
                <wp:effectExtent l="0" t="0" r="15240" b="22860"/>
                <wp:docPr id="7" name="Rectangle 7"/>
                <wp:cNvGraphicFramePr/>
                <a:graphic xmlns:a="http://schemas.openxmlformats.org/drawingml/2006/main">
                  <a:graphicData uri="http://schemas.microsoft.com/office/word/2010/wordprocessingShape">
                    <wps:wsp>
                      <wps:cNvSpPr/>
                      <wps:spPr>
                        <a:xfrm>
                          <a:off x="0" y="0"/>
                          <a:ext cx="5833533" cy="3863340"/>
                        </a:xfrm>
                        <a:prstGeom prst="rect">
                          <a:avLst/>
                        </a:prstGeom>
                        <a:solidFill>
                          <a:schemeClr val="bg1"/>
                        </a:solidFill>
                        <a:ln w="25400" cap="flat" cmpd="sng" algn="ctr">
                          <a:solidFill>
                            <a:schemeClr val="accent1"/>
                          </a:solidFill>
                          <a:prstDash val="solid"/>
                        </a:ln>
                        <a:effectLst/>
                      </wps:spPr>
                      <wps:txbx>
                        <w:txbxContent>
                          <w:p w14:paraId="10544FC7" w14:textId="77777777" w:rsidR="006B31EF" w:rsidRPr="000428A5"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5.4 Setting objectives for flood risk management</w:t>
                            </w:r>
                          </w:p>
                          <w:p w14:paraId="0D854EBA" w14:textId="77777777" w:rsidR="006B31EF" w:rsidRPr="006C1104" w:rsidRDefault="006B31EF" w:rsidP="006C1104">
                            <w:pPr>
                              <w:pStyle w:val="Body"/>
                              <w:ind w:left="142" w:right="213"/>
                              <w:rPr>
                                <w:lang w:val="en-US"/>
                              </w:rPr>
                            </w:pPr>
                            <w:r w:rsidRPr="006B31EF">
                              <w:rPr>
                                <w:lang w:val="en-US"/>
                              </w:rPr>
                              <w:t xml:space="preserve">All </w:t>
                            </w:r>
                            <w:r w:rsidRPr="006C1104">
                              <w:rPr>
                                <w:lang w:val="en-US"/>
                              </w:rPr>
                              <w:t xml:space="preserve">five FRMPs of </w:t>
                            </w:r>
                            <w:r w:rsidRPr="006C1104">
                              <w:rPr>
                                <w:b/>
                                <w:bCs/>
                                <w:lang w:val="en-US"/>
                              </w:rPr>
                              <w:t xml:space="preserve">Sweden </w:t>
                            </w:r>
                            <w:r w:rsidRPr="006C1104">
                              <w:rPr>
                                <w:lang w:val="en-US"/>
                              </w:rPr>
                              <w:t xml:space="preserve">define objectives that contain specific and measurable elements. Examples include the following objectives from the FRMP for Älvsbyn:  </w:t>
                            </w:r>
                          </w:p>
                          <w:p w14:paraId="4E29E958" w14:textId="77777777" w:rsidR="006B31EF" w:rsidRPr="006C1104" w:rsidRDefault="006B31EF" w:rsidP="006C1104">
                            <w:pPr>
                              <w:pStyle w:val="WDBullets"/>
                              <w:ind w:left="567" w:right="213"/>
                              <w:jc w:val="both"/>
                              <w:rPr>
                                <w:rFonts w:ascii="Verdana" w:hAnsi="Verdana"/>
                              </w:rPr>
                            </w:pPr>
                            <w:r w:rsidRPr="006C1104">
                              <w:rPr>
                                <w:rFonts w:ascii="Verdana" w:hAnsi="Verdana"/>
                              </w:rPr>
                              <w:t xml:space="preserve">No cultural heritage objects or areas classified as cultural heritage of national interest shall be permanently damaged due to a flood;  </w:t>
                            </w:r>
                          </w:p>
                          <w:p w14:paraId="38E9C284" w14:textId="77777777" w:rsidR="006B31EF" w:rsidRPr="006C1104" w:rsidRDefault="006B31EF" w:rsidP="006C1104">
                            <w:pPr>
                              <w:pStyle w:val="WDBullets"/>
                              <w:ind w:left="567" w:right="213"/>
                              <w:jc w:val="both"/>
                              <w:rPr>
                                <w:rFonts w:ascii="Verdana" w:hAnsi="Verdana"/>
                              </w:rPr>
                            </w:pPr>
                            <w:r w:rsidRPr="006C1104">
                              <w:rPr>
                                <w:rFonts w:ascii="Verdana" w:hAnsi="Verdana"/>
                              </w:rPr>
                              <w:t xml:space="preserve">Electricity distribution installations should not be affected by floods with a 100-year return time. </w:t>
                            </w:r>
                          </w:p>
                          <w:p w14:paraId="7AD80ADB" w14:textId="77777777" w:rsidR="006B31EF" w:rsidRPr="006C1104" w:rsidRDefault="006B31EF" w:rsidP="006C1104">
                            <w:pPr>
                              <w:pStyle w:val="Body"/>
                              <w:ind w:left="142" w:right="213"/>
                              <w:rPr>
                                <w:lang w:val="en-US"/>
                              </w:rPr>
                            </w:pPr>
                            <w:r w:rsidRPr="006C1104">
                              <w:rPr>
                                <w:lang w:val="en-US"/>
                              </w:rPr>
                              <w:t xml:space="preserve">The FRMPs for Falun and Kristianstad also include ‘measure-oriented’ objectives. For example, the FRMP for Falun has an objective that: by 2018, Falun municipality has established forms of cooperation on flow regulation and preventive measures in smaller streams of the municipality (examples of preventive measures may be the preservation of wetlands and the maintenance of streams). </w:t>
                            </w:r>
                          </w:p>
                          <w:p w14:paraId="4D2569A5" w14:textId="77777777" w:rsidR="006B31EF" w:rsidRPr="006C1104" w:rsidRDefault="006B31EF" w:rsidP="006C1104">
                            <w:pPr>
                              <w:pStyle w:val="Body"/>
                              <w:ind w:left="142" w:right="213"/>
                              <w:rPr>
                                <w:lang w:val="en-US"/>
                              </w:rPr>
                            </w:pPr>
                            <w:r w:rsidRPr="006C1104">
                              <w:rPr>
                                <w:lang w:val="en-US"/>
                              </w:rPr>
                              <w:t xml:space="preserve">The ‘knowledge’ objectives found in the Falun, Karlstad and Kristianstad FRMPs can also be linked to measures. For example, the Karlstad FRMP contains the following objective: developing detailed knowledge of which flow levels in Klarälven and water levels in Vänern can lead to serious flooding consequences for cultural heritage. </w:t>
                            </w:r>
                          </w:p>
                          <w:p w14:paraId="2F52C2F9" w14:textId="77777777" w:rsidR="006B31EF" w:rsidRPr="006C1104" w:rsidRDefault="006B31EF" w:rsidP="006C1104">
                            <w:pPr>
                              <w:pStyle w:val="Body"/>
                              <w:ind w:left="142" w:right="213"/>
                              <w:rPr>
                                <w:lang w:val="en-US"/>
                              </w:rPr>
                            </w:pPr>
                            <w:r w:rsidRPr="006C1104">
                              <w:rPr>
                                <w:lang w:val="en-US"/>
                              </w:rPr>
                              <w:t>All the FRMP objectives set specific aims or actions that can be measured. The measures shall be achieved during the 1</w:t>
                            </w:r>
                            <w:r w:rsidRPr="006C1104">
                              <w:rPr>
                                <w:vertAlign w:val="superscript"/>
                                <w:lang w:val="en-US"/>
                              </w:rPr>
                              <w:t>st</w:t>
                            </w:r>
                            <w:r w:rsidRPr="006C1104">
                              <w:rPr>
                                <w:lang w:val="en-US"/>
                              </w:rPr>
                              <w:t xml:space="preserve"> implementation cycle 2016-2021.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14C776A4" id="Rectangle 7" o:spid="_x0000_s1029" style="width:459.35pt;height:30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BsZwIAAN0EAAAOAAAAZHJzL2Uyb0RvYy54bWysVMtO3DAU3VfqP1jel8wQXhqRQSMQVSUE&#10;qFCxvuPYSSS/eu2ZhH59r50ECmVVdeM5jq/v4/icOb8YjGZ7iaFztuLLgwVn0gpXd7ap+I/H6y9n&#10;nIUItgbtrKz4swz8Yv3503nvV/LQtU7XEhklsWHV+4q3MfpVUQTRSgPhwHlp6VA5NBBpi01RI/SU&#10;3ejicLE4KXqHtUcnZAj09Wo85OucXykp4p1SQUamK069xbxiXrdpLdbnsGoQfNuJqQ34hy4MdJaK&#10;vqS6gghsh91fqUwn0AWn4oFwpnBKdULmGWia5eLdNA8teJlnIXKCf6Ep/L+04nZ/j6yrK37KmQVD&#10;T/SdSAPbaMlOEz29DyuKevD3OO0CwTTroNCkX5qCDZnS5xdK5RCZoI/HZ2V5XJacCTorz07K8iiT&#10;Xrxe9xjiV+kMS6DiSOUzlbC/CZFKUugckqoFp7v6utM6b5JO5KVGtgd64W2zTC3TjTdR2rK+4ofH&#10;RwuSgACSmdIQCRpPgwfbcAa6If2KiLn0m9tZi681QAhp44d1UptXENqxmZxkakfb1K3MgpymSryO&#10;TCYUh+2Qn6GcOd+6+pmeBt2o2eDFdUf5byDEe0ASKc1Cxot3tCjtaEA3Ic5ah78++p7iSTt0yllP&#10;oqfhf+4AJWf6myVVJYfMAGewnYHdmUtHLC/J0l5kSBcw6hkqdOaJ/LhJVegIrKBaFSeqR3gZR+uR&#10;n4XcbHIQ+cBDvLEPXqTUiafE4+PwBOgnTUSS062b7QCrd9IYY9NN6za76FSXdZN4HVkkSaQNeSiL&#10;Y/J7Mumf+xz1+q+0/g0AAP//AwBQSwMEFAAGAAgAAAAhAPTQevzcAAAABQEAAA8AAABkcnMvZG93&#10;bnJldi54bWxMj81uwjAQhO+VeAdrkXorNrSiIcRBtBLtgQMqlLuJNz9KvI5sE9K3r9tLe1lpNKOZ&#10;b7PNaDo2oPONJQnzmQCGVFjdUCXh87R7SID5oEirzhJK+EIPm3xyl6lU2xt94HAMFYsl5FMloQ6h&#10;Tzn3RY1G+ZntkaJXWmdUiNJVXDt1i+Wm4wshltyohuJCrXp8rbFoj1cj4dy2pd+L8vHwchret/vd&#10;mwvaSHk/HbdrYAHH8BeGH/yIDnlkutgrac86CfGR8Hujt5onz8AuEpYieQKeZ/w/ff4NAAD//wMA&#10;UEsBAi0AFAAGAAgAAAAhALaDOJL+AAAA4QEAABMAAAAAAAAAAAAAAAAAAAAAAFtDb250ZW50X1R5&#10;cGVzXS54bWxQSwECLQAUAAYACAAAACEAOP0h/9YAAACUAQAACwAAAAAAAAAAAAAAAAAvAQAAX3Jl&#10;bHMvLnJlbHNQSwECLQAUAAYACAAAACEABXngbGcCAADdBAAADgAAAAAAAAAAAAAAAAAuAgAAZHJz&#10;L2Uyb0RvYy54bWxQSwECLQAUAAYACAAAACEA9NB6/NwAAAAFAQAADwAAAAAAAAAAAAAAAADBBAAA&#10;ZHJzL2Rvd25yZXYueG1sUEsFBgAAAAAEAAQA8wAAAMoFAAAAAA==&#10;" fillcolor="white [3212]" strokecolor="#4f81bd [3204]" strokeweight="2pt">
                <v:textbox inset="0,0,0,0">
                  <w:txbxContent>
                    <w:p w14:paraId="10544FC7" w14:textId="77777777" w:rsidR="006B31EF" w:rsidRPr="000428A5"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5.4 Setting objectives for flood risk management</w:t>
                      </w:r>
                    </w:p>
                    <w:p w14:paraId="0D854EBA" w14:textId="77777777" w:rsidR="006B31EF" w:rsidRPr="006C1104" w:rsidRDefault="006B31EF" w:rsidP="006C1104">
                      <w:pPr>
                        <w:pStyle w:val="Body"/>
                        <w:ind w:left="142" w:right="213"/>
                        <w:rPr>
                          <w:lang w:val="en-US"/>
                        </w:rPr>
                      </w:pPr>
                      <w:r w:rsidRPr="006B31EF">
                        <w:rPr>
                          <w:lang w:val="en-US"/>
                        </w:rPr>
                        <w:t xml:space="preserve">All </w:t>
                      </w:r>
                      <w:r w:rsidRPr="006C1104">
                        <w:rPr>
                          <w:lang w:val="en-US"/>
                        </w:rPr>
                        <w:t xml:space="preserve">five FRMPs of </w:t>
                      </w:r>
                      <w:r w:rsidRPr="006C1104">
                        <w:rPr>
                          <w:b/>
                          <w:bCs/>
                          <w:lang w:val="en-US"/>
                        </w:rPr>
                        <w:t xml:space="preserve">Sweden </w:t>
                      </w:r>
                      <w:r w:rsidRPr="006C1104">
                        <w:rPr>
                          <w:lang w:val="en-US"/>
                        </w:rPr>
                        <w:t xml:space="preserve">define objectives that contain specific and measurable elements. Examples include the following objectives from the FRMP for Älvsbyn:  </w:t>
                      </w:r>
                    </w:p>
                    <w:p w14:paraId="4E29E958" w14:textId="77777777" w:rsidR="006B31EF" w:rsidRPr="006C1104" w:rsidRDefault="006B31EF" w:rsidP="006C1104">
                      <w:pPr>
                        <w:pStyle w:val="WDBullets"/>
                        <w:ind w:left="567" w:right="213"/>
                        <w:jc w:val="both"/>
                        <w:rPr>
                          <w:rFonts w:ascii="Verdana" w:hAnsi="Verdana"/>
                        </w:rPr>
                      </w:pPr>
                      <w:r w:rsidRPr="006C1104">
                        <w:rPr>
                          <w:rFonts w:ascii="Verdana" w:hAnsi="Verdana"/>
                        </w:rPr>
                        <w:t xml:space="preserve">No cultural heritage objects or areas classified as cultural heritage of national interest shall be permanently damaged due to a flood;  </w:t>
                      </w:r>
                    </w:p>
                    <w:p w14:paraId="38E9C284" w14:textId="77777777" w:rsidR="006B31EF" w:rsidRPr="006C1104" w:rsidRDefault="006B31EF" w:rsidP="006C1104">
                      <w:pPr>
                        <w:pStyle w:val="WDBullets"/>
                        <w:ind w:left="567" w:right="213"/>
                        <w:jc w:val="both"/>
                        <w:rPr>
                          <w:rFonts w:ascii="Verdana" w:hAnsi="Verdana"/>
                        </w:rPr>
                      </w:pPr>
                      <w:r w:rsidRPr="006C1104">
                        <w:rPr>
                          <w:rFonts w:ascii="Verdana" w:hAnsi="Verdana"/>
                        </w:rPr>
                        <w:t xml:space="preserve">Electricity distribution installations should not be affected by floods with a 100-year return time. </w:t>
                      </w:r>
                    </w:p>
                    <w:p w14:paraId="7AD80ADB" w14:textId="77777777" w:rsidR="006B31EF" w:rsidRPr="006C1104" w:rsidRDefault="006B31EF" w:rsidP="006C1104">
                      <w:pPr>
                        <w:pStyle w:val="Body"/>
                        <w:ind w:left="142" w:right="213"/>
                        <w:rPr>
                          <w:lang w:val="en-US"/>
                        </w:rPr>
                      </w:pPr>
                      <w:r w:rsidRPr="006C1104">
                        <w:rPr>
                          <w:lang w:val="en-US"/>
                        </w:rPr>
                        <w:t xml:space="preserve">The FRMPs for Falun and Kristianstad also include ‘measure-oriented’ objectives. For example, the FRMP for Falun has an objective that: by 2018, Falun municipality has established forms of cooperation on flow regulation and preventive measures in smaller streams of the municipality (examples of preventive measures may be the preservation of wetlands and the maintenance of streams). </w:t>
                      </w:r>
                    </w:p>
                    <w:p w14:paraId="4D2569A5" w14:textId="77777777" w:rsidR="006B31EF" w:rsidRPr="006C1104" w:rsidRDefault="006B31EF" w:rsidP="006C1104">
                      <w:pPr>
                        <w:pStyle w:val="Body"/>
                        <w:ind w:left="142" w:right="213"/>
                        <w:rPr>
                          <w:lang w:val="en-US"/>
                        </w:rPr>
                      </w:pPr>
                      <w:r w:rsidRPr="006C1104">
                        <w:rPr>
                          <w:lang w:val="en-US"/>
                        </w:rPr>
                        <w:t xml:space="preserve">The ‘knowledge’ objectives found in the Falun, Karlstad and Kristianstad FRMPs can also be linked to measures. For example, the Karlstad FRMP contains the following objective: developing detailed knowledge of which flow levels in Klarälven and water levels in Vänern can lead to serious flooding consequences for cultural heritage. </w:t>
                      </w:r>
                    </w:p>
                    <w:p w14:paraId="2F52C2F9" w14:textId="77777777" w:rsidR="006B31EF" w:rsidRPr="006C1104" w:rsidRDefault="006B31EF" w:rsidP="006C1104">
                      <w:pPr>
                        <w:pStyle w:val="Body"/>
                        <w:ind w:left="142" w:right="213"/>
                        <w:rPr>
                          <w:lang w:val="en-US"/>
                        </w:rPr>
                      </w:pPr>
                      <w:r w:rsidRPr="006C1104">
                        <w:rPr>
                          <w:lang w:val="en-US"/>
                        </w:rPr>
                        <w:t>All the FRMP objectives set specific aims or actions that can be measured. The measures shall be achieved during the 1</w:t>
                      </w:r>
                      <w:r w:rsidRPr="006C1104">
                        <w:rPr>
                          <w:vertAlign w:val="superscript"/>
                          <w:lang w:val="en-US"/>
                        </w:rPr>
                        <w:t>st</w:t>
                      </w:r>
                      <w:r w:rsidRPr="006C1104">
                        <w:rPr>
                          <w:lang w:val="en-US"/>
                        </w:rPr>
                        <w:t xml:space="preserve"> implementation cycle 2016-2021.</w:t>
                      </w:r>
                    </w:p>
                  </w:txbxContent>
                </v:textbox>
                <w10:anchorlock/>
              </v:rect>
            </w:pict>
          </mc:Fallback>
        </mc:AlternateContent>
      </w:r>
    </w:p>
    <w:p w14:paraId="13E55405" w14:textId="13190336" w:rsidR="006B31EF" w:rsidRPr="006C1104" w:rsidRDefault="006B31EF" w:rsidP="006B31EF">
      <w:pPr>
        <w:rPr>
          <w:sz w:val="16"/>
          <w:szCs w:val="16"/>
          <w:lang w:val="en-US"/>
        </w:rPr>
      </w:pPr>
      <w:r w:rsidRPr="006B31EF">
        <w:rPr>
          <w:sz w:val="16"/>
          <w:szCs w:val="16"/>
          <w:lang w:val="en-US"/>
        </w:rPr>
        <w:t>Source:</w:t>
      </w:r>
      <w:r w:rsidRPr="006B31EF">
        <w:rPr>
          <w:sz w:val="20"/>
          <w:lang w:val="en-US"/>
        </w:rPr>
        <w:t xml:space="preserve"> </w:t>
      </w:r>
      <w:r w:rsidRPr="006B31EF">
        <w:rPr>
          <w:sz w:val="16"/>
          <w:szCs w:val="16"/>
          <w:lang w:val="en-US"/>
        </w:rPr>
        <w:t xml:space="preserve">Commission Staff Working Document. First Flood Risk Management Plans – Member State: Sweden. </w:t>
      </w:r>
      <w:r w:rsidRPr="006C1104">
        <w:rPr>
          <w:sz w:val="16"/>
          <w:szCs w:val="16"/>
          <w:lang w:val="en-US"/>
        </w:rPr>
        <w:t xml:space="preserve">Accompanying document. </w:t>
      </w:r>
    </w:p>
    <w:p w14:paraId="419CEE75" w14:textId="23C9C43C" w:rsidR="006C1104" w:rsidRDefault="006C1104" w:rsidP="006C1104">
      <w:pPr>
        <w:pStyle w:val="Body"/>
        <w:rPr>
          <w:lang w:val="en-US"/>
        </w:rPr>
      </w:pPr>
    </w:p>
    <w:p w14:paraId="0E7A02F3" w14:textId="79CFCCE3" w:rsidR="006C1104" w:rsidRDefault="006C1104" w:rsidP="006C1104">
      <w:pPr>
        <w:pStyle w:val="Body"/>
        <w:rPr>
          <w:lang w:val="en-US"/>
        </w:rPr>
      </w:pPr>
    </w:p>
    <w:p w14:paraId="33F40B8A" w14:textId="346B7657" w:rsidR="006C1104" w:rsidRDefault="006C1104" w:rsidP="006C1104">
      <w:pPr>
        <w:pStyle w:val="Body"/>
        <w:rPr>
          <w:lang w:val="en-US"/>
        </w:rPr>
      </w:pPr>
    </w:p>
    <w:p w14:paraId="19A7ACD8" w14:textId="77777777" w:rsidR="006C1104" w:rsidRPr="006C1104" w:rsidRDefault="006C1104" w:rsidP="006C1104">
      <w:pPr>
        <w:pStyle w:val="Body"/>
        <w:rPr>
          <w:lang w:val="en-US"/>
        </w:rPr>
      </w:pPr>
    </w:p>
    <w:p w14:paraId="5FD50F1E" w14:textId="77777777" w:rsidR="006B31EF" w:rsidRPr="006C1104" w:rsidRDefault="006B31EF" w:rsidP="006C1104">
      <w:pPr>
        <w:pStyle w:val="Body"/>
        <w:rPr>
          <w:color w:val="548DD4" w:themeColor="text2" w:themeTint="99"/>
          <w:lang w:val="en-US"/>
        </w:rPr>
      </w:pPr>
      <w:r w:rsidRPr="006C1104">
        <w:rPr>
          <w:color w:val="548DD4" w:themeColor="text2" w:themeTint="99"/>
          <w:lang w:val="en-US"/>
        </w:rPr>
        <w:t>Costs</w:t>
      </w:r>
    </w:p>
    <w:p w14:paraId="0BB1E0CC" w14:textId="77777777" w:rsidR="006B31EF" w:rsidRPr="006B31EF" w:rsidRDefault="006B31EF" w:rsidP="006B31EF">
      <w:pPr>
        <w:pStyle w:val="Body"/>
        <w:rPr>
          <w:lang w:val="en-US"/>
        </w:rPr>
      </w:pPr>
      <w:r w:rsidRPr="006B31EF">
        <w:rPr>
          <w:b/>
          <w:bCs/>
          <w:lang w:val="en-US"/>
        </w:rPr>
        <w:t>Most countries estimate and report total costs of planned measures in the 1</w:t>
      </w:r>
      <w:r w:rsidRPr="006B31EF">
        <w:rPr>
          <w:b/>
          <w:bCs/>
          <w:vertAlign w:val="superscript"/>
          <w:lang w:val="en-US"/>
        </w:rPr>
        <w:t>st</w:t>
      </w:r>
      <w:r w:rsidRPr="006B31EF">
        <w:rPr>
          <w:b/>
          <w:bCs/>
          <w:lang w:val="en-US"/>
        </w:rPr>
        <w:t xml:space="preserve"> FRMPs</w:t>
      </w:r>
      <w:r w:rsidRPr="006B31EF">
        <w:rPr>
          <w:lang w:val="en-US"/>
        </w:rPr>
        <w:t xml:space="preserve">. Some countries do not report costs as the prioritisation and implementation of measures is under the responsibility of local or regional authorities with results and cost estimated not been aggregated at the national scale (for example Denmark, Sweden, France). Other countries (Germany, the Netherlands) do not present costs as these are estimated and reported in national flood management plans or strategies that are complementary to FRMPs. </w:t>
      </w:r>
    </w:p>
    <w:p w14:paraId="42099EFE" w14:textId="77777777" w:rsidR="006B31EF" w:rsidRPr="006B31EF" w:rsidRDefault="006B31EF" w:rsidP="006B31EF">
      <w:pPr>
        <w:pStyle w:val="Body"/>
        <w:rPr>
          <w:lang w:val="en-US"/>
        </w:rPr>
      </w:pPr>
      <w:r w:rsidRPr="006B31EF">
        <w:rPr>
          <w:lang w:val="en-US"/>
        </w:rPr>
        <w:t xml:space="preserve">However, when reported, </w:t>
      </w:r>
      <w:r w:rsidRPr="006B31EF">
        <w:rPr>
          <w:b/>
          <w:lang w:val="en-US"/>
        </w:rPr>
        <w:t>t</w:t>
      </w:r>
      <w:r w:rsidRPr="006B31EF">
        <w:rPr>
          <w:b/>
          <w:bCs/>
          <w:lang w:val="en-US"/>
        </w:rPr>
        <w:t>he knowledge base on costs is heterogeneous and incomplete</w:t>
      </w:r>
      <w:r w:rsidRPr="006B31EF">
        <w:rPr>
          <w:lang w:val="en-US"/>
        </w:rPr>
        <w:t xml:space="preserve"> across EU countries. Where cost estimates are available, estimates are providing a partial view on total costs, in particular:</w:t>
      </w:r>
    </w:p>
    <w:p w14:paraId="0625488C" w14:textId="77777777" w:rsidR="006B31EF" w:rsidRPr="006C1104" w:rsidRDefault="006B31EF" w:rsidP="006B31EF">
      <w:pPr>
        <w:pStyle w:val="WDBullets"/>
        <w:jc w:val="both"/>
        <w:rPr>
          <w:rFonts w:ascii="Verdana" w:hAnsi="Verdana"/>
        </w:rPr>
      </w:pPr>
      <w:r w:rsidRPr="006C1104">
        <w:rPr>
          <w:rFonts w:ascii="Verdana" w:hAnsi="Verdana"/>
        </w:rPr>
        <w:t>Some MS report costs for some types of measures only - e.g. Croatia includes estimates for infrastructure measures only;</w:t>
      </w:r>
    </w:p>
    <w:p w14:paraId="5F5CE744" w14:textId="77777777" w:rsidR="006B31EF" w:rsidRPr="006C1104" w:rsidRDefault="006B31EF" w:rsidP="006B31EF">
      <w:pPr>
        <w:pStyle w:val="WDBullets"/>
        <w:jc w:val="both"/>
        <w:rPr>
          <w:rFonts w:ascii="Verdana" w:hAnsi="Verdana"/>
        </w:rPr>
      </w:pPr>
      <w:r w:rsidRPr="006C1104">
        <w:rPr>
          <w:rFonts w:ascii="Verdana" w:hAnsi="Verdana"/>
        </w:rPr>
        <w:t>Some MS report costs for selected river basins only (e.g. Italy reports cost estimates for three River Basin Districts);</w:t>
      </w:r>
    </w:p>
    <w:p w14:paraId="0A2115B1" w14:textId="77777777" w:rsidR="006B31EF" w:rsidRPr="006C1104" w:rsidRDefault="006B31EF" w:rsidP="006B31EF">
      <w:pPr>
        <w:pStyle w:val="WDBullets"/>
        <w:jc w:val="both"/>
        <w:rPr>
          <w:rFonts w:ascii="Verdana" w:hAnsi="Verdana"/>
        </w:rPr>
      </w:pPr>
      <w:r w:rsidRPr="006C1104">
        <w:rPr>
          <w:rFonts w:ascii="Verdana" w:hAnsi="Verdana"/>
        </w:rPr>
        <w:t>Countries rarely provide cost estimates for different categories of costs (e.g. the breakdown of capital costs and operational costs is not provided, and it is unclear if operational costs are considered at all);</w:t>
      </w:r>
    </w:p>
    <w:p w14:paraId="3249CFB0" w14:textId="77777777" w:rsidR="006B31EF" w:rsidRPr="006C1104" w:rsidRDefault="006B31EF" w:rsidP="006B31EF">
      <w:pPr>
        <w:pStyle w:val="WDBullets"/>
        <w:jc w:val="both"/>
        <w:rPr>
          <w:rFonts w:ascii="Verdana" w:hAnsi="Verdana"/>
        </w:rPr>
      </w:pPr>
      <w:r w:rsidRPr="006C1104">
        <w:rPr>
          <w:rFonts w:ascii="Verdana" w:hAnsi="Verdana"/>
        </w:rPr>
        <w:t>Different time periods are used for estimating costs (e.g. the 6 years of the planning period, or a longer time period required for reducing flood risk levels to set objectives), with the period considered not always specified.</w:t>
      </w:r>
    </w:p>
    <w:p w14:paraId="54B1691B" w14:textId="77777777" w:rsidR="006B31EF" w:rsidRPr="006B31EF" w:rsidRDefault="006B31EF" w:rsidP="006B31EF">
      <w:pPr>
        <w:pStyle w:val="Body"/>
        <w:rPr>
          <w:lang w:val="en-US"/>
        </w:rPr>
      </w:pPr>
      <w:r w:rsidRPr="006B31EF">
        <w:rPr>
          <w:lang w:val="en-US"/>
        </w:rPr>
        <w:t>Estimated total of measures included in the 1</w:t>
      </w:r>
      <w:r w:rsidRPr="006B31EF">
        <w:rPr>
          <w:vertAlign w:val="superscript"/>
          <w:lang w:val="en-US"/>
        </w:rPr>
        <w:t>st</w:t>
      </w:r>
      <w:r w:rsidRPr="006B31EF">
        <w:rPr>
          <w:lang w:val="en-US"/>
        </w:rPr>
        <w:t xml:space="preserve"> FRMPs are presented in the following figures for the countries that reported costs. These cost estimates should be interpreted with caution for the reasons mentioned above. </w:t>
      </w:r>
      <w:bookmarkStart w:id="70" w:name="_Hlk58950986"/>
      <w:r w:rsidRPr="006B31EF">
        <w:rPr>
          <w:lang w:val="en-US"/>
        </w:rPr>
        <w:t>Furthermore, previous studies have highlighted heterogeneity in cost estimates across countries because</w:t>
      </w:r>
      <w:r w:rsidRPr="00736A50">
        <w:rPr>
          <w:rStyle w:val="FootnoteReference"/>
        </w:rPr>
        <w:footnoteReference w:id="38"/>
      </w:r>
      <w:r w:rsidRPr="006B31EF">
        <w:rPr>
          <w:lang w:val="en-US"/>
        </w:rPr>
        <w:t>:</w:t>
      </w:r>
    </w:p>
    <w:p w14:paraId="351A064E" w14:textId="77777777" w:rsidR="006B31EF" w:rsidRPr="006C1104" w:rsidRDefault="006B31EF" w:rsidP="006B31EF">
      <w:pPr>
        <w:pStyle w:val="WDBullets"/>
        <w:jc w:val="both"/>
        <w:rPr>
          <w:rFonts w:ascii="Verdana" w:hAnsi="Verdana"/>
        </w:rPr>
      </w:pPr>
      <w:r w:rsidRPr="006C1104">
        <w:rPr>
          <w:rFonts w:ascii="Verdana" w:hAnsi="Verdana"/>
        </w:rPr>
        <w:t xml:space="preserve">MS set their own objectives and select appropriate measures accordingly, consequently MS setting higher levels of flood protection will incur higher implementation costs. </w:t>
      </w:r>
    </w:p>
    <w:p w14:paraId="42709B7A" w14:textId="77777777" w:rsidR="006B31EF" w:rsidRPr="006C1104" w:rsidRDefault="006B31EF" w:rsidP="006B31EF">
      <w:pPr>
        <w:pStyle w:val="WDBullets"/>
        <w:jc w:val="both"/>
        <w:rPr>
          <w:rFonts w:ascii="Verdana" w:hAnsi="Verdana"/>
        </w:rPr>
      </w:pPr>
      <w:r w:rsidRPr="006C1104">
        <w:rPr>
          <w:rFonts w:ascii="Verdana" w:hAnsi="Verdana"/>
        </w:rPr>
        <w:t xml:space="preserve">There exists a large geographical variability in climates, this is reflected in a large variability of costs and benefits across countries.   </w:t>
      </w:r>
    </w:p>
    <w:p w14:paraId="7509798C" w14:textId="77777777" w:rsidR="006B31EF" w:rsidRPr="006C1104" w:rsidRDefault="006B31EF" w:rsidP="006B31EF">
      <w:pPr>
        <w:pStyle w:val="WDBullets"/>
        <w:jc w:val="both"/>
        <w:rPr>
          <w:rFonts w:ascii="Verdana" w:hAnsi="Verdana"/>
        </w:rPr>
      </w:pPr>
      <w:r w:rsidRPr="006C1104">
        <w:rPr>
          <w:rFonts w:ascii="Verdana" w:hAnsi="Verdana"/>
        </w:rPr>
        <w:t xml:space="preserve">Some countries may have invested a lot in the past and may therefore have limited investment requirements in the coming years (or vice versa). Therefore, the reported costs cannot be interpreted as a benchmark of the importance a country attaches to flood protection.   </w:t>
      </w:r>
    </w:p>
    <w:bookmarkEnd w:id="70"/>
    <w:p w14:paraId="33525FBC" w14:textId="77777777" w:rsidR="004679C7" w:rsidRDefault="004679C7" w:rsidP="006B31EF">
      <w:pPr>
        <w:pStyle w:val="Body"/>
        <w:rPr>
          <w:lang w:val="en-US"/>
        </w:rPr>
      </w:pPr>
    </w:p>
    <w:p w14:paraId="0788F516" w14:textId="3512F51E" w:rsidR="006B31EF" w:rsidRDefault="006B31EF" w:rsidP="006B31EF">
      <w:pPr>
        <w:pStyle w:val="Body"/>
        <w:rPr>
          <w:lang w:val="en-US"/>
        </w:rPr>
      </w:pPr>
      <w:r w:rsidRPr="006B31EF">
        <w:rPr>
          <w:lang w:val="en-US"/>
        </w:rPr>
        <w:t xml:space="preserve">In total, </w:t>
      </w:r>
      <w:r w:rsidRPr="006B31EF">
        <w:rPr>
          <w:b/>
          <w:bCs/>
          <w:lang w:val="en-US"/>
        </w:rPr>
        <w:t>flood risk costs planned in the 1</w:t>
      </w:r>
      <w:r w:rsidRPr="006B31EF">
        <w:rPr>
          <w:b/>
          <w:bCs/>
          <w:vertAlign w:val="superscript"/>
          <w:lang w:val="en-US"/>
        </w:rPr>
        <w:t>st</w:t>
      </w:r>
      <w:r w:rsidRPr="006B31EF">
        <w:rPr>
          <w:b/>
          <w:bCs/>
          <w:lang w:val="en-US"/>
        </w:rPr>
        <w:t xml:space="preserve"> FRMP reach at least EUR 14 billion</w:t>
      </w:r>
      <w:r w:rsidRPr="00736A50">
        <w:rPr>
          <w:rStyle w:val="FootnoteReference"/>
        </w:rPr>
        <w:footnoteReference w:id="39"/>
      </w:r>
      <w:r w:rsidRPr="006B31EF">
        <w:rPr>
          <w:lang w:val="en-US"/>
        </w:rPr>
        <w:t xml:space="preserve">.  </w:t>
      </w:r>
    </w:p>
    <w:p w14:paraId="30D172B5" w14:textId="6E2A4458" w:rsidR="006C1104" w:rsidRDefault="006C1104" w:rsidP="006B31EF">
      <w:pPr>
        <w:pStyle w:val="Body"/>
        <w:rPr>
          <w:lang w:val="en-US"/>
        </w:rPr>
      </w:pPr>
    </w:p>
    <w:p w14:paraId="668CE5D1" w14:textId="40495ED0" w:rsidR="006C1104" w:rsidRDefault="006C1104" w:rsidP="006B31EF">
      <w:pPr>
        <w:pStyle w:val="Body"/>
        <w:rPr>
          <w:lang w:val="en-US"/>
        </w:rPr>
      </w:pPr>
    </w:p>
    <w:p w14:paraId="59C71D04" w14:textId="51A265AE" w:rsidR="006C1104" w:rsidRDefault="006C1104" w:rsidP="006B31EF">
      <w:pPr>
        <w:pStyle w:val="Body"/>
        <w:rPr>
          <w:lang w:val="en-US"/>
        </w:rPr>
      </w:pPr>
    </w:p>
    <w:p w14:paraId="5E23A7F0" w14:textId="1469D49F" w:rsidR="006C1104" w:rsidRDefault="006C1104" w:rsidP="006B31EF">
      <w:pPr>
        <w:pStyle w:val="Body"/>
        <w:rPr>
          <w:lang w:val="en-US"/>
        </w:rPr>
      </w:pPr>
    </w:p>
    <w:p w14:paraId="3B0E9F05" w14:textId="77777777" w:rsidR="006C1104" w:rsidRPr="006B31EF" w:rsidRDefault="006C1104" w:rsidP="006B31EF">
      <w:pPr>
        <w:pStyle w:val="Body"/>
        <w:rPr>
          <w:lang w:val="en-US"/>
        </w:rPr>
      </w:pPr>
    </w:p>
    <w:p w14:paraId="2C2EFEF9" w14:textId="46FD5A1B" w:rsidR="006B31EF" w:rsidRPr="006C1104" w:rsidRDefault="006C1104" w:rsidP="006C1104">
      <w:pPr>
        <w:pStyle w:val="Caption"/>
        <w:rPr>
          <w:rFonts w:ascii="Verdana" w:hAnsi="Verdana"/>
          <w:color w:val="548DD4" w:themeColor="text2" w:themeTint="99"/>
          <w:sz w:val="18"/>
          <w:szCs w:val="18"/>
          <w:lang w:val="en-US"/>
        </w:rPr>
      </w:pPr>
      <w:bookmarkStart w:id="71" w:name="_Toc56669506"/>
      <w:bookmarkStart w:id="72" w:name="_Toc56776759"/>
      <w:bookmarkStart w:id="73" w:name="_Toc59181820"/>
      <w:r w:rsidRPr="006C1104">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7</w:t>
      </w:r>
      <w:r w:rsidR="00E14072">
        <w:rPr>
          <w:rFonts w:ascii="Verdana" w:hAnsi="Verdana"/>
          <w:color w:val="548DD4" w:themeColor="text2" w:themeTint="99"/>
          <w:sz w:val="18"/>
          <w:szCs w:val="18"/>
          <w:lang w:val="en-US"/>
        </w:rPr>
        <w:fldChar w:fldCharType="end"/>
      </w:r>
      <w:r w:rsidRPr="006C1104">
        <w:rPr>
          <w:rFonts w:ascii="Verdana" w:hAnsi="Verdana"/>
          <w:color w:val="548DD4" w:themeColor="text2" w:themeTint="99"/>
          <w:sz w:val="18"/>
          <w:szCs w:val="18"/>
          <w:lang w:val="en-US"/>
        </w:rPr>
        <w:t xml:space="preserve"> </w:t>
      </w:r>
      <w:r w:rsidR="006B31EF" w:rsidRPr="006C1104">
        <w:rPr>
          <w:rFonts w:ascii="Verdana" w:hAnsi="Verdana"/>
          <w:color w:val="548DD4" w:themeColor="text2" w:themeTint="99"/>
          <w:sz w:val="18"/>
          <w:szCs w:val="18"/>
          <w:lang w:val="en-US"/>
        </w:rPr>
        <w:t>Total costs of measures reported by MS (EUR million)</w:t>
      </w:r>
      <w:bookmarkEnd w:id="71"/>
      <w:bookmarkEnd w:id="72"/>
      <w:bookmarkEnd w:id="73"/>
    </w:p>
    <w:p w14:paraId="21F84FDB" w14:textId="48F623F0" w:rsidR="006B31EF" w:rsidRPr="00736A50" w:rsidRDefault="00AD0341" w:rsidP="006B31EF">
      <w:pPr>
        <w:jc w:val="center"/>
      </w:pPr>
      <w:r>
        <w:rPr>
          <w:noProof/>
          <w:lang w:val="en-US"/>
        </w:rPr>
        <w:drawing>
          <wp:inline distT="0" distB="0" distL="0" distR="0" wp14:anchorId="1A832D10" wp14:editId="43FA5D71">
            <wp:extent cx="4701540" cy="3284496"/>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706910" cy="3288247"/>
                    </a:xfrm>
                    <a:prstGeom prst="rect">
                      <a:avLst/>
                    </a:prstGeom>
                    <a:noFill/>
                    <a:ln>
                      <a:noFill/>
                    </a:ln>
                  </pic:spPr>
                </pic:pic>
              </a:graphicData>
            </a:graphic>
          </wp:inline>
        </w:drawing>
      </w:r>
    </w:p>
    <w:p w14:paraId="2C67B9E4" w14:textId="4E3AAF40" w:rsidR="006B31EF" w:rsidRPr="006C1104" w:rsidRDefault="006B31EF" w:rsidP="006C1104">
      <w:pPr>
        <w:rPr>
          <w:sz w:val="16"/>
          <w:szCs w:val="16"/>
          <w:lang w:val="en-US"/>
        </w:rPr>
      </w:pPr>
      <w:r w:rsidRPr="006B31EF">
        <w:rPr>
          <w:sz w:val="16"/>
          <w:szCs w:val="16"/>
          <w:lang w:val="en-US"/>
        </w:rPr>
        <w:t>Source: Data extracted by the project team from information provided by the MS in mid-2020</w:t>
      </w:r>
    </w:p>
    <w:p w14:paraId="2253254A" w14:textId="04AB4DC8" w:rsidR="006B31EF" w:rsidRPr="006B31EF" w:rsidRDefault="006B31EF" w:rsidP="006B31EF">
      <w:pPr>
        <w:pStyle w:val="Body"/>
        <w:rPr>
          <w:lang w:val="en-US"/>
        </w:rPr>
      </w:pPr>
      <w:r w:rsidRPr="006B31EF">
        <w:rPr>
          <w:lang w:val="en-US"/>
        </w:rPr>
        <w:t xml:space="preserve">There is very </w:t>
      </w:r>
      <w:r w:rsidRPr="006B31EF">
        <w:rPr>
          <w:b/>
          <w:bCs/>
          <w:lang w:val="en-US"/>
        </w:rPr>
        <w:t>limited information available on the costs of individual measures or individual measures types</w:t>
      </w:r>
      <w:r w:rsidRPr="006B31EF">
        <w:rPr>
          <w:lang w:val="en-US"/>
        </w:rPr>
        <w:t xml:space="preserve"> (prevention, protection, preparedness, and recovery). Only few countries provide estimated costs per measure type, see </w:t>
      </w:r>
      <w:r w:rsidR="00C47667" w:rsidRPr="00C47667">
        <w:rPr>
          <w:lang w:val="en-US"/>
        </w:rPr>
        <w:t>Bo</w:t>
      </w:r>
      <w:r w:rsidR="00C47667">
        <w:rPr>
          <w:lang w:val="en-US"/>
        </w:rPr>
        <w:t>x 5.5</w:t>
      </w:r>
      <w:r w:rsidRPr="006B31EF">
        <w:rPr>
          <w:lang w:val="en-US"/>
        </w:rPr>
        <w:t>. Information on the relative costs per measure type in PoMs would clearly help understand their importance in financial terms even though some types of measures are location specific which makes it difficult to extrapolate their costs to other countries.</w:t>
      </w:r>
    </w:p>
    <w:p w14:paraId="6ACA49F8" w14:textId="77777777" w:rsidR="006B31EF" w:rsidRPr="006B31EF" w:rsidRDefault="006B31EF" w:rsidP="006B31EF">
      <w:pPr>
        <w:pStyle w:val="Body"/>
        <w:rPr>
          <w:lang w:val="en-US"/>
        </w:rPr>
      </w:pPr>
    </w:p>
    <w:p w14:paraId="6D8490DF" w14:textId="77777777" w:rsidR="006B31EF" w:rsidRPr="00736A50" w:rsidRDefault="006B31EF" w:rsidP="006B31EF">
      <w:pPr>
        <w:pStyle w:val="Body"/>
      </w:pPr>
      <w:r w:rsidRPr="0040676E">
        <w:rPr>
          <w:rFonts w:ascii="Calibri" w:hAnsi="Calibri"/>
          <w:noProof/>
          <w:sz w:val="22"/>
          <w:lang w:val="en-US"/>
        </w:rPr>
        <mc:AlternateContent>
          <mc:Choice Requires="wps">
            <w:drawing>
              <wp:inline distT="0" distB="0" distL="0" distR="0" wp14:anchorId="24A16415" wp14:editId="47360E70">
                <wp:extent cx="5833533" cy="1809617"/>
                <wp:effectExtent l="0" t="0" r="15240" b="19685"/>
                <wp:docPr id="13" name="Rectangle 13"/>
                <wp:cNvGraphicFramePr/>
                <a:graphic xmlns:a="http://schemas.openxmlformats.org/drawingml/2006/main">
                  <a:graphicData uri="http://schemas.microsoft.com/office/word/2010/wordprocessingShape">
                    <wps:wsp>
                      <wps:cNvSpPr/>
                      <wps:spPr>
                        <a:xfrm>
                          <a:off x="0" y="0"/>
                          <a:ext cx="5833533" cy="1809617"/>
                        </a:xfrm>
                        <a:prstGeom prst="rect">
                          <a:avLst/>
                        </a:prstGeom>
                        <a:solidFill>
                          <a:schemeClr val="bg1"/>
                        </a:solidFill>
                        <a:ln w="25400" cap="flat" cmpd="sng" algn="ctr">
                          <a:solidFill>
                            <a:schemeClr val="accent1"/>
                          </a:solidFill>
                          <a:prstDash val="solid"/>
                        </a:ln>
                        <a:effectLst/>
                      </wps:spPr>
                      <wps:txbx>
                        <w:txbxContent>
                          <w:p w14:paraId="150E90BE" w14:textId="77777777" w:rsidR="006B31EF" w:rsidRPr="000428A5"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5.5 Costs of measures by type</w:t>
                            </w:r>
                          </w:p>
                          <w:p w14:paraId="6AD38B08" w14:textId="77777777" w:rsidR="006B31EF" w:rsidRPr="00480178" w:rsidRDefault="006B31EF" w:rsidP="006B31EF">
                            <w:pPr>
                              <w:pStyle w:val="WDBullets"/>
                              <w:ind w:left="567"/>
                              <w:jc w:val="both"/>
                            </w:pPr>
                            <w:r w:rsidRPr="00480178">
                              <w:t xml:space="preserve">In </w:t>
                            </w:r>
                            <w:r w:rsidRPr="00212CB9">
                              <w:rPr>
                                <w:b/>
                                <w:bCs/>
                              </w:rPr>
                              <w:t>Cyprus</w:t>
                            </w:r>
                            <w:r>
                              <w:rPr>
                                <w:b/>
                                <w:bCs/>
                              </w:rPr>
                              <w:t xml:space="preserve">, </w:t>
                            </w:r>
                            <w:r w:rsidRPr="00480178">
                              <w:t xml:space="preserve">protection measures make up </w:t>
                            </w:r>
                            <w:r>
                              <w:t xml:space="preserve">to </w:t>
                            </w:r>
                            <w:r w:rsidRPr="00480178">
                              <w:t>99% of the total costs of the PoM</w:t>
                            </w:r>
                            <w:r>
                              <w:t xml:space="preserve">. </w:t>
                            </w:r>
                          </w:p>
                          <w:p w14:paraId="5089B315" w14:textId="77777777" w:rsidR="006B31EF" w:rsidRPr="007D6FB3" w:rsidRDefault="006B31EF" w:rsidP="006B31EF">
                            <w:pPr>
                              <w:pStyle w:val="WDBullets"/>
                              <w:ind w:left="567"/>
                              <w:jc w:val="both"/>
                            </w:pPr>
                            <w:r w:rsidRPr="00212CB9">
                              <w:rPr>
                                <w:b/>
                                <w:bCs/>
                              </w:rPr>
                              <w:t>Greece</w:t>
                            </w:r>
                            <w:r w:rsidRPr="00212CB9">
                              <w:t xml:space="preserve"> </w:t>
                            </w:r>
                            <w:r w:rsidRPr="00480178">
                              <w:t xml:space="preserve">reports that 382 measures are included in the Greek FRMPs. These are structured along </w:t>
                            </w:r>
                            <w:r>
                              <w:t>four</w:t>
                            </w:r>
                            <w:r w:rsidRPr="00480178">
                              <w:t xml:space="preserve"> axes (prevention, protection, preparedness, and recovery</w:t>
                            </w:r>
                            <w:r>
                              <w:t>)</w:t>
                            </w:r>
                            <w:r w:rsidRPr="00480178">
                              <w:t xml:space="preserve">. </w:t>
                            </w:r>
                            <w:r>
                              <w:t>The c</w:t>
                            </w:r>
                            <w:r w:rsidRPr="00480178">
                              <w:t>osts of prevention measures account for 86</w:t>
                            </w:r>
                            <w:r>
                              <w:t>.1</w:t>
                            </w:r>
                            <w:r w:rsidRPr="00480178">
                              <w:t xml:space="preserve">% of the total costs of measures, </w:t>
                            </w:r>
                            <w:r>
                              <w:t xml:space="preserve">with the </w:t>
                            </w:r>
                            <w:r w:rsidRPr="00480178">
                              <w:t xml:space="preserve">costs of preparedness measures, costs of protection measures </w:t>
                            </w:r>
                            <w:r>
                              <w:t xml:space="preserve">and </w:t>
                            </w:r>
                            <w:r w:rsidRPr="00480178">
                              <w:t>costs of recovery account</w:t>
                            </w:r>
                            <w:r>
                              <w:t>ing</w:t>
                            </w:r>
                            <w:r w:rsidRPr="00480178">
                              <w:t xml:space="preserve"> for 7</w:t>
                            </w:r>
                            <w:r>
                              <w:t>.1</w:t>
                            </w:r>
                            <w:r w:rsidRPr="00480178">
                              <w:t>%</w:t>
                            </w:r>
                            <w:r>
                              <w:t xml:space="preserve">, 5.4% and 1.4% of the total costs, respectively.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24A16415" id="Rectangle 13" o:spid="_x0000_s1030" style="width:459.3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6BZwIAAN8EAAAOAAAAZHJzL2Uyb0RvYy54bWysVE1v2zAMvQ/YfxB0X500bdcFdYogQYcB&#10;RRusHXpmZMk2oK9RSuzu14+SnWbtehp2kUmJeiSfHn113RvN9hJD62zJpycTzqQVrmptXfIfjzef&#10;LjkLEWwF2llZ8mcZ+PXi44erzs/lqWucriQyArFh3vmSNzH6eVEE0UgD4cR5aelQOTQQycW6qBA6&#10;Qje6OJ1MLorOYeXRCRkC7a6HQ77I+EpJEe+VCjIyXXKqLeYV87pNa7G4gnmN4JtWjGXAP1RhoLWU&#10;9AVqDRHYDtu/oEwr0AWn4olwpnBKtULmHqib6eRNNw8NeJl7IXKCf6Ep/D9YcbffIGsrersZZxYM&#10;vdF3Yg1srSWjPSKo82FOcQ9+g6MXyEzd9gpN+lIfrM+kPr+QKvvIBG2eX85m5zMCF3Q2vZx8uZh+&#10;TqjF8brHEL9KZ1gySo6UP5MJ+9sQh9BDSMoWnG6rm1br7CSlyJVGtgd64209HcFfRWnLupKfnp9N&#10;SAQCSGhKQyTTeGo92Joz0DUpWETMqV/dzmo85gAhpI3v5kllriE0QzEZZCxH21StzJIcu0q8Dkwm&#10;K/bbPj/EWbqRdraueqbHQTeoNnhx0xL+LYS4ASSZUi80evGeFqUdNehGi7PG4a/39lM8qYdOOetI&#10;9tT8zx2g5Ex/s6SrNCMHAw/G9mDYnVk5YnlKQ+1FNukCRn0wFTrzRBO5TFnoCKygXCUnqgdzFYfh&#10;o4kWcrnMQTQJHuKtffAiQSeeEo+P/ROgHzURSU537jAQMH8jjSE23bRuuYtOtVk3RxZJb8mhKcrK&#10;Gyc+jemffo46/pcWvwEAAP//AwBQSwMEFAAGAAgAAAAhAM1BENrcAAAABQEAAA8AAABkcnMvZG93&#10;bnJldi54bWxMj81uwjAQhO+VeAdrK/VWbKjahjQOgkq0Bw4IKHcTb36UeB3ZJqRvX7eXcllpNKOZ&#10;b7PlaDo2oPONJQmzqQCGVFjdUCXh67h5TID5oEirzhJK+EYPy3xyl6lU2yvtcTiEisUS8qmSUIfQ&#10;p5z7okaj/NT2SNErrTMqROkqrp26xnLT8bkQL9yohuJCrXp8r7FoDxcj4dS2pd+K8mm3Pg6fq+3m&#10;wwVtpHy4H1dvwAKO4T8Mv/gRHfLIdLYX0p51EuIj4e9GbzFLXoGdJcyTZwE8z/gtff4DAAD//wMA&#10;UEsBAi0AFAAGAAgAAAAhALaDOJL+AAAA4QEAABMAAAAAAAAAAAAAAAAAAAAAAFtDb250ZW50X1R5&#10;cGVzXS54bWxQSwECLQAUAAYACAAAACEAOP0h/9YAAACUAQAACwAAAAAAAAAAAAAAAAAvAQAAX3Jl&#10;bHMvLnJlbHNQSwECLQAUAAYACAAAACEAK6BOgWcCAADfBAAADgAAAAAAAAAAAAAAAAAuAgAAZHJz&#10;L2Uyb0RvYy54bWxQSwECLQAUAAYACAAAACEAzUEQ2twAAAAFAQAADwAAAAAAAAAAAAAAAADBBAAA&#10;ZHJzL2Rvd25yZXYueG1sUEsFBgAAAAAEAAQA8wAAAMoFAAAAAA==&#10;" fillcolor="white [3212]" strokecolor="#4f81bd [3204]" strokeweight="2pt">
                <v:textbox inset="0,0,0,0">
                  <w:txbxContent>
                    <w:p w14:paraId="150E90BE" w14:textId="77777777" w:rsidR="006B31EF" w:rsidRPr="000428A5"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5.5 Costs of measures by type</w:t>
                      </w:r>
                    </w:p>
                    <w:p w14:paraId="6AD38B08" w14:textId="77777777" w:rsidR="006B31EF" w:rsidRPr="00480178" w:rsidRDefault="006B31EF" w:rsidP="006B31EF">
                      <w:pPr>
                        <w:pStyle w:val="WDBullets"/>
                        <w:ind w:left="567"/>
                        <w:jc w:val="both"/>
                      </w:pPr>
                      <w:r w:rsidRPr="00480178">
                        <w:t xml:space="preserve">In </w:t>
                      </w:r>
                      <w:r w:rsidRPr="00212CB9">
                        <w:rPr>
                          <w:b/>
                          <w:bCs/>
                        </w:rPr>
                        <w:t>Cyprus</w:t>
                      </w:r>
                      <w:r>
                        <w:rPr>
                          <w:b/>
                          <w:bCs/>
                        </w:rPr>
                        <w:t xml:space="preserve">, </w:t>
                      </w:r>
                      <w:r w:rsidRPr="00480178">
                        <w:t xml:space="preserve">protection measures make up </w:t>
                      </w:r>
                      <w:r>
                        <w:t xml:space="preserve">to </w:t>
                      </w:r>
                      <w:r w:rsidRPr="00480178">
                        <w:t>99% of the total costs of the PoM</w:t>
                      </w:r>
                      <w:r>
                        <w:t xml:space="preserve">. </w:t>
                      </w:r>
                    </w:p>
                    <w:p w14:paraId="5089B315" w14:textId="77777777" w:rsidR="006B31EF" w:rsidRPr="007D6FB3" w:rsidRDefault="006B31EF" w:rsidP="006B31EF">
                      <w:pPr>
                        <w:pStyle w:val="WDBullets"/>
                        <w:ind w:left="567"/>
                        <w:jc w:val="both"/>
                      </w:pPr>
                      <w:r w:rsidRPr="00212CB9">
                        <w:rPr>
                          <w:b/>
                          <w:bCs/>
                        </w:rPr>
                        <w:t>Greece</w:t>
                      </w:r>
                      <w:r w:rsidRPr="00212CB9">
                        <w:t xml:space="preserve"> </w:t>
                      </w:r>
                      <w:r w:rsidRPr="00480178">
                        <w:t xml:space="preserve">reports that 382 measures are included in the Greek FRMPs. These are structured along </w:t>
                      </w:r>
                      <w:r>
                        <w:t>four</w:t>
                      </w:r>
                      <w:r w:rsidRPr="00480178">
                        <w:t xml:space="preserve"> axes (prevention, protection, preparedness, and recovery</w:t>
                      </w:r>
                      <w:r>
                        <w:t>)</w:t>
                      </w:r>
                      <w:r w:rsidRPr="00480178">
                        <w:t xml:space="preserve">. </w:t>
                      </w:r>
                      <w:r>
                        <w:t>The c</w:t>
                      </w:r>
                      <w:r w:rsidRPr="00480178">
                        <w:t>osts of prevention measures account for 86</w:t>
                      </w:r>
                      <w:r>
                        <w:t>.1</w:t>
                      </w:r>
                      <w:r w:rsidRPr="00480178">
                        <w:t xml:space="preserve">% of the total costs of measures, </w:t>
                      </w:r>
                      <w:r>
                        <w:t xml:space="preserve">with the </w:t>
                      </w:r>
                      <w:r w:rsidRPr="00480178">
                        <w:t xml:space="preserve">costs of preparedness measures, costs of protection measures </w:t>
                      </w:r>
                      <w:r>
                        <w:t xml:space="preserve">and </w:t>
                      </w:r>
                      <w:r w:rsidRPr="00480178">
                        <w:t>costs of recovery account</w:t>
                      </w:r>
                      <w:r>
                        <w:t>ing</w:t>
                      </w:r>
                      <w:r w:rsidRPr="00480178">
                        <w:t xml:space="preserve"> for 7</w:t>
                      </w:r>
                      <w:r>
                        <w:t>.1</w:t>
                      </w:r>
                      <w:r w:rsidRPr="00480178">
                        <w:t>%</w:t>
                      </w:r>
                      <w:r>
                        <w:t xml:space="preserve">, 5.4% and 1.4% of the total costs, respectively. </w:t>
                      </w:r>
                    </w:p>
                  </w:txbxContent>
                </v:textbox>
                <w10:anchorlock/>
              </v:rect>
            </w:pict>
          </mc:Fallback>
        </mc:AlternateContent>
      </w:r>
    </w:p>
    <w:p w14:paraId="11B6BCDE" w14:textId="77777777" w:rsidR="006B31EF" w:rsidRPr="00C47667" w:rsidRDefault="006B31EF" w:rsidP="006B31EF">
      <w:pPr>
        <w:spacing w:after="0"/>
        <w:rPr>
          <w:rFonts w:ascii="Verdana" w:hAnsi="Verdana"/>
          <w:sz w:val="16"/>
          <w:szCs w:val="16"/>
          <w:lang w:val="en-US"/>
        </w:rPr>
      </w:pPr>
      <w:r w:rsidRPr="00C47667">
        <w:rPr>
          <w:rFonts w:ascii="Verdana" w:hAnsi="Verdana"/>
          <w:sz w:val="16"/>
          <w:szCs w:val="16"/>
          <w:lang w:val="en-US"/>
        </w:rPr>
        <w:t>Source: Information provided by the MS in the context of this project</w:t>
      </w:r>
    </w:p>
    <w:p w14:paraId="2A783BE2" w14:textId="77777777" w:rsidR="006B31EF" w:rsidRPr="006B31EF" w:rsidRDefault="006B31EF" w:rsidP="006B31EF">
      <w:pPr>
        <w:pStyle w:val="Body"/>
        <w:rPr>
          <w:lang w:val="en-US"/>
        </w:rPr>
      </w:pPr>
    </w:p>
    <w:p w14:paraId="619E1F85" w14:textId="15A2ED5A" w:rsidR="006B31EF" w:rsidRPr="006B31EF" w:rsidRDefault="006B31EF" w:rsidP="006B31EF">
      <w:pPr>
        <w:pStyle w:val="Body"/>
        <w:rPr>
          <w:lang w:val="en-US"/>
        </w:rPr>
      </w:pPr>
      <w:r w:rsidRPr="006B31EF">
        <w:rPr>
          <w:lang w:val="en-US"/>
        </w:rPr>
        <w:t xml:space="preserve">Few countries report on the total </w:t>
      </w:r>
      <w:r w:rsidRPr="006B31EF">
        <w:rPr>
          <w:b/>
          <w:bCs/>
          <w:lang w:val="en-US"/>
        </w:rPr>
        <w:t>future</w:t>
      </w:r>
      <w:r w:rsidRPr="006B31EF">
        <w:rPr>
          <w:lang w:val="en-US"/>
        </w:rPr>
        <w:t xml:space="preserve"> investment needs to achieve flood risk objectives. In cases where </w:t>
      </w:r>
      <w:r w:rsidRPr="006B31EF">
        <w:rPr>
          <w:b/>
          <w:bCs/>
          <w:lang w:val="en-US"/>
        </w:rPr>
        <w:t>reported investment needs are</w:t>
      </w:r>
      <w:r w:rsidRPr="006B31EF">
        <w:rPr>
          <w:lang w:val="en-US"/>
        </w:rPr>
        <w:t xml:space="preserve"> </w:t>
      </w:r>
      <w:r w:rsidRPr="006B31EF">
        <w:rPr>
          <w:b/>
          <w:lang w:val="en-US"/>
        </w:rPr>
        <w:t>available</w:t>
      </w:r>
      <w:r w:rsidRPr="006B31EF">
        <w:rPr>
          <w:lang w:val="en-US"/>
        </w:rPr>
        <w:t xml:space="preserve"> (See </w:t>
      </w:r>
      <w:r w:rsidR="00C47667" w:rsidRPr="00C47667">
        <w:rPr>
          <w:lang w:val="en-US"/>
        </w:rPr>
        <w:t>Bo</w:t>
      </w:r>
      <w:r w:rsidR="00C47667">
        <w:rPr>
          <w:lang w:val="en-US"/>
        </w:rPr>
        <w:t>x 5.6</w:t>
      </w:r>
      <w:r w:rsidRPr="006B31EF">
        <w:rPr>
          <w:lang w:val="en-US"/>
        </w:rPr>
        <w:t xml:space="preserve">), such information is </w:t>
      </w:r>
      <w:r w:rsidRPr="006B31EF">
        <w:rPr>
          <w:b/>
          <w:bCs/>
          <w:lang w:val="en-US"/>
        </w:rPr>
        <w:t>heterogeneous</w:t>
      </w:r>
      <w:r w:rsidRPr="006B31EF">
        <w:rPr>
          <w:lang w:val="en-US"/>
        </w:rPr>
        <w:t xml:space="preserve"> and is built on current expenditures (assuming that current expenditure levels are sufficient to reach FD objectives in the future). For the estimation of short-term investment needs (i.e. &lt;2027) these figures may be accurate, but for long-term projections, climate change and socio-economic developments should be factored into the analysis. </w:t>
      </w:r>
    </w:p>
    <w:p w14:paraId="0A2C2A08" w14:textId="77777777" w:rsidR="006B31EF" w:rsidRPr="006B31EF" w:rsidRDefault="006B31EF" w:rsidP="006B31EF">
      <w:pPr>
        <w:pStyle w:val="Body"/>
        <w:rPr>
          <w:lang w:val="en-US"/>
        </w:rPr>
      </w:pPr>
    </w:p>
    <w:p w14:paraId="5B5519EB" w14:textId="77777777" w:rsidR="006B31EF" w:rsidRPr="006B31EF" w:rsidRDefault="006B31EF" w:rsidP="006B31EF">
      <w:pPr>
        <w:pStyle w:val="Body"/>
        <w:rPr>
          <w:lang w:val="en-US"/>
        </w:rPr>
      </w:pPr>
    </w:p>
    <w:p w14:paraId="6AD0423B" w14:textId="77777777" w:rsidR="006B31EF" w:rsidRPr="006B31EF" w:rsidRDefault="006B31EF" w:rsidP="006B31EF">
      <w:pPr>
        <w:pStyle w:val="Body"/>
        <w:rPr>
          <w:lang w:val="en-US"/>
        </w:rPr>
      </w:pPr>
    </w:p>
    <w:p w14:paraId="5289C6EC" w14:textId="77777777" w:rsidR="006B31EF" w:rsidRPr="00736A50" w:rsidRDefault="006B31EF" w:rsidP="006B31EF">
      <w:pPr>
        <w:pStyle w:val="Body"/>
      </w:pPr>
      <w:r w:rsidRPr="0040676E">
        <w:rPr>
          <w:rFonts w:ascii="Calibri" w:hAnsi="Calibri"/>
          <w:noProof/>
          <w:sz w:val="22"/>
          <w:lang w:val="en-US"/>
        </w:rPr>
        <mc:AlternateContent>
          <mc:Choice Requires="wps">
            <w:drawing>
              <wp:inline distT="0" distB="0" distL="0" distR="0" wp14:anchorId="53E124F3" wp14:editId="4CC63027">
                <wp:extent cx="5833533" cy="5593080"/>
                <wp:effectExtent l="0" t="0" r="15240" b="26670"/>
                <wp:docPr id="14" name="Rectangle 14"/>
                <wp:cNvGraphicFramePr/>
                <a:graphic xmlns:a="http://schemas.openxmlformats.org/drawingml/2006/main">
                  <a:graphicData uri="http://schemas.microsoft.com/office/word/2010/wordprocessingShape">
                    <wps:wsp>
                      <wps:cNvSpPr/>
                      <wps:spPr>
                        <a:xfrm>
                          <a:off x="0" y="0"/>
                          <a:ext cx="5833533" cy="5593080"/>
                        </a:xfrm>
                        <a:prstGeom prst="rect">
                          <a:avLst/>
                        </a:prstGeom>
                        <a:solidFill>
                          <a:schemeClr val="bg1"/>
                        </a:solidFill>
                        <a:ln w="25400" cap="flat" cmpd="sng" algn="ctr">
                          <a:solidFill>
                            <a:schemeClr val="accent1"/>
                          </a:solidFill>
                          <a:prstDash val="solid"/>
                        </a:ln>
                        <a:effectLst/>
                      </wps:spPr>
                      <wps:txbx>
                        <w:txbxContent>
                          <w:p w14:paraId="4DA80C29" w14:textId="77777777" w:rsidR="006B31EF" w:rsidRPr="00AA4406"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5.6 Estimated Investment needs to reach FD objectives</w:t>
                            </w:r>
                            <w:r w:rsidRPr="006B31EF">
                              <w:rPr>
                                <w:b/>
                                <w:bCs/>
                                <w:lang w:val="en-US"/>
                              </w:rPr>
                              <w:t xml:space="preserve"> </w:t>
                            </w:r>
                          </w:p>
                          <w:p w14:paraId="42E77170" w14:textId="77777777" w:rsidR="006B31EF" w:rsidRPr="00C47667" w:rsidRDefault="006B31EF" w:rsidP="00C47667">
                            <w:pPr>
                              <w:pStyle w:val="WDBullets"/>
                              <w:ind w:left="567" w:right="213"/>
                              <w:jc w:val="both"/>
                              <w:rPr>
                                <w:rFonts w:ascii="Verdana" w:hAnsi="Verdana"/>
                                <w:b/>
                                <w:bCs/>
                              </w:rPr>
                            </w:pPr>
                            <w:r w:rsidRPr="00C47667">
                              <w:rPr>
                                <w:rFonts w:ascii="Verdana" w:hAnsi="Verdana"/>
                                <w:b/>
                                <w:bCs/>
                              </w:rPr>
                              <w:t xml:space="preserve">Belgium </w:t>
                            </w:r>
                            <w:r w:rsidRPr="00C47667">
                              <w:rPr>
                                <w:rFonts w:ascii="Verdana" w:hAnsi="Verdana"/>
                              </w:rPr>
                              <w:t>reports costs estimates:</w:t>
                            </w:r>
                          </w:p>
                          <w:p w14:paraId="43F7A8C8" w14:textId="77777777" w:rsidR="006B31EF" w:rsidRPr="00C47667" w:rsidRDefault="006B31EF" w:rsidP="00C47667">
                            <w:pPr>
                              <w:pStyle w:val="WDBullets2"/>
                              <w:ind w:right="213"/>
                              <w:jc w:val="both"/>
                              <w:rPr>
                                <w:rFonts w:ascii="Verdana" w:hAnsi="Verdana"/>
                              </w:rPr>
                            </w:pPr>
                            <w:r w:rsidRPr="00C47667">
                              <w:rPr>
                                <w:rFonts w:ascii="Verdana" w:hAnsi="Verdana"/>
                              </w:rPr>
                              <w:t xml:space="preserve">For Flanders for the period 2016 – 2019 it can be deduced that the yearly capital expenditures for flood measures is EUR 55 – 60 million per year. </w:t>
                            </w:r>
                          </w:p>
                          <w:p w14:paraId="0F12EB5C" w14:textId="77777777" w:rsidR="006B31EF" w:rsidRPr="00C47667" w:rsidRDefault="006B31EF" w:rsidP="00C47667">
                            <w:pPr>
                              <w:pStyle w:val="WDBullets2"/>
                              <w:ind w:right="213"/>
                              <w:jc w:val="both"/>
                              <w:rPr>
                                <w:rFonts w:ascii="Verdana" w:hAnsi="Verdana"/>
                              </w:rPr>
                            </w:pPr>
                          </w:p>
                          <w:p w14:paraId="63DBCEB5" w14:textId="77777777" w:rsidR="006B31EF" w:rsidRPr="00C47667" w:rsidRDefault="006B31EF" w:rsidP="00C47667">
                            <w:pPr>
                              <w:pStyle w:val="WDBullets2"/>
                              <w:ind w:right="213"/>
                              <w:jc w:val="both"/>
                              <w:rPr>
                                <w:rFonts w:ascii="Verdana" w:hAnsi="Verdana"/>
                              </w:rPr>
                            </w:pPr>
                            <w:r w:rsidRPr="00C47667">
                              <w:rPr>
                                <w:rFonts w:ascii="Verdana" w:hAnsi="Verdana"/>
                              </w:rPr>
                              <w:t>For Brussels: CAPEX ranging from EUR 1.3 and to 1.7 billion or between EUR 93 and 112 million annually based on a maximum scenario in the 2nd RBMP/1</w:t>
                            </w:r>
                            <w:r w:rsidRPr="00C47667">
                              <w:rPr>
                                <w:rFonts w:ascii="Verdana" w:hAnsi="Verdana"/>
                                <w:vertAlign w:val="superscript"/>
                              </w:rPr>
                              <w:t>st</w:t>
                            </w:r>
                            <w:r w:rsidRPr="00C47667">
                              <w:rPr>
                                <w:rFonts w:ascii="Verdana" w:hAnsi="Verdana"/>
                              </w:rPr>
                              <w:t xml:space="preserve"> FRMP, reflecting future investment needs. </w:t>
                            </w:r>
                          </w:p>
                          <w:p w14:paraId="0295EEFE" w14:textId="77777777" w:rsidR="006B31EF" w:rsidRPr="00C47667" w:rsidRDefault="006B31EF" w:rsidP="00C47667">
                            <w:pPr>
                              <w:pStyle w:val="WDBullets"/>
                              <w:ind w:left="567" w:right="213"/>
                              <w:jc w:val="both"/>
                              <w:rPr>
                                <w:rFonts w:ascii="Verdana" w:hAnsi="Verdana"/>
                              </w:rPr>
                            </w:pPr>
                            <w:r w:rsidRPr="00C47667">
                              <w:rPr>
                                <w:rFonts w:ascii="Verdana" w:hAnsi="Verdana"/>
                              </w:rPr>
                              <w:t xml:space="preserve">In </w:t>
                            </w:r>
                            <w:r w:rsidRPr="00C47667">
                              <w:rPr>
                                <w:rFonts w:ascii="Verdana" w:hAnsi="Verdana"/>
                                <w:b/>
                                <w:bCs/>
                              </w:rPr>
                              <w:t>Austria</w:t>
                            </w:r>
                            <w:r w:rsidRPr="00C47667">
                              <w:rPr>
                                <w:rFonts w:ascii="Verdana" w:hAnsi="Verdana"/>
                              </w:rPr>
                              <w:t xml:space="preserve">, the federal state has been investing around EUR 200 million per year into protection against natural hazards. The majority is used for structural measures and maintenance, followed by hazard zone planning and the compensation of flood damages. In total, around 400 million Euro are invested per year in flood risk management measures.  </w:t>
                            </w:r>
                          </w:p>
                          <w:p w14:paraId="4CFE35B4" w14:textId="77777777" w:rsidR="006B31EF" w:rsidRPr="00C47667" w:rsidRDefault="006B31EF" w:rsidP="00C47667">
                            <w:pPr>
                              <w:pStyle w:val="WDBullets"/>
                              <w:ind w:left="567" w:right="213"/>
                              <w:jc w:val="both"/>
                              <w:rPr>
                                <w:rFonts w:ascii="Verdana" w:hAnsi="Verdana"/>
                              </w:rPr>
                            </w:pPr>
                            <w:r w:rsidRPr="00C47667">
                              <w:rPr>
                                <w:rFonts w:ascii="Verdana" w:hAnsi="Verdana"/>
                                <w:b/>
                                <w:bCs/>
                              </w:rPr>
                              <w:t>Lithuania</w:t>
                            </w:r>
                            <w:r w:rsidRPr="00C47667">
                              <w:rPr>
                                <w:rFonts w:ascii="Verdana" w:hAnsi="Verdana"/>
                              </w:rPr>
                              <w:t xml:space="preserve"> reports in its Water Sector Development Programme financing needs by 2023 of EUR 72 million, of which EUR 18 million are high priority, 32 million are low priority and 22 million are earmarked for additional road protection measures.</w:t>
                            </w:r>
                          </w:p>
                          <w:p w14:paraId="4F5F1368" w14:textId="77777777" w:rsidR="006B31EF" w:rsidRPr="00C47667" w:rsidRDefault="006B31EF" w:rsidP="00C47667">
                            <w:pPr>
                              <w:pStyle w:val="WDBullets"/>
                              <w:ind w:left="567" w:right="213"/>
                              <w:jc w:val="both"/>
                              <w:rPr>
                                <w:rFonts w:ascii="Verdana" w:hAnsi="Verdana"/>
                              </w:rPr>
                            </w:pPr>
                            <w:r w:rsidRPr="00C47667">
                              <w:rPr>
                                <w:rFonts w:ascii="Verdana" w:hAnsi="Verdana"/>
                              </w:rPr>
                              <w:t xml:space="preserve">In the </w:t>
                            </w:r>
                            <w:r w:rsidRPr="00C47667">
                              <w:rPr>
                                <w:rFonts w:ascii="Verdana" w:hAnsi="Verdana"/>
                                <w:b/>
                                <w:bCs/>
                              </w:rPr>
                              <w:t>Netherlands,</w:t>
                            </w:r>
                            <w:r w:rsidRPr="00C47667">
                              <w:rPr>
                                <w:rFonts w:ascii="Verdana" w:hAnsi="Verdana"/>
                              </w:rPr>
                              <w:t xml:space="preserve"> existing expenditures on flood risk management are approximately EUR 1 billion annually or 13% of total water expenditures. The national water plan mentions additional investment needs of EUR 19 billion before 2050 based on the Delta program 2015.</w:t>
                            </w:r>
                          </w:p>
                          <w:p w14:paraId="0D786589" w14:textId="77777777" w:rsidR="006B31EF" w:rsidRPr="00C47667" w:rsidRDefault="006B31EF" w:rsidP="00C47667">
                            <w:pPr>
                              <w:pStyle w:val="WDBullets"/>
                              <w:ind w:left="567" w:right="213"/>
                              <w:jc w:val="both"/>
                              <w:rPr>
                                <w:rFonts w:ascii="Verdana" w:hAnsi="Verdana"/>
                              </w:rPr>
                            </w:pPr>
                            <w:r w:rsidRPr="00C47667">
                              <w:rPr>
                                <w:rFonts w:ascii="Verdana" w:hAnsi="Verdana"/>
                                <w:b/>
                                <w:bCs/>
                              </w:rPr>
                              <w:t>Slovakia</w:t>
                            </w:r>
                            <w:r w:rsidRPr="00C47667">
                              <w:rPr>
                                <w:rFonts w:ascii="Verdana" w:hAnsi="Verdana"/>
                              </w:rPr>
                              <w:t xml:space="preserve"> estimates a total cost of EUR 1 287 million for flood protection measures until 2027 million, of which EUR 866.548 million for FD measures after 2021. </w:t>
                            </w:r>
                          </w:p>
                          <w:p w14:paraId="5EDBE9B2" w14:textId="77777777" w:rsidR="006B31EF" w:rsidRPr="00C47667" w:rsidRDefault="006B31EF" w:rsidP="00C47667">
                            <w:pPr>
                              <w:pStyle w:val="WDBullets"/>
                              <w:ind w:left="567" w:right="213"/>
                              <w:jc w:val="both"/>
                              <w:rPr>
                                <w:rFonts w:ascii="Verdana" w:hAnsi="Verdana"/>
                              </w:rPr>
                            </w:pPr>
                            <w:r w:rsidRPr="00C47667">
                              <w:rPr>
                                <w:rFonts w:ascii="Verdana" w:hAnsi="Verdana"/>
                              </w:rPr>
                              <w:t xml:space="preserve">The first FRMP of </w:t>
                            </w:r>
                            <w:r w:rsidRPr="00C47667">
                              <w:rPr>
                                <w:rFonts w:ascii="Verdana" w:hAnsi="Verdana"/>
                                <w:b/>
                                <w:bCs/>
                              </w:rPr>
                              <w:t xml:space="preserve">Slovenia </w:t>
                            </w:r>
                            <w:r w:rsidRPr="00C47667">
                              <w:rPr>
                                <w:rFonts w:ascii="Verdana" w:hAnsi="Verdana"/>
                              </w:rPr>
                              <w:t>mentions an expenditure between EUR 263.2 and 326.2 million for investments in flood risk management measures, with EUR 75 million allocated to flood remediation on the basis of past experience. EUR 60 million to 125 million are planned for the maintenance of flood protection infrastructure.</w:t>
                            </w:r>
                          </w:p>
                          <w:p w14:paraId="35A142F5" w14:textId="77777777" w:rsidR="006B31EF" w:rsidRPr="007D6FB3" w:rsidRDefault="006B31EF" w:rsidP="006B31EF">
                            <w:pPr>
                              <w:pStyle w:val="WDBullets"/>
                              <w:numPr>
                                <w:ilvl w:val="0"/>
                                <w:numId w:val="0"/>
                              </w:numPr>
                              <w:ind w:left="1211" w:hanging="36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53E124F3" id="Rectangle 14" o:spid="_x0000_s1031" style="width:459.35pt;height:4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n0aQIAAN8EAAAOAAAAZHJzL2Uyb0RvYy54bWysVMtO3DAU3VfqP1jel8yDqeiIDBoNoqqE&#10;ABUq1ncc5yE5tmt7JqFf32MngUJZVd0499rX93F8Ts4v+laxo3S+MTrn85MZZ1ILUzS6yvmPh6tP&#10;Z5z5QLogZbTM+ZP0/GLz8cN5Z9dyYWqjCukYkmi/7mzO6xDsOsu8qGVL/sRYqXFYGtdSgOuqrHDU&#10;IXurssVs9jnrjCusM0J6j93L4ZBvUv6ylCLclqWXgamco7eQVpfWfVyzzTmtK0e2bsTYBv1DFy01&#10;GkWfU11SIHZwzV+p2kY4400ZToRpM1OWjZBpBkwzn72Z5r4mK9MsAMfbZ5j8/0srbo53jjUF3u6U&#10;M00t3ug7UCNdKcmwB4A669eIu7d3bvQ8zDhtX7o2fjEH6xOoT8+gyj4wgc3V2XK5Wi45Ezhbrb4s&#10;Z2cJ9uzlunU+fJWmZdHIuUP9BCYdr31ASYROIbGaN6oprhqlkhOZInfKsSPhjffVPLaMG6+ilGZd&#10;zher0xlIIAhEKxUFmK3F6F5XnJGqwGARXCr96nZi40sNEkLq8G6d2OYl+XpoJiUZ21E6disTJcep&#10;Iq4DktEK/b5PD7GaMN+b4gmP48zAWm/FVYP81+TDHTnQFLNAeuEWS6kMBjSjxVlt3K/39mM82INT&#10;zjrQHsP/PJCTnKlvGryKGpkMNxn7ydCHdmeA8hyitiKZuOCCmszSmfYRitzGKjgiLVAr54B6MHdh&#10;EB8ULeR2m4KgBEvhWt9bEVNHnCKOD/0jOTtyIoBON2YSBK3fUGOIjTe12R6CKZvEm4jrgCIoER2o&#10;KJFjVHyU6Z9+inr5L21+AwAA//8DAFBLAwQUAAYACAAAACEA12Mob9wAAAAFAQAADwAAAGRycy9k&#10;b3ducmV2LnhtbEyPzU7DMBCE70i8g7VIvVG7VAIT4lQFqeXQA6KFuxtvfpR4Hdlumr49hgu9rDSa&#10;0cy3+WqyPRvRh9aRgsVcAEMqnWmpVvB12NxLYCFqMrp3hAouGGBV3N7kOjPuTJ847mPNUgmFTCto&#10;YhwyzkPZoNVh7gak5FXOWx2T9DU3Xp9Tue35gxCP3OqW0kKjB3xrsOz2J6vgu+uqsBPV8uP1ML6v&#10;d5utj8YqNbub1i/AIk7xPwy/+AkdisR0dCcygfUK0iPx7ybveSGfgB0VSCkk8CLn1/TFDwAAAP//&#10;AwBQSwECLQAUAAYACAAAACEAtoM4kv4AAADhAQAAEwAAAAAAAAAAAAAAAAAAAAAAW0NvbnRlbnRf&#10;VHlwZXNdLnhtbFBLAQItABQABgAIAAAAIQA4/SH/1gAAAJQBAAALAAAAAAAAAAAAAAAAAC8BAABf&#10;cmVscy8ucmVsc1BLAQItABQABgAIAAAAIQBk5yn0aQIAAN8EAAAOAAAAAAAAAAAAAAAAAC4CAABk&#10;cnMvZTJvRG9jLnhtbFBLAQItABQABgAIAAAAIQDXYyhv3AAAAAUBAAAPAAAAAAAAAAAAAAAAAMME&#10;AABkcnMvZG93bnJldi54bWxQSwUGAAAAAAQABADzAAAAzAUAAAAA&#10;" fillcolor="white [3212]" strokecolor="#4f81bd [3204]" strokeweight="2pt">
                <v:textbox inset="0,0,0,0">
                  <w:txbxContent>
                    <w:p w14:paraId="4DA80C29" w14:textId="77777777" w:rsidR="006B31EF" w:rsidRPr="00AA4406"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5.6 Estimated Investment needs to reach FD objectives</w:t>
                      </w:r>
                      <w:r w:rsidRPr="006B31EF">
                        <w:rPr>
                          <w:b/>
                          <w:bCs/>
                          <w:lang w:val="en-US"/>
                        </w:rPr>
                        <w:t xml:space="preserve"> </w:t>
                      </w:r>
                    </w:p>
                    <w:p w14:paraId="42E77170" w14:textId="77777777" w:rsidR="006B31EF" w:rsidRPr="00C47667" w:rsidRDefault="006B31EF" w:rsidP="00C47667">
                      <w:pPr>
                        <w:pStyle w:val="WDBullets"/>
                        <w:ind w:left="567" w:right="213"/>
                        <w:jc w:val="both"/>
                        <w:rPr>
                          <w:rFonts w:ascii="Verdana" w:hAnsi="Verdana"/>
                          <w:b/>
                          <w:bCs/>
                        </w:rPr>
                      </w:pPr>
                      <w:r w:rsidRPr="00C47667">
                        <w:rPr>
                          <w:rFonts w:ascii="Verdana" w:hAnsi="Verdana"/>
                          <w:b/>
                          <w:bCs/>
                        </w:rPr>
                        <w:t xml:space="preserve">Belgium </w:t>
                      </w:r>
                      <w:r w:rsidRPr="00C47667">
                        <w:rPr>
                          <w:rFonts w:ascii="Verdana" w:hAnsi="Verdana"/>
                        </w:rPr>
                        <w:t>reports costs estimates:</w:t>
                      </w:r>
                    </w:p>
                    <w:p w14:paraId="43F7A8C8" w14:textId="77777777" w:rsidR="006B31EF" w:rsidRPr="00C47667" w:rsidRDefault="006B31EF" w:rsidP="00C47667">
                      <w:pPr>
                        <w:pStyle w:val="WDBullets2"/>
                        <w:ind w:right="213"/>
                        <w:jc w:val="both"/>
                        <w:rPr>
                          <w:rFonts w:ascii="Verdana" w:hAnsi="Verdana"/>
                        </w:rPr>
                      </w:pPr>
                      <w:r w:rsidRPr="00C47667">
                        <w:rPr>
                          <w:rFonts w:ascii="Verdana" w:hAnsi="Verdana"/>
                        </w:rPr>
                        <w:t xml:space="preserve">For Flanders for the period 2016 – 2019 it can be deduced that the yearly capital expenditures for flood measures is EUR 55 – 60 million per year. </w:t>
                      </w:r>
                    </w:p>
                    <w:p w14:paraId="0F12EB5C" w14:textId="77777777" w:rsidR="006B31EF" w:rsidRPr="00C47667" w:rsidRDefault="006B31EF" w:rsidP="00C47667">
                      <w:pPr>
                        <w:pStyle w:val="WDBullets2"/>
                        <w:ind w:right="213"/>
                        <w:jc w:val="both"/>
                        <w:rPr>
                          <w:rFonts w:ascii="Verdana" w:hAnsi="Verdana"/>
                        </w:rPr>
                      </w:pPr>
                    </w:p>
                    <w:p w14:paraId="63DBCEB5" w14:textId="77777777" w:rsidR="006B31EF" w:rsidRPr="00C47667" w:rsidRDefault="006B31EF" w:rsidP="00C47667">
                      <w:pPr>
                        <w:pStyle w:val="WDBullets2"/>
                        <w:ind w:right="213"/>
                        <w:jc w:val="both"/>
                        <w:rPr>
                          <w:rFonts w:ascii="Verdana" w:hAnsi="Verdana"/>
                        </w:rPr>
                      </w:pPr>
                      <w:r w:rsidRPr="00C47667">
                        <w:rPr>
                          <w:rFonts w:ascii="Verdana" w:hAnsi="Verdana"/>
                        </w:rPr>
                        <w:t>For Brussels: CAPEX ranging from EUR 1.3 and to 1.7 billion or between EUR 93 and 112 million annually based on a maximum scenario in the 2nd RBMP/1</w:t>
                      </w:r>
                      <w:r w:rsidRPr="00C47667">
                        <w:rPr>
                          <w:rFonts w:ascii="Verdana" w:hAnsi="Verdana"/>
                          <w:vertAlign w:val="superscript"/>
                        </w:rPr>
                        <w:t>st</w:t>
                      </w:r>
                      <w:r w:rsidRPr="00C47667">
                        <w:rPr>
                          <w:rFonts w:ascii="Verdana" w:hAnsi="Verdana"/>
                        </w:rPr>
                        <w:t xml:space="preserve"> FRMP, reflecting future investment needs. </w:t>
                      </w:r>
                    </w:p>
                    <w:p w14:paraId="0295EEFE" w14:textId="77777777" w:rsidR="006B31EF" w:rsidRPr="00C47667" w:rsidRDefault="006B31EF" w:rsidP="00C47667">
                      <w:pPr>
                        <w:pStyle w:val="WDBullets"/>
                        <w:ind w:left="567" w:right="213"/>
                        <w:jc w:val="both"/>
                        <w:rPr>
                          <w:rFonts w:ascii="Verdana" w:hAnsi="Verdana"/>
                        </w:rPr>
                      </w:pPr>
                      <w:r w:rsidRPr="00C47667">
                        <w:rPr>
                          <w:rFonts w:ascii="Verdana" w:hAnsi="Verdana"/>
                        </w:rPr>
                        <w:t xml:space="preserve">In </w:t>
                      </w:r>
                      <w:r w:rsidRPr="00C47667">
                        <w:rPr>
                          <w:rFonts w:ascii="Verdana" w:hAnsi="Verdana"/>
                          <w:b/>
                          <w:bCs/>
                        </w:rPr>
                        <w:t>Austria</w:t>
                      </w:r>
                      <w:r w:rsidRPr="00C47667">
                        <w:rPr>
                          <w:rFonts w:ascii="Verdana" w:hAnsi="Verdana"/>
                        </w:rPr>
                        <w:t xml:space="preserve">, the federal state has been investing around EUR 200 million per year into protection against natural hazards. The majority is used for structural measures and maintenance, followed by hazard zone planning and the compensation of flood damages. In total, around 400 million Euro are invested per year in flood risk management measures.  </w:t>
                      </w:r>
                    </w:p>
                    <w:p w14:paraId="4CFE35B4" w14:textId="77777777" w:rsidR="006B31EF" w:rsidRPr="00C47667" w:rsidRDefault="006B31EF" w:rsidP="00C47667">
                      <w:pPr>
                        <w:pStyle w:val="WDBullets"/>
                        <w:ind w:left="567" w:right="213"/>
                        <w:jc w:val="both"/>
                        <w:rPr>
                          <w:rFonts w:ascii="Verdana" w:hAnsi="Verdana"/>
                        </w:rPr>
                      </w:pPr>
                      <w:r w:rsidRPr="00C47667">
                        <w:rPr>
                          <w:rFonts w:ascii="Verdana" w:hAnsi="Verdana"/>
                          <w:b/>
                          <w:bCs/>
                        </w:rPr>
                        <w:t>Lithuania</w:t>
                      </w:r>
                      <w:r w:rsidRPr="00C47667">
                        <w:rPr>
                          <w:rFonts w:ascii="Verdana" w:hAnsi="Verdana"/>
                        </w:rPr>
                        <w:t xml:space="preserve"> reports in its Water Sector Development Programme financing needs by 2023 of EUR 72 million, of which EUR 18 million are high priority, 32 million are low priority and 22 million are earmarked for additional road protection measures.</w:t>
                      </w:r>
                    </w:p>
                    <w:p w14:paraId="4F5F1368" w14:textId="77777777" w:rsidR="006B31EF" w:rsidRPr="00C47667" w:rsidRDefault="006B31EF" w:rsidP="00C47667">
                      <w:pPr>
                        <w:pStyle w:val="WDBullets"/>
                        <w:ind w:left="567" w:right="213"/>
                        <w:jc w:val="both"/>
                        <w:rPr>
                          <w:rFonts w:ascii="Verdana" w:hAnsi="Verdana"/>
                        </w:rPr>
                      </w:pPr>
                      <w:r w:rsidRPr="00C47667">
                        <w:rPr>
                          <w:rFonts w:ascii="Verdana" w:hAnsi="Verdana"/>
                        </w:rPr>
                        <w:t xml:space="preserve">In the </w:t>
                      </w:r>
                      <w:r w:rsidRPr="00C47667">
                        <w:rPr>
                          <w:rFonts w:ascii="Verdana" w:hAnsi="Verdana"/>
                          <w:b/>
                          <w:bCs/>
                        </w:rPr>
                        <w:t>Netherlands,</w:t>
                      </w:r>
                      <w:r w:rsidRPr="00C47667">
                        <w:rPr>
                          <w:rFonts w:ascii="Verdana" w:hAnsi="Verdana"/>
                        </w:rPr>
                        <w:t xml:space="preserve"> existing expenditures on flood risk management are approximately EUR 1 billion annually or 13% of total water expenditures. The national water plan mentions additional investment needs of EUR 19 billion before 2050 based on the Delta program 2015.</w:t>
                      </w:r>
                    </w:p>
                    <w:p w14:paraId="0D786589" w14:textId="77777777" w:rsidR="006B31EF" w:rsidRPr="00C47667" w:rsidRDefault="006B31EF" w:rsidP="00C47667">
                      <w:pPr>
                        <w:pStyle w:val="WDBullets"/>
                        <w:ind w:left="567" w:right="213"/>
                        <w:jc w:val="both"/>
                        <w:rPr>
                          <w:rFonts w:ascii="Verdana" w:hAnsi="Verdana"/>
                        </w:rPr>
                      </w:pPr>
                      <w:r w:rsidRPr="00C47667">
                        <w:rPr>
                          <w:rFonts w:ascii="Verdana" w:hAnsi="Verdana"/>
                          <w:b/>
                          <w:bCs/>
                        </w:rPr>
                        <w:t>Slovakia</w:t>
                      </w:r>
                      <w:r w:rsidRPr="00C47667">
                        <w:rPr>
                          <w:rFonts w:ascii="Verdana" w:hAnsi="Verdana"/>
                        </w:rPr>
                        <w:t xml:space="preserve"> estimates a total cost of EUR 1 287 million for flood protection measures until 2027 million, of which EUR 866.548 million for FD measures after 2021. </w:t>
                      </w:r>
                    </w:p>
                    <w:p w14:paraId="5EDBE9B2" w14:textId="77777777" w:rsidR="006B31EF" w:rsidRPr="00C47667" w:rsidRDefault="006B31EF" w:rsidP="00C47667">
                      <w:pPr>
                        <w:pStyle w:val="WDBullets"/>
                        <w:ind w:left="567" w:right="213"/>
                        <w:jc w:val="both"/>
                        <w:rPr>
                          <w:rFonts w:ascii="Verdana" w:hAnsi="Verdana"/>
                        </w:rPr>
                      </w:pPr>
                      <w:r w:rsidRPr="00C47667">
                        <w:rPr>
                          <w:rFonts w:ascii="Verdana" w:hAnsi="Verdana"/>
                        </w:rPr>
                        <w:t xml:space="preserve">The first FRMP of </w:t>
                      </w:r>
                      <w:r w:rsidRPr="00C47667">
                        <w:rPr>
                          <w:rFonts w:ascii="Verdana" w:hAnsi="Verdana"/>
                          <w:b/>
                          <w:bCs/>
                        </w:rPr>
                        <w:t xml:space="preserve">Slovenia </w:t>
                      </w:r>
                      <w:r w:rsidRPr="00C47667">
                        <w:rPr>
                          <w:rFonts w:ascii="Verdana" w:hAnsi="Verdana"/>
                        </w:rPr>
                        <w:t>mentions an expenditure between EUR 263.2 and 326.2 million for investments in flood risk management measures, with EUR 75 million allocated to flood remediation on the basis of past experience. EUR 60 million to 125 million are planned for the maintenance of flood protection infrastructure.</w:t>
                      </w:r>
                    </w:p>
                    <w:p w14:paraId="35A142F5" w14:textId="77777777" w:rsidR="006B31EF" w:rsidRPr="007D6FB3" w:rsidRDefault="006B31EF" w:rsidP="006B31EF">
                      <w:pPr>
                        <w:pStyle w:val="WDBullets"/>
                        <w:numPr>
                          <w:ilvl w:val="0"/>
                          <w:numId w:val="0"/>
                        </w:numPr>
                        <w:ind w:left="1211" w:hanging="360"/>
                      </w:pPr>
                    </w:p>
                  </w:txbxContent>
                </v:textbox>
                <w10:anchorlock/>
              </v:rect>
            </w:pict>
          </mc:Fallback>
        </mc:AlternateContent>
      </w:r>
    </w:p>
    <w:p w14:paraId="0AA11E62" w14:textId="77777777" w:rsidR="006B31EF" w:rsidRPr="00C47667" w:rsidRDefault="006B31EF" w:rsidP="006B31EF">
      <w:pPr>
        <w:spacing w:after="0"/>
        <w:rPr>
          <w:rFonts w:ascii="Verdana" w:hAnsi="Verdana"/>
          <w:sz w:val="16"/>
          <w:szCs w:val="16"/>
          <w:lang w:val="en-US"/>
        </w:rPr>
      </w:pPr>
      <w:r w:rsidRPr="00C47667">
        <w:rPr>
          <w:rFonts w:ascii="Verdana" w:hAnsi="Verdana"/>
          <w:sz w:val="16"/>
          <w:szCs w:val="16"/>
          <w:lang w:val="en-US"/>
        </w:rPr>
        <w:t>Source: Information provided by the MS in the context of this study</w:t>
      </w:r>
      <w:r w:rsidRPr="00C47667" w:rsidDel="0019230D">
        <w:rPr>
          <w:rFonts w:ascii="Verdana" w:hAnsi="Verdana"/>
          <w:sz w:val="16"/>
          <w:szCs w:val="16"/>
          <w:lang w:val="en-US"/>
        </w:rPr>
        <w:t xml:space="preserve"> </w:t>
      </w:r>
    </w:p>
    <w:p w14:paraId="6217567D" w14:textId="77777777" w:rsidR="006B31EF" w:rsidRPr="006B31EF" w:rsidRDefault="006B31EF" w:rsidP="006B31EF">
      <w:pPr>
        <w:pStyle w:val="Body"/>
        <w:rPr>
          <w:lang w:val="en-US"/>
        </w:rPr>
      </w:pPr>
    </w:p>
    <w:p w14:paraId="345DDECA" w14:textId="77777777" w:rsidR="006B31EF" w:rsidRPr="006B31EF" w:rsidRDefault="006B31EF" w:rsidP="006B31EF">
      <w:pPr>
        <w:pStyle w:val="Body"/>
        <w:rPr>
          <w:lang w:val="en-US"/>
        </w:rPr>
      </w:pPr>
      <w:r w:rsidRPr="006B31EF">
        <w:rPr>
          <w:lang w:val="en-US"/>
        </w:rPr>
        <w:t>In the context of an OECD study on “Financing Water Supply, Sanitation and Flood Protection: Challenges in EU Member States and Policy Options”</w:t>
      </w:r>
      <w:r w:rsidRPr="00736A50">
        <w:rPr>
          <w:rStyle w:val="FootnoteReference"/>
        </w:rPr>
        <w:footnoteReference w:id="40"/>
      </w:r>
      <w:r w:rsidRPr="006B31EF">
        <w:rPr>
          <w:lang w:val="en-US"/>
        </w:rPr>
        <w:t>, additional future expenditures for flood protection were projected (but not monetized) for EU MS based on WRI data from Aqueduct Floods</w:t>
      </w:r>
      <w:r w:rsidRPr="00736A50">
        <w:rPr>
          <w:rStyle w:val="FootnoteReference"/>
        </w:rPr>
        <w:footnoteReference w:id="41"/>
      </w:r>
      <w:r w:rsidRPr="006B31EF">
        <w:rPr>
          <w:lang w:val="en-US"/>
        </w:rPr>
        <w:t xml:space="preserve">. </w:t>
      </w:r>
      <w:r w:rsidRPr="000F4CBE">
        <w:fldChar w:fldCharType="begin"/>
      </w:r>
      <w:r w:rsidRPr="006B31EF">
        <w:rPr>
          <w:lang w:val="en-US"/>
        </w:rPr>
        <w:instrText xml:space="preserve"> REF _Ref56759053 \h </w:instrText>
      </w:r>
      <w:r w:rsidRPr="000F4CBE">
        <w:fldChar w:fldCharType="separate"/>
      </w:r>
      <w:r w:rsidRPr="006B31EF">
        <w:rPr>
          <w:lang w:val="en-US"/>
        </w:rPr>
        <w:t xml:space="preserve">Box </w:t>
      </w:r>
      <w:r w:rsidRPr="006B31EF">
        <w:rPr>
          <w:noProof/>
          <w:lang w:val="en-US"/>
        </w:rPr>
        <w:t>5</w:t>
      </w:r>
      <w:r w:rsidRPr="006B31EF">
        <w:rPr>
          <w:lang w:val="en-US"/>
        </w:rPr>
        <w:t>.</w:t>
      </w:r>
      <w:r w:rsidRPr="006B31EF">
        <w:rPr>
          <w:noProof/>
          <w:lang w:val="en-US"/>
        </w:rPr>
        <w:t>1</w:t>
      </w:r>
      <w:r w:rsidRPr="000F4CBE">
        <w:fldChar w:fldCharType="end"/>
      </w:r>
      <w:r w:rsidRPr="006B31EF">
        <w:rPr>
          <w:lang w:val="en-US"/>
        </w:rPr>
        <w:t xml:space="preserve"> explains briefly the key assumptions and type of results from this study that could set the basis for any future investigations into this topic.     </w:t>
      </w:r>
    </w:p>
    <w:p w14:paraId="1038BC02" w14:textId="77777777" w:rsidR="006B31EF" w:rsidRPr="006B31EF" w:rsidRDefault="006B31EF" w:rsidP="006B31EF">
      <w:pPr>
        <w:pStyle w:val="Body"/>
        <w:rPr>
          <w:lang w:val="en-US"/>
        </w:rPr>
      </w:pPr>
    </w:p>
    <w:p w14:paraId="6B915D49" w14:textId="77777777" w:rsidR="006B31EF" w:rsidRPr="006B31EF" w:rsidRDefault="006B31EF" w:rsidP="006B31EF">
      <w:pPr>
        <w:pStyle w:val="Body"/>
        <w:rPr>
          <w:lang w:val="en-US"/>
        </w:rPr>
      </w:pPr>
    </w:p>
    <w:p w14:paraId="25AE14ED" w14:textId="77777777" w:rsidR="006B31EF" w:rsidRPr="006B31EF" w:rsidRDefault="006B31EF" w:rsidP="006B31EF">
      <w:pPr>
        <w:pStyle w:val="Body"/>
        <w:rPr>
          <w:lang w:val="en-US"/>
        </w:rPr>
      </w:pPr>
    </w:p>
    <w:p w14:paraId="22658697" w14:textId="7D0A097D" w:rsidR="006B31EF" w:rsidRDefault="006B31EF" w:rsidP="00C47667">
      <w:pPr>
        <w:pStyle w:val="Body"/>
      </w:pPr>
      <w:r w:rsidRPr="0040676E">
        <w:rPr>
          <w:noProof/>
          <w:lang w:val="en-US"/>
        </w:rPr>
        <mc:AlternateContent>
          <mc:Choice Requires="wps">
            <w:drawing>
              <wp:inline distT="0" distB="0" distL="0" distR="0" wp14:anchorId="3A8532CA" wp14:editId="4165E4DF">
                <wp:extent cx="5833533" cy="5905500"/>
                <wp:effectExtent l="0" t="0" r="15240" b="19050"/>
                <wp:docPr id="36" name="Rectangle 36"/>
                <wp:cNvGraphicFramePr/>
                <a:graphic xmlns:a="http://schemas.openxmlformats.org/drawingml/2006/main">
                  <a:graphicData uri="http://schemas.microsoft.com/office/word/2010/wordprocessingShape">
                    <wps:wsp>
                      <wps:cNvSpPr/>
                      <wps:spPr>
                        <a:xfrm>
                          <a:off x="0" y="0"/>
                          <a:ext cx="5833533" cy="5905500"/>
                        </a:xfrm>
                        <a:prstGeom prst="rect">
                          <a:avLst/>
                        </a:prstGeom>
                        <a:solidFill>
                          <a:schemeClr val="bg1"/>
                        </a:solidFill>
                        <a:ln w="25400" cap="flat" cmpd="sng" algn="ctr">
                          <a:solidFill>
                            <a:schemeClr val="accent1"/>
                          </a:solidFill>
                          <a:prstDash val="solid"/>
                        </a:ln>
                        <a:effectLst/>
                      </wps:spPr>
                      <wps:txbx>
                        <w:txbxContent>
                          <w:p w14:paraId="06927D0F" w14:textId="77777777" w:rsidR="006B31EF" w:rsidRPr="006B31EF"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5.7 - Projecting additional expenditures for flood risk protection</w:t>
                            </w:r>
                          </w:p>
                          <w:p w14:paraId="3CD469F0" w14:textId="77777777" w:rsidR="006B31EF" w:rsidRPr="006B31EF" w:rsidRDefault="006B31EF" w:rsidP="00C47667">
                            <w:pPr>
                              <w:pStyle w:val="Body"/>
                              <w:ind w:left="142" w:right="213"/>
                              <w:rPr>
                                <w:lang w:val="en-US"/>
                              </w:rPr>
                            </w:pPr>
                            <w:r w:rsidRPr="006B31EF">
                              <w:rPr>
                                <w:lang w:val="en-US"/>
                              </w:rPr>
                              <w:t xml:space="preserve">Due to the paucity of data on additional expenditures for protection against floods are projected but not monetized. Projections reflect the respective impact of climate change and of socio-economic developments (economic and demographic growth). These impacts are projected on three variables: 1. the value of assets at risk of flooding, 2. the number of people affected by floods and 3. the value of GDP affected by floods. The analysis assumes that the cost of mitigating flood risks rises at the same rate as the share of the population at risk, the value of assets or GDP exposed to floods. </w:t>
                            </w:r>
                          </w:p>
                          <w:p w14:paraId="3BF0EC96" w14:textId="77777777" w:rsidR="006B31EF" w:rsidRPr="006B31EF" w:rsidRDefault="006B31EF" w:rsidP="00C47667">
                            <w:pPr>
                              <w:pStyle w:val="Body"/>
                              <w:ind w:left="142" w:right="213"/>
                              <w:rPr>
                                <w:lang w:val="en-US"/>
                              </w:rPr>
                            </w:pPr>
                            <w:r w:rsidRPr="006B31EF">
                              <w:rPr>
                                <w:lang w:val="en-US"/>
                              </w:rPr>
                              <w:t xml:space="preserve">The Figure below shows the growth factors for the three indicators. A growth factor is defined as the factor by which current flood risk expenditures should be multiplied in order to maintain current flood risk protection standards in the future (by 2080). </w:t>
                            </w:r>
                          </w:p>
                          <w:p w14:paraId="24B10C83" w14:textId="77777777" w:rsidR="006B31EF" w:rsidRPr="00F9374F" w:rsidRDefault="006B31EF" w:rsidP="006B31EF">
                            <w:pPr>
                              <w:pStyle w:val="Body"/>
                            </w:pPr>
                            <w:r w:rsidRPr="0040676E">
                              <w:rPr>
                                <w:noProof/>
                                <w:lang w:val="en-US"/>
                              </w:rPr>
                              <w:drawing>
                                <wp:inline distT="0" distB="0" distL="0" distR="0" wp14:anchorId="3739C526" wp14:editId="3E4D0830">
                                  <wp:extent cx="5687984" cy="3342755"/>
                                  <wp:effectExtent l="0" t="0" r="8255" b="0"/>
                                  <wp:docPr id="62" name="Graphique 62">
                                    <a:extLst xmlns:a="http://schemas.openxmlformats.org/drawingml/2006/main">
                                      <a:ext uri="{FF2B5EF4-FFF2-40B4-BE49-F238E27FC236}">
                                        <a16:creationId xmlns:a16="http://schemas.microsoft.com/office/drawing/2014/main" id="{B82D92D0-B706-4F5E-9878-AFE1E70B6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3A8532CA" id="Rectangle 36" o:spid="_x0000_s1032" style="width:459.3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bKaAIAAN8EAAAOAAAAZHJzL2Uyb0RvYy54bWysVMtu2zAQvBfoPxC8N7LjOkiNyIFhI0WB&#10;IAnqFDmvKVISwFeXtKX067ukZKdJcyp6oWbJ5T6Gs7q67o1mB4mhdbbk07MJZ9IKV7W2LvmPx5tP&#10;l5yFCLYC7aws+bMM/Hr58cNV5xfy3DVOVxIZBbFh0fmSNzH6RVEE0UgD4cx5aelQOTQQycS6qBA6&#10;im50cT6ZXBSdw8qjEzIE2t0Mh3yZ4yslRbxXKsjIdMmptphXzOsurcXyChY1gm9aMZYB/1CFgdZS&#10;0lOoDURge2z/CmVagS44Fc+EM4VTqhUy90DdTCdvutk24GXuhcgJ/kRT+H9hxd3hAVlblXx2wZkF&#10;Q2/0nVgDW2vJaI8I6nxYkN/WP+BoBYKp216hSV/qg/WZ1OcTqbKPTNDm/HI2m89mnAk6m3+ZzOeT&#10;THvxct1jiF+lMyyBkiPlz2TC4TZESkmuR5eULTjdVjet1tlISpFrjewA9Ma7eppKphuvvLRlXcnP&#10;558pNxNAQlMaIkHjqfVga85A16RgETGnfnU7q/ElBwghbXw3TypzA6EZislBxnK0TdXKLMmxq8Tr&#10;wGRCsd/1+SFOnO9c9UyPg25QbfDipqX4txDiAyDJlHqh0Yv3tCjtqEE3Is4ah7/e20/+pB465awj&#10;2VPzP/eAkjP9zZKu0owcAR7B7gjs3qwdsTylofYiQ7qAUR+hQmeeaCJXKQsdgRWUq+RE9QDXcRg+&#10;mmghV6vsRJPgId7arRcpdOIp8fjYPwH6UROR5HTnjgMBizfSGHzTTetW++hUm3WTeB1YJEkkg6Yo&#10;i2Oc+DSmf9rZ6+W/tPwNAAD//wMAUEsDBBQABgAIAAAAIQAHkU0v2wAAAAUBAAAPAAAAZHJzL2Rv&#10;d25yZXYueG1sTI/NTsMwEITvSLyDtUjcqF0qQUnjVAWpcOgB0dK7G29+lHgd2W4a3p6FC1xWs5rV&#10;zLf5enK9GDHE1pOG+UyBQCq9banW8HnY3i1BxGTImt4TavjCCOvi+io3mfUX+sBxn2rBIRQzo6FJ&#10;acikjGWDzsSZH5DYq3xwJvEaammDuXC46+W9Ug/SmZa4oTEDvjRYdvuz03DsuiruVLV4fz6Mb5vd&#10;9jUk67S+vZk2KxAJp/R3DD/4jA4FM538mWwUvQZ+JP1O9p7my0cQJxYLpUAWufxPX3wDAAD//wMA&#10;UEsBAi0AFAAGAAgAAAAhALaDOJL+AAAA4QEAABMAAAAAAAAAAAAAAAAAAAAAAFtDb250ZW50X1R5&#10;cGVzXS54bWxQSwECLQAUAAYACAAAACEAOP0h/9YAAACUAQAACwAAAAAAAAAAAAAAAAAvAQAAX3Jl&#10;bHMvLnJlbHNQSwECLQAUAAYACAAAACEARoNGymgCAADfBAAADgAAAAAAAAAAAAAAAAAuAgAAZHJz&#10;L2Uyb0RvYy54bWxQSwECLQAUAAYACAAAACEAB5FNL9sAAAAFAQAADwAAAAAAAAAAAAAAAADCBAAA&#10;ZHJzL2Rvd25yZXYueG1sUEsFBgAAAAAEAAQA8wAAAMoFAAAAAA==&#10;" fillcolor="white [3212]" strokecolor="#4f81bd [3204]" strokeweight="2pt">
                <v:textbox inset="0,0,0,0">
                  <w:txbxContent>
                    <w:p w14:paraId="06927D0F" w14:textId="77777777" w:rsidR="006B31EF" w:rsidRPr="006B31EF"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5.7 - Projecting additional expenditures for flood risk protection</w:t>
                      </w:r>
                    </w:p>
                    <w:p w14:paraId="3CD469F0" w14:textId="77777777" w:rsidR="006B31EF" w:rsidRPr="006B31EF" w:rsidRDefault="006B31EF" w:rsidP="00C47667">
                      <w:pPr>
                        <w:pStyle w:val="Body"/>
                        <w:ind w:left="142" w:right="213"/>
                        <w:rPr>
                          <w:lang w:val="en-US"/>
                        </w:rPr>
                      </w:pPr>
                      <w:r w:rsidRPr="006B31EF">
                        <w:rPr>
                          <w:lang w:val="en-US"/>
                        </w:rPr>
                        <w:t xml:space="preserve">Due to the paucity of data on additional expenditures for protection against floods are projected but not monetized. Projections reflect the respective impact of climate change and of socio-economic developments (economic and demographic growth). These impacts are projected on three variables: 1. the value of assets at risk of flooding, 2. the number of people affected by floods and 3. the value of GDP affected by floods. The analysis assumes that the cost of mitigating flood risks rises at the same rate as the share of the population at risk, the value of assets or GDP exposed to floods. </w:t>
                      </w:r>
                    </w:p>
                    <w:p w14:paraId="3BF0EC96" w14:textId="77777777" w:rsidR="006B31EF" w:rsidRPr="006B31EF" w:rsidRDefault="006B31EF" w:rsidP="00C47667">
                      <w:pPr>
                        <w:pStyle w:val="Body"/>
                        <w:ind w:left="142" w:right="213"/>
                        <w:rPr>
                          <w:lang w:val="en-US"/>
                        </w:rPr>
                      </w:pPr>
                      <w:r w:rsidRPr="006B31EF">
                        <w:rPr>
                          <w:lang w:val="en-US"/>
                        </w:rPr>
                        <w:t xml:space="preserve">The Figure below shows the growth factors for the three indicators. A growth factor is defined as the factor by which current flood risk expenditures should be multiplied in order to maintain current flood risk protection standards in the future (by 2080). </w:t>
                      </w:r>
                    </w:p>
                    <w:p w14:paraId="24B10C83" w14:textId="77777777" w:rsidR="006B31EF" w:rsidRPr="00F9374F" w:rsidRDefault="006B31EF" w:rsidP="006B31EF">
                      <w:pPr>
                        <w:pStyle w:val="Body"/>
                      </w:pPr>
                      <w:r w:rsidRPr="0040676E">
                        <w:rPr>
                          <w:noProof/>
                          <w:lang w:val="en-US"/>
                        </w:rPr>
                        <w:drawing>
                          <wp:inline distT="0" distB="0" distL="0" distR="0" wp14:anchorId="3739C526" wp14:editId="3E4D0830">
                            <wp:extent cx="5687984" cy="3342755"/>
                            <wp:effectExtent l="0" t="0" r="8255" b="0"/>
                            <wp:docPr id="62" name="Graphique 62">
                              <a:extLst xmlns:a="http://schemas.openxmlformats.org/drawingml/2006/main">
                                <a:ext uri="{FF2B5EF4-FFF2-40B4-BE49-F238E27FC236}">
                                  <a16:creationId xmlns:a16="http://schemas.microsoft.com/office/drawing/2014/main" id="{B82D92D0-B706-4F5E-9878-AFE1E70B6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xbxContent>
                </v:textbox>
                <w10:anchorlock/>
              </v:rect>
            </w:pict>
          </mc:Fallback>
        </mc:AlternateContent>
      </w:r>
    </w:p>
    <w:p w14:paraId="051AEF62" w14:textId="77777777" w:rsidR="00C47667" w:rsidRPr="00736A50" w:rsidRDefault="00C47667" w:rsidP="00C47667">
      <w:pPr>
        <w:pStyle w:val="Body"/>
      </w:pPr>
    </w:p>
    <w:p w14:paraId="2BE91511" w14:textId="77777777" w:rsidR="006B31EF" w:rsidRPr="00C47667" w:rsidRDefault="006B31EF" w:rsidP="00C47667">
      <w:pPr>
        <w:pStyle w:val="Body"/>
        <w:rPr>
          <w:color w:val="548DD4" w:themeColor="text2" w:themeTint="99"/>
          <w:lang w:val="en-US"/>
        </w:rPr>
      </w:pPr>
      <w:r w:rsidRPr="00C47667">
        <w:rPr>
          <w:color w:val="548DD4" w:themeColor="text2" w:themeTint="99"/>
          <w:lang w:val="en-US"/>
        </w:rPr>
        <w:t>Measures</w:t>
      </w:r>
    </w:p>
    <w:p w14:paraId="27D9E839" w14:textId="77777777" w:rsidR="006B31EF" w:rsidRPr="006B31EF" w:rsidRDefault="006B31EF" w:rsidP="006B31EF">
      <w:pPr>
        <w:pStyle w:val="Body"/>
        <w:rPr>
          <w:lang w:val="en-US"/>
        </w:rPr>
      </w:pPr>
      <w:r w:rsidRPr="006B31EF">
        <w:rPr>
          <w:lang w:val="en-US"/>
        </w:rPr>
        <w:t xml:space="preserve">The Floods Directive stipulates that the FRMPs must contain measures to achieve its objectives and that these measures should cover all aspects of flood risk management: prevention, protection, preparedness, and recovery. Reported information on the types of applied flood measures is </w:t>
      </w:r>
      <w:r w:rsidRPr="006B31EF">
        <w:rPr>
          <w:b/>
          <w:bCs/>
          <w:lang w:val="en-US"/>
        </w:rPr>
        <w:t>heterogeneous and partial</w:t>
      </w:r>
      <w:r w:rsidRPr="006B31EF">
        <w:rPr>
          <w:lang w:val="en-US"/>
        </w:rPr>
        <w:t xml:space="preserve"> across EU countries.  </w:t>
      </w:r>
    </w:p>
    <w:p w14:paraId="6DAE8B47" w14:textId="77777777" w:rsidR="006B31EF" w:rsidRPr="006B31EF" w:rsidRDefault="006B31EF" w:rsidP="006B31EF">
      <w:pPr>
        <w:pStyle w:val="Body"/>
        <w:rPr>
          <w:lang w:val="en-US"/>
        </w:rPr>
      </w:pPr>
      <w:r w:rsidRPr="006B31EF">
        <w:rPr>
          <w:lang w:val="en-US"/>
        </w:rPr>
        <w:t xml:space="preserve">Many countries report the total number of planned measures (e.g. Germany 17 568 measures, Italy 8 346, Poland 2 429, Finland 410, Czech Republic 60, Hungary 46, Cyprus 38, Slovenia 20). Others give a differentiated overview of planned measures per main type of measure (prevention, protection, preparedness, and recovery measures). For example, Austria, Cyprus, Luxembourg, and Hungary provide an estimate of the number and percentage of planned measures per main measure type. </w:t>
      </w:r>
      <w:bookmarkStart w:id="74" w:name="_Hlk58951012"/>
      <w:r w:rsidRPr="006B31EF">
        <w:rPr>
          <w:lang w:val="en-US"/>
        </w:rPr>
        <w:t>The Commission evaluation report highlights that the numbers of reported measures cannot be compared across MS due to many different reporting approaches</w:t>
      </w:r>
      <w:r w:rsidRPr="00736A50">
        <w:rPr>
          <w:rStyle w:val="FootnoteReference"/>
        </w:rPr>
        <w:footnoteReference w:id="42"/>
      </w:r>
      <w:r w:rsidRPr="006B31EF">
        <w:rPr>
          <w:lang w:val="en-US"/>
        </w:rPr>
        <w:t xml:space="preserve">.  </w:t>
      </w:r>
    </w:p>
    <w:bookmarkEnd w:id="74"/>
    <w:p w14:paraId="5C2201F3" w14:textId="77777777" w:rsidR="006B31EF" w:rsidRPr="006B31EF" w:rsidRDefault="006B31EF" w:rsidP="006B31EF">
      <w:pPr>
        <w:pStyle w:val="Body"/>
        <w:rPr>
          <w:lang w:val="en-US"/>
        </w:rPr>
      </w:pPr>
      <w:r w:rsidRPr="006B31EF">
        <w:rPr>
          <w:lang w:val="en-US"/>
        </w:rPr>
        <w:t xml:space="preserve">Even though non-structural flood risk measures, such as land-use change, early warning systems, risk communication and emergency management have a high potential for flood risk reduction and can be flexible, cost-effective solutions compared to structural measures, there seems to be </w:t>
      </w:r>
      <w:r w:rsidRPr="006B31EF">
        <w:rPr>
          <w:b/>
          <w:bCs/>
          <w:lang w:val="en-US"/>
        </w:rPr>
        <w:t>a specific emphasis on structural protection measures</w:t>
      </w:r>
      <w:r w:rsidRPr="006B31EF">
        <w:rPr>
          <w:lang w:val="en-US"/>
        </w:rPr>
        <w:t>, such as dikes, polders, diversion channels, and dams (e.g. Luxembourg 94%, mainland Portugal 81%, Poland 87%). A persisting knowledge gap is that it is often difficult to quantify the costs and effectiveness of non-structural flood risk management options, as their effectiveness depends on socio-economic changes and governance arrangements</w:t>
      </w:r>
      <w:r w:rsidRPr="00736A50">
        <w:rPr>
          <w:rStyle w:val="FootnoteReference"/>
        </w:rPr>
        <w:footnoteReference w:id="43"/>
      </w:r>
      <w:r w:rsidRPr="006B31EF">
        <w:rPr>
          <w:vertAlign w:val="superscript"/>
          <w:lang w:val="en-US"/>
        </w:rPr>
        <w:t>,</w:t>
      </w:r>
      <w:r w:rsidRPr="00736A50">
        <w:rPr>
          <w:rStyle w:val="FootnoteReference"/>
        </w:rPr>
        <w:footnoteReference w:id="44"/>
      </w:r>
      <w:r w:rsidRPr="006B31EF">
        <w:rPr>
          <w:lang w:val="en-US"/>
        </w:rPr>
        <w:t xml:space="preserve">.  This is also reflected by the evidence that several countries report considering only structural measures in economic ranking procedures (e.g. Cyprus, Estonia, Finland, Hungary, Lithuania). The lack of information and practical illustrations is potentially hindering their implementation. </w:t>
      </w:r>
    </w:p>
    <w:p w14:paraId="051B6942" w14:textId="0198E7AD" w:rsidR="00C47667" w:rsidRPr="006B31EF" w:rsidRDefault="006B31EF" w:rsidP="006B31EF">
      <w:pPr>
        <w:pStyle w:val="Body"/>
        <w:rPr>
          <w:lang w:val="en-US"/>
        </w:rPr>
      </w:pPr>
      <w:r w:rsidRPr="006B31EF">
        <w:rPr>
          <w:lang w:val="en-US"/>
        </w:rPr>
        <w:t xml:space="preserve">The EU asks for </w:t>
      </w:r>
      <w:r w:rsidRPr="006B31EF">
        <w:rPr>
          <w:b/>
          <w:bCs/>
          <w:lang w:val="en-US"/>
        </w:rPr>
        <w:t>“natural flood management options” or “nature-based solutions”</w:t>
      </w:r>
      <w:r w:rsidRPr="006B31EF">
        <w:rPr>
          <w:lang w:val="en-US"/>
        </w:rPr>
        <w:t xml:space="preserve"> to align the Floods Directive with the objectives of, for example, the Water Framework Directive and Habitats Directive. The Commission recently published a guidance document on green infrastructure aimed at scaling up investments</w:t>
      </w:r>
      <w:r w:rsidRPr="00736A50">
        <w:rPr>
          <w:rStyle w:val="FootnoteReference"/>
        </w:rPr>
        <w:footnoteReference w:id="45"/>
      </w:r>
      <w:r w:rsidRPr="006B31EF">
        <w:rPr>
          <w:lang w:val="en-US"/>
        </w:rPr>
        <w:t xml:space="preserve">. In the information received from MS, some countries mention the integration of natural flood management measures (e.g. Natural Water Retention Measures or green infrastructure) replacing or complementing grey measures in their Programs of Measures. Some </w:t>
      </w:r>
      <w:r w:rsidRPr="006B31EF">
        <w:rPr>
          <w:b/>
          <w:bCs/>
          <w:lang w:val="en-US"/>
        </w:rPr>
        <w:t>countries provide detailed information on the interaction between these types of measures and nature conservation (environmental impacts) and contributions to the objectives of the Water Framework Directive</w:t>
      </w:r>
      <w:r w:rsidRPr="006B31EF">
        <w:rPr>
          <w:lang w:val="en-US"/>
        </w:rPr>
        <w:t xml:space="preserve">. </w:t>
      </w:r>
      <w:r w:rsidRPr="000F4CBE">
        <w:fldChar w:fldCharType="begin"/>
      </w:r>
      <w:r w:rsidRPr="006B31EF">
        <w:rPr>
          <w:lang w:val="en-US"/>
        </w:rPr>
        <w:instrText xml:space="preserve"> REF _Ref56692508 \h </w:instrText>
      </w:r>
      <w:r w:rsidRPr="000F4CBE">
        <w:fldChar w:fldCharType="separate"/>
      </w:r>
      <w:r w:rsidRPr="0040676E">
        <w:rPr>
          <w:b/>
          <w:lang w:val="en-GB"/>
        </w:rPr>
        <w:t>Erreur ! Source du renvoi introuvable.</w:t>
      </w:r>
      <w:r w:rsidRPr="000F4CBE">
        <w:fldChar w:fldCharType="end"/>
      </w:r>
      <w:r w:rsidRPr="006B31EF">
        <w:rPr>
          <w:lang w:val="en-US"/>
        </w:rPr>
        <w:t xml:space="preserve"> provides examples of the integration of natural flood management measures in the PoM for Portugal and Luxembourg.</w:t>
      </w:r>
    </w:p>
    <w:p w14:paraId="0072A00D" w14:textId="77777777" w:rsidR="006B31EF" w:rsidRPr="00736A50" w:rsidRDefault="006B31EF" w:rsidP="006B31EF">
      <w:r w:rsidRPr="0040676E">
        <w:rPr>
          <w:noProof/>
          <w:lang w:val="en-US"/>
        </w:rPr>
        <mc:AlternateContent>
          <mc:Choice Requires="wps">
            <w:drawing>
              <wp:inline distT="0" distB="0" distL="0" distR="0" wp14:anchorId="73D58409" wp14:editId="20E47F13">
                <wp:extent cx="5833533" cy="2423160"/>
                <wp:effectExtent l="0" t="0" r="15240" b="15240"/>
                <wp:docPr id="20" name="Rectangle 20"/>
                <wp:cNvGraphicFramePr/>
                <a:graphic xmlns:a="http://schemas.openxmlformats.org/drawingml/2006/main">
                  <a:graphicData uri="http://schemas.microsoft.com/office/word/2010/wordprocessingShape">
                    <wps:wsp>
                      <wps:cNvSpPr/>
                      <wps:spPr>
                        <a:xfrm>
                          <a:off x="0" y="0"/>
                          <a:ext cx="5833533" cy="2423160"/>
                        </a:xfrm>
                        <a:prstGeom prst="rect">
                          <a:avLst/>
                        </a:prstGeom>
                        <a:solidFill>
                          <a:schemeClr val="bg1"/>
                        </a:solidFill>
                        <a:ln w="25400" cap="flat" cmpd="sng" algn="ctr">
                          <a:solidFill>
                            <a:schemeClr val="accent1"/>
                          </a:solidFill>
                          <a:prstDash val="solid"/>
                        </a:ln>
                        <a:effectLst/>
                      </wps:spPr>
                      <wps:txbx>
                        <w:txbxContent>
                          <w:p w14:paraId="2C3FFAEC" w14:textId="1C471AD1" w:rsidR="006B31EF" w:rsidRPr="00AA4406"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w:t>
                            </w:r>
                            <w:r w:rsidR="00F942AB">
                              <w:rPr>
                                <w:rFonts w:asciiTheme="majorHAnsi" w:eastAsiaTheme="majorEastAsia" w:hAnsiTheme="majorHAnsi" w:cstheme="majorBidi"/>
                                <w:caps/>
                                <w:color w:val="4F81BD" w:themeColor="accent1"/>
                                <w:szCs w:val="24"/>
                                <w:lang w:val="en-US"/>
                              </w:rPr>
                              <w:t>8</w:t>
                            </w:r>
                            <w:r w:rsidRPr="006B31EF">
                              <w:rPr>
                                <w:rFonts w:asciiTheme="majorHAnsi" w:eastAsiaTheme="majorEastAsia" w:hAnsiTheme="majorHAnsi" w:cstheme="majorBidi"/>
                                <w:caps/>
                                <w:color w:val="4F81BD" w:themeColor="accent1"/>
                                <w:szCs w:val="24"/>
                                <w:lang w:val="en-US"/>
                              </w:rPr>
                              <w:t xml:space="preserve"> The integration of Natural flood management meausres in POMS</w:t>
                            </w:r>
                            <w:r w:rsidRPr="006B31EF">
                              <w:rPr>
                                <w:b/>
                                <w:bCs/>
                                <w:lang w:val="en-US"/>
                              </w:rPr>
                              <w:t xml:space="preserve"> </w:t>
                            </w:r>
                          </w:p>
                          <w:p w14:paraId="2D89EF46" w14:textId="77777777" w:rsidR="006B31EF" w:rsidRPr="00C47667" w:rsidRDefault="006B31EF" w:rsidP="00C47667">
                            <w:pPr>
                              <w:pStyle w:val="WDBullets"/>
                              <w:ind w:left="567" w:right="213"/>
                              <w:jc w:val="both"/>
                              <w:rPr>
                                <w:rFonts w:ascii="Verdana" w:hAnsi="Verdana"/>
                              </w:rPr>
                            </w:pPr>
                            <w:r w:rsidRPr="00C47667">
                              <w:rPr>
                                <w:rFonts w:ascii="Verdana" w:hAnsi="Verdana"/>
                                <w:b/>
                                <w:bCs/>
                              </w:rPr>
                              <w:t xml:space="preserve">Portugal </w:t>
                            </w:r>
                            <w:r w:rsidRPr="00C47667">
                              <w:rPr>
                                <w:rFonts w:ascii="Verdana" w:hAnsi="Verdana"/>
                              </w:rPr>
                              <w:t>has reported 38 measures for natural flood management, a category equivalent to NWRMs or nature-based solutions. Within this category, Portugal proposed in the Douro FRMP measures for: the establishment of connectivity between lagoons and the river Tâmega; the stabilisation of the banks and bed in order to minimize the risk of floods; the restoration of the natural state of the Samaiões riverbank.</w:t>
                            </w:r>
                          </w:p>
                          <w:p w14:paraId="1FAD2B78" w14:textId="77777777" w:rsidR="006B31EF" w:rsidRPr="00C47667" w:rsidRDefault="006B31EF" w:rsidP="00C47667">
                            <w:pPr>
                              <w:pStyle w:val="WDBullets"/>
                              <w:ind w:left="567" w:right="213"/>
                              <w:jc w:val="both"/>
                              <w:rPr>
                                <w:rFonts w:ascii="Verdana" w:hAnsi="Verdana"/>
                              </w:rPr>
                            </w:pPr>
                            <w:r w:rsidRPr="00C47667">
                              <w:rPr>
                                <w:rFonts w:ascii="Verdana" w:hAnsi="Verdana"/>
                              </w:rPr>
                              <w:t xml:space="preserve">In </w:t>
                            </w:r>
                            <w:r w:rsidRPr="00C47667">
                              <w:rPr>
                                <w:rFonts w:ascii="Verdana" w:hAnsi="Verdana"/>
                                <w:b/>
                                <w:bCs/>
                              </w:rPr>
                              <w:t xml:space="preserve">Luxembourg, </w:t>
                            </w:r>
                            <w:r w:rsidRPr="00C47667">
                              <w:rPr>
                                <w:rFonts w:ascii="Verdana" w:hAnsi="Verdana"/>
                              </w:rPr>
                              <w:t>Natural water retention measures (NWRMs) have been planned in catchments (3 measures) and in wetlands (725 measures), as well as for the reduction in impermeable surfaces (1 measure), rainwater management (2 measures) and restoration of flood plains (16 measures).  NWRMs comprise the lion’s share (about 90 %) of individual measures.</w:t>
                            </w:r>
                          </w:p>
                          <w:p w14:paraId="516968AB" w14:textId="77777777" w:rsidR="006B31EF" w:rsidRPr="007D6FB3" w:rsidRDefault="006B31EF" w:rsidP="006B31EF">
                            <w:pPr>
                              <w:pStyle w:val="WDBullets"/>
                              <w:numPr>
                                <w:ilvl w:val="0"/>
                                <w:numId w:val="0"/>
                              </w:numPr>
                              <w:ind w:left="207"/>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73D58409" id="Rectangle 20" o:spid="_x0000_s1033" style="width:459.35pt;height:1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5OaAIAAN8EAAAOAAAAZHJzL2Uyb0RvYy54bWysVE1P3DAQvVfqf7B8L9kPoGhFFq1AVJUQ&#10;IJaK86zjfEiO7dreTeiv77OTQKGcql6cGXs8M+/5Tc4v+laxg3S+MTrn86MZZ1ILUzS6yvmPx+sv&#10;Z5z5QLogZbTM+bP0/GL9+dN5Z1dyYWqjCukYkmi/6mzO6xDsKsu8qGVL/shYqXFYGtdSgOuqrHDU&#10;IXurssVsdpp1xhXWGSG9x+7VcMjXKX9ZShHuytLLwFTO0VtIq0vrLq7Z+pxWlSNbN2Jsg/6hi5Ya&#10;jaIvqa4oENu75q9UbSOc8aYMR8K0mSnLRsiEAWjms3dotjVZmbCAHG9faPL/L624Pdw71hQ5X4Ae&#10;TS3e6AGska6UZNgDQZ31K8Rt7b0bPQ8zou1L18YvcLA+kfr8QqrsAxPYPDlbLk+WS84EzhbHi+X8&#10;NGXNXq9b58M3aVoWjZw71E9k0uHGB5RE6BQSq3mjmuK6USo5USnyUjl2ILzxrprHlnHjTZTSrEP1&#10;k+MZUAqC0EpFAWZrAd3rijNSFRQsgkul39xOanytQUJIHT6sE9u8Il8PzaQkYztKx25lkuSIKvI6&#10;MBmt0O/69BBfJ853pnjG4zgzqNZbcd0g/w35cE8OMgUWjF64w1IqA4BmtDirjfv10X6Mh3pwylkH&#10;2QP8zz05yZn6rqGrOCOT4SZjNxl6314asDzHUFuRTFxwQU1m6Uz7hIncxCo4Ii1QK+egejAvwzB8&#10;mGghN5sUhEmwFG701oqYOvIUeXzsn8jZURMBcro100DQ6p00hth4U5vNPpiySbqJvA4sQhLRwRQl&#10;cYwTH8f0Tz9Fvf6X1r8BAAD//wMAUEsDBBQABgAIAAAAIQBHxQke3AAAAAUBAAAPAAAAZHJzL2Rv&#10;d25yZXYueG1sTI/NTsMwEITvSLyDtUjcqBMqlRDiVAWpcOgB0cJ9G29+lHgd2W4a3h7DhV5WGs1o&#10;5ttiPZtBTOR8Z1lBukhAEFdWd9wo+Dxs7zIQPiBrHCyTgm/ysC6vrwrMtT3zB0370IhYwj5HBW0I&#10;Yy6lr1oy6Bd2JI5ebZ3BEKVrpHZ4juVmkPdJspIGO44LLY700lLV709GwVff136X1Mv358P0ttlt&#10;X13QRqnbm3nzBCLQHP7D8Isf0aGMTEd7Yu3FoCA+Ev5u9B7T7AHEUcEyS1cgy0Je0pc/AAAA//8D&#10;AFBLAQItABQABgAIAAAAIQC2gziS/gAAAOEBAAATAAAAAAAAAAAAAAAAAAAAAABbQ29udGVudF9U&#10;eXBlc10ueG1sUEsBAi0AFAAGAAgAAAAhADj9If/WAAAAlAEAAAsAAAAAAAAAAAAAAAAALwEAAF9y&#10;ZWxzLy5yZWxzUEsBAi0AFAAGAAgAAAAhANNs7k5oAgAA3wQAAA4AAAAAAAAAAAAAAAAALgIAAGRy&#10;cy9lMm9Eb2MueG1sUEsBAi0AFAAGAAgAAAAhAEfFCR7cAAAABQEAAA8AAAAAAAAAAAAAAAAAwgQA&#10;AGRycy9kb3ducmV2LnhtbFBLBQYAAAAABAAEAPMAAADLBQAAAAA=&#10;" fillcolor="white [3212]" strokecolor="#4f81bd [3204]" strokeweight="2pt">
                <v:textbox inset="0,0,0,0">
                  <w:txbxContent>
                    <w:p w14:paraId="2C3FFAEC" w14:textId="1C471AD1" w:rsidR="006B31EF" w:rsidRPr="00AA4406" w:rsidRDefault="006B31EF" w:rsidP="006B31EF">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6B31EF">
                        <w:rPr>
                          <w:rFonts w:asciiTheme="majorHAnsi" w:eastAsiaTheme="majorEastAsia" w:hAnsiTheme="majorHAnsi" w:cstheme="majorBidi"/>
                          <w:caps/>
                          <w:color w:val="4F81BD" w:themeColor="accent1"/>
                          <w:szCs w:val="24"/>
                          <w:lang w:val="en-US"/>
                        </w:rPr>
                        <w:t>Box 5.</w:t>
                      </w:r>
                      <w:r w:rsidR="00F942AB">
                        <w:rPr>
                          <w:rFonts w:asciiTheme="majorHAnsi" w:eastAsiaTheme="majorEastAsia" w:hAnsiTheme="majorHAnsi" w:cstheme="majorBidi"/>
                          <w:caps/>
                          <w:color w:val="4F81BD" w:themeColor="accent1"/>
                          <w:szCs w:val="24"/>
                          <w:lang w:val="en-US"/>
                        </w:rPr>
                        <w:t>8</w:t>
                      </w:r>
                      <w:r w:rsidRPr="006B31EF">
                        <w:rPr>
                          <w:rFonts w:asciiTheme="majorHAnsi" w:eastAsiaTheme="majorEastAsia" w:hAnsiTheme="majorHAnsi" w:cstheme="majorBidi"/>
                          <w:caps/>
                          <w:color w:val="4F81BD" w:themeColor="accent1"/>
                          <w:szCs w:val="24"/>
                          <w:lang w:val="en-US"/>
                        </w:rPr>
                        <w:t xml:space="preserve"> The integration of Natural flood management meausres in POMS</w:t>
                      </w:r>
                      <w:r w:rsidRPr="006B31EF">
                        <w:rPr>
                          <w:b/>
                          <w:bCs/>
                          <w:lang w:val="en-US"/>
                        </w:rPr>
                        <w:t xml:space="preserve"> </w:t>
                      </w:r>
                    </w:p>
                    <w:p w14:paraId="2D89EF46" w14:textId="77777777" w:rsidR="006B31EF" w:rsidRPr="00C47667" w:rsidRDefault="006B31EF" w:rsidP="00C47667">
                      <w:pPr>
                        <w:pStyle w:val="WDBullets"/>
                        <w:ind w:left="567" w:right="213"/>
                        <w:jc w:val="both"/>
                        <w:rPr>
                          <w:rFonts w:ascii="Verdana" w:hAnsi="Verdana"/>
                        </w:rPr>
                      </w:pPr>
                      <w:r w:rsidRPr="00C47667">
                        <w:rPr>
                          <w:rFonts w:ascii="Verdana" w:hAnsi="Verdana"/>
                          <w:b/>
                          <w:bCs/>
                        </w:rPr>
                        <w:t xml:space="preserve">Portugal </w:t>
                      </w:r>
                      <w:r w:rsidRPr="00C47667">
                        <w:rPr>
                          <w:rFonts w:ascii="Verdana" w:hAnsi="Verdana"/>
                        </w:rPr>
                        <w:t>has reported 38 measures for natural flood management, a category equivalent to NWRMs or nature-based solutions. Within this category, Portugal proposed in the Douro FRMP measures for: the establishment of connectivity between lagoons and the river Tâmega; the stabilisation of the banks and bed in order to minimize the risk of floods; the restoration of the natural state of the Samaiões riverbank.</w:t>
                      </w:r>
                    </w:p>
                    <w:p w14:paraId="1FAD2B78" w14:textId="77777777" w:rsidR="006B31EF" w:rsidRPr="00C47667" w:rsidRDefault="006B31EF" w:rsidP="00C47667">
                      <w:pPr>
                        <w:pStyle w:val="WDBullets"/>
                        <w:ind w:left="567" w:right="213"/>
                        <w:jc w:val="both"/>
                        <w:rPr>
                          <w:rFonts w:ascii="Verdana" w:hAnsi="Verdana"/>
                        </w:rPr>
                      </w:pPr>
                      <w:r w:rsidRPr="00C47667">
                        <w:rPr>
                          <w:rFonts w:ascii="Verdana" w:hAnsi="Verdana"/>
                        </w:rPr>
                        <w:t xml:space="preserve">In </w:t>
                      </w:r>
                      <w:r w:rsidRPr="00C47667">
                        <w:rPr>
                          <w:rFonts w:ascii="Verdana" w:hAnsi="Verdana"/>
                          <w:b/>
                          <w:bCs/>
                        </w:rPr>
                        <w:t xml:space="preserve">Luxembourg, </w:t>
                      </w:r>
                      <w:r w:rsidRPr="00C47667">
                        <w:rPr>
                          <w:rFonts w:ascii="Verdana" w:hAnsi="Verdana"/>
                        </w:rPr>
                        <w:t>Natural water retention measures (NWRMs) have been planned in catchments (3 measures) and in wetlands (725 measures), as well as for the reduction in impermeable surfaces (1 measure), rainwater management (2 measures) and restoration of flood plains (16 measures).  NWRMs comprise the lion’s share (about 90 %) of individual measures.</w:t>
                      </w:r>
                    </w:p>
                    <w:p w14:paraId="516968AB" w14:textId="77777777" w:rsidR="006B31EF" w:rsidRPr="007D6FB3" w:rsidRDefault="006B31EF" w:rsidP="006B31EF">
                      <w:pPr>
                        <w:pStyle w:val="WDBullets"/>
                        <w:numPr>
                          <w:ilvl w:val="0"/>
                          <w:numId w:val="0"/>
                        </w:numPr>
                        <w:ind w:left="207"/>
                      </w:pPr>
                    </w:p>
                  </w:txbxContent>
                </v:textbox>
                <w10:anchorlock/>
              </v:rect>
            </w:pict>
          </mc:Fallback>
        </mc:AlternateContent>
      </w:r>
    </w:p>
    <w:p w14:paraId="4872CCF1" w14:textId="7F207008" w:rsidR="002F611F" w:rsidRPr="00AD0341" w:rsidRDefault="006B31EF" w:rsidP="006B31EF">
      <w:pPr>
        <w:spacing w:after="0"/>
        <w:rPr>
          <w:rFonts w:ascii="Verdana" w:hAnsi="Verdana"/>
          <w:sz w:val="16"/>
          <w:szCs w:val="16"/>
          <w:lang w:val="en-US"/>
        </w:rPr>
      </w:pPr>
      <w:r w:rsidRPr="00C47667">
        <w:rPr>
          <w:rFonts w:ascii="Verdana" w:hAnsi="Verdana"/>
          <w:sz w:val="16"/>
          <w:szCs w:val="16"/>
          <w:lang w:val="en-US"/>
        </w:rPr>
        <w:t xml:space="preserve">Source: Information provided by the MS in the context of this study. Completed with information from 1. Commission Staff Working Document. First Flood Risk Management Plans – Member State: Portugal. Accompanying document and 2. Commission Staff Working Document. First Flood Risk Management Plans – Member State: Luxembourg. </w:t>
      </w:r>
      <w:r w:rsidRPr="00AD0341">
        <w:rPr>
          <w:rFonts w:ascii="Verdana" w:hAnsi="Verdana"/>
          <w:sz w:val="16"/>
          <w:szCs w:val="16"/>
          <w:lang w:val="en-US"/>
        </w:rPr>
        <w:t>Accompanying document</w:t>
      </w:r>
    </w:p>
    <w:p w14:paraId="57030170" w14:textId="77777777" w:rsidR="006B31EF" w:rsidRPr="00AD0341" w:rsidRDefault="006B31EF" w:rsidP="002F611F">
      <w:pPr>
        <w:pStyle w:val="Body"/>
        <w:rPr>
          <w:lang w:val="en-US"/>
        </w:rPr>
      </w:pPr>
    </w:p>
    <w:p w14:paraId="1E1A2349" w14:textId="77777777" w:rsidR="003C7839" w:rsidRPr="002D1EF3" w:rsidRDefault="003C7839" w:rsidP="003B304A">
      <w:pPr>
        <w:pStyle w:val="Body"/>
        <w:rPr>
          <w:lang w:val="en-US"/>
        </w:rPr>
      </w:pPr>
    </w:p>
    <w:p w14:paraId="25C34CC6" w14:textId="1A76E463" w:rsidR="00CB6D43" w:rsidRDefault="00CB6D43" w:rsidP="003B304A">
      <w:pPr>
        <w:pStyle w:val="Body"/>
        <w:rPr>
          <w:lang w:val="en-GB"/>
        </w:rPr>
      </w:pPr>
    </w:p>
    <w:p w14:paraId="7E50D333" w14:textId="77777777" w:rsidR="00401AA5" w:rsidRPr="00401AA5" w:rsidRDefault="00401AA5" w:rsidP="00401AA5">
      <w:pPr>
        <w:pStyle w:val="Heading2"/>
        <w:rPr>
          <w:rFonts w:cs="Segoe UI"/>
          <w:lang w:val="en-US"/>
        </w:rPr>
      </w:pPr>
      <w:bookmarkStart w:id="75" w:name="_Toc59180778"/>
      <w:bookmarkStart w:id="76" w:name="_Toc62825943"/>
      <w:r w:rsidRPr="00401AA5">
        <w:rPr>
          <w:rFonts w:cs="Segoe UI"/>
          <w:lang w:val="en-US"/>
        </w:rPr>
        <w:t>Which current practice in applying methods and tools for assessing costs?</w:t>
      </w:r>
      <w:bookmarkEnd w:id="75"/>
      <w:bookmarkEnd w:id="76"/>
    </w:p>
    <w:p w14:paraId="21360373" w14:textId="77777777" w:rsidR="00F942AB" w:rsidRPr="00F942AB" w:rsidRDefault="00F942AB" w:rsidP="00F942AB">
      <w:pPr>
        <w:pStyle w:val="Body"/>
        <w:rPr>
          <w:b/>
          <w:bCs/>
          <w:color w:val="548DD4" w:themeColor="text2" w:themeTint="99"/>
          <w:lang w:val="en-US"/>
        </w:rPr>
      </w:pPr>
      <w:bookmarkStart w:id="77" w:name="_Toc59180779"/>
      <w:r w:rsidRPr="00F942AB">
        <w:rPr>
          <w:b/>
          <w:bCs/>
          <w:color w:val="548DD4" w:themeColor="text2" w:themeTint="99"/>
          <w:lang w:val="en-US"/>
        </w:rPr>
        <w:t>Water Framework Directive</w:t>
      </w:r>
      <w:bookmarkEnd w:id="77"/>
    </w:p>
    <w:p w14:paraId="302F0415" w14:textId="77777777" w:rsidR="00F942AB" w:rsidRPr="00F942AB" w:rsidRDefault="00F942AB" w:rsidP="00F942AB">
      <w:pPr>
        <w:pStyle w:val="Body"/>
        <w:rPr>
          <w:lang w:val="en-US"/>
        </w:rPr>
      </w:pPr>
      <w:r w:rsidRPr="00F942AB">
        <w:rPr>
          <w:lang w:val="en-US"/>
        </w:rPr>
        <w:t xml:space="preserve">The WFD stipulates that Programmes of Measures need to include a cost-effective set of measures. </w:t>
      </w:r>
      <w:r w:rsidRPr="00F942AB">
        <w:rPr>
          <w:b/>
          <w:lang w:val="en-US"/>
        </w:rPr>
        <w:t xml:space="preserve">Most countries employ </w:t>
      </w:r>
      <w:r w:rsidRPr="00F942AB">
        <w:rPr>
          <w:bCs/>
          <w:lang w:val="en-US"/>
        </w:rPr>
        <w:t>(at least partial)</w:t>
      </w:r>
      <w:r w:rsidRPr="00F942AB">
        <w:rPr>
          <w:b/>
          <w:lang w:val="en-US"/>
        </w:rPr>
        <w:t xml:space="preserve"> Cost-Effectiveness Analysis (CEA) of planned measures</w:t>
      </w:r>
      <w:r w:rsidRPr="00F942AB">
        <w:rPr>
          <w:lang w:val="en-US"/>
        </w:rPr>
        <w:t xml:space="preserve"> in their RBMPs (see Figure below). </w:t>
      </w:r>
    </w:p>
    <w:p w14:paraId="16BC610A" w14:textId="48861674" w:rsidR="00F942AB" w:rsidRPr="00F942AB" w:rsidRDefault="00F942AB" w:rsidP="00F942AB">
      <w:pPr>
        <w:pStyle w:val="Caption"/>
        <w:rPr>
          <w:rFonts w:ascii="Verdana" w:hAnsi="Verdana"/>
          <w:color w:val="548DD4" w:themeColor="text2" w:themeTint="99"/>
          <w:sz w:val="18"/>
          <w:szCs w:val="18"/>
          <w:lang w:val="en-US"/>
        </w:rPr>
      </w:pPr>
      <w:bookmarkStart w:id="78" w:name="_Toc56669508"/>
      <w:bookmarkStart w:id="79" w:name="_Toc56776764"/>
      <w:bookmarkStart w:id="80" w:name="_Toc59181822"/>
      <w:r w:rsidRPr="00F942AB">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8</w:t>
      </w:r>
      <w:r w:rsidR="00E14072">
        <w:rPr>
          <w:rFonts w:ascii="Verdana" w:hAnsi="Verdana"/>
          <w:color w:val="548DD4" w:themeColor="text2" w:themeTint="99"/>
          <w:sz w:val="18"/>
          <w:szCs w:val="18"/>
          <w:lang w:val="en-US"/>
        </w:rPr>
        <w:fldChar w:fldCharType="end"/>
      </w:r>
      <w:r w:rsidRPr="00F942AB">
        <w:rPr>
          <w:rFonts w:ascii="Verdana" w:hAnsi="Verdana"/>
          <w:color w:val="548DD4" w:themeColor="text2" w:themeTint="99"/>
          <w:sz w:val="18"/>
          <w:szCs w:val="18"/>
          <w:lang w:val="en-US"/>
        </w:rPr>
        <w:t xml:space="preserve"> Knowledge base – number of countries using Cost Effectiveness Analysis in the 2nd RBMPs</w:t>
      </w:r>
      <w:bookmarkEnd w:id="78"/>
      <w:bookmarkEnd w:id="79"/>
      <w:bookmarkEnd w:id="80"/>
    </w:p>
    <w:p w14:paraId="53E37414" w14:textId="77777777" w:rsidR="00F942AB" w:rsidRPr="00736A50" w:rsidRDefault="00F942AB" w:rsidP="00F942AB">
      <w:pPr>
        <w:pStyle w:val="Body"/>
        <w:jc w:val="center"/>
        <w:rPr>
          <w:lang w:eastAsia="en-GB"/>
        </w:rPr>
      </w:pPr>
      <w:r w:rsidRPr="00D8338D">
        <w:rPr>
          <w:noProof/>
          <w:lang w:val="en-US"/>
        </w:rPr>
        <w:drawing>
          <wp:inline distT="0" distB="0" distL="0" distR="0" wp14:anchorId="76448C8B" wp14:editId="3ED0B725">
            <wp:extent cx="4584700" cy="275590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7E90CFD" w14:textId="77777777" w:rsidR="00F942AB" w:rsidRPr="00304A76" w:rsidRDefault="00F942AB" w:rsidP="00F942AB">
      <w:pPr>
        <w:spacing w:after="0"/>
        <w:rPr>
          <w:rFonts w:ascii="Verdana" w:hAnsi="Verdana" w:cs="Segoe UI"/>
          <w:sz w:val="16"/>
          <w:szCs w:val="16"/>
        </w:rPr>
      </w:pPr>
      <w:r w:rsidRPr="00304A76">
        <w:rPr>
          <w:rFonts w:ascii="Verdana" w:hAnsi="Verdana" w:cs="Segoe UI"/>
          <w:sz w:val="16"/>
          <w:szCs w:val="16"/>
        </w:rPr>
        <w:t xml:space="preserve">Note: </w:t>
      </w:r>
    </w:p>
    <w:p w14:paraId="22A42B11" w14:textId="77777777" w:rsidR="00F942AB" w:rsidRPr="00304A76" w:rsidRDefault="00F942AB" w:rsidP="00A13462">
      <w:pPr>
        <w:pStyle w:val="ListParagraph"/>
        <w:numPr>
          <w:ilvl w:val="0"/>
          <w:numId w:val="33"/>
        </w:numPr>
        <w:spacing w:after="0" w:line="240" w:lineRule="auto"/>
        <w:contextualSpacing w:val="0"/>
        <w:rPr>
          <w:rFonts w:ascii="Verdana" w:hAnsi="Verdana" w:cs="Segoe UI"/>
          <w:sz w:val="16"/>
          <w:szCs w:val="16"/>
          <w:lang w:val="en-GB"/>
        </w:rPr>
      </w:pPr>
      <w:r w:rsidRPr="00304A76">
        <w:rPr>
          <w:rFonts w:ascii="Verdana" w:hAnsi="Verdana" w:cs="Segoe UI"/>
          <w:sz w:val="16"/>
          <w:szCs w:val="16"/>
          <w:lang w:val="en-GB"/>
        </w:rPr>
        <w:t>“Yes” cover Member States that used CEA of measures in the 2</w:t>
      </w:r>
      <w:r w:rsidRPr="00304A76">
        <w:rPr>
          <w:rFonts w:ascii="Verdana" w:hAnsi="Verdana" w:cs="Segoe UI"/>
          <w:sz w:val="16"/>
          <w:szCs w:val="16"/>
          <w:vertAlign w:val="superscript"/>
          <w:lang w:val="en-GB"/>
        </w:rPr>
        <w:t>nd</w:t>
      </w:r>
      <w:r w:rsidRPr="00304A76">
        <w:rPr>
          <w:rFonts w:ascii="Verdana" w:hAnsi="Verdana" w:cs="Segoe UI"/>
          <w:sz w:val="16"/>
          <w:szCs w:val="16"/>
          <w:lang w:val="en-GB"/>
        </w:rPr>
        <w:t xml:space="preserve"> RBMPs; </w:t>
      </w:r>
    </w:p>
    <w:p w14:paraId="0F14E6E6" w14:textId="77777777" w:rsidR="00F942AB" w:rsidRPr="00304A76" w:rsidRDefault="00F942AB" w:rsidP="00A13462">
      <w:pPr>
        <w:pStyle w:val="ListParagraph"/>
        <w:numPr>
          <w:ilvl w:val="0"/>
          <w:numId w:val="33"/>
        </w:numPr>
        <w:spacing w:after="0" w:line="240" w:lineRule="auto"/>
        <w:contextualSpacing w:val="0"/>
        <w:rPr>
          <w:rFonts w:ascii="Verdana" w:hAnsi="Verdana" w:cs="Segoe UI"/>
          <w:color w:val="000000"/>
          <w:sz w:val="16"/>
          <w:szCs w:val="16"/>
          <w:lang w:val="en-GB"/>
        </w:rPr>
      </w:pPr>
      <w:r w:rsidRPr="00304A76">
        <w:rPr>
          <w:rFonts w:ascii="Verdana" w:hAnsi="Verdana" w:cs="Segoe UI"/>
          <w:sz w:val="16"/>
          <w:szCs w:val="16"/>
          <w:lang w:val="en-GB"/>
        </w:rPr>
        <w:t>“Yes, partial” cover Member States that used CEA of measures but partially, e.g. for selected types of measures or selected RBDs</w:t>
      </w:r>
      <w:r w:rsidRPr="00304A76">
        <w:rPr>
          <w:rFonts w:ascii="Verdana" w:hAnsi="Verdana" w:cs="Segoe UI"/>
          <w:color w:val="000000"/>
          <w:sz w:val="16"/>
          <w:szCs w:val="16"/>
          <w:lang w:val="en-GB"/>
        </w:rPr>
        <w:t xml:space="preserve">; </w:t>
      </w:r>
    </w:p>
    <w:p w14:paraId="2FEAB01E" w14:textId="77777777" w:rsidR="00F942AB" w:rsidRPr="00304A76" w:rsidRDefault="00F942AB" w:rsidP="00A13462">
      <w:pPr>
        <w:pStyle w:val="WDBodySmall"/>
        <w:numPr>
          <w:ilvl w:val="0"/>
          <w:numId w:val="33"/>
        </w:numPr>
        <w:rPr>
          <w:rFonts w:ascii="Verdana" w:hAnsi="Verdana"/>
        </w:rPr>
      </w:pPr>
      <w:r w:rsidRPr="00304A76">
        <w:rPr>
          <w:rFonts w:ascii="Verdana" w:hAnsi="Verdana" w:cs="Segoe UI"/>
          <w:szCs w:val="16"/>
        </w:rPr>
        <w:t>“No” cover Member States that did not use CEA of measures in the 2</w:t>
      </w:r>
      <w:r w:rsidRPr="00304A76">
        <w:rPr>
          <w:rFonts w:ascii="Verdana" w:hAnsi="Verdana" w:cs="Segoe UI"/>
          <w:szCs w:val="16"/>
          <w:vertAlign w:val="superscript"/>
        </w:rPr>
        <w:t>nd</w:t>
      </w:r>
      <w:r w:rsidRPr="00304A76">
        <w:rPr>
          <w:rFonts w:ascii="Verdana" w:hAnsi="Verdana" w:cs="Segoe UI"/>
          <w:szCs w:val="16"/>
        </w:rPr>
        <w:t xml:space="preserve"> RBMPs</w:t>
      </w:r>
    </w:p>
    <w:p w14:paraId="597328F7" w14:textId="77777777" w:rsidR="00F942AB" w:rsidRPr="00304A76" w:rsidRDefault="00F942AB" w:rsidP="00F942AB">
      <w:pPr>
        <w:pStyle w:val="WDBodySmall"/>
        <w:rPr>
          <w:rFonts w:ascii="Verdana" w:hAnsi="Verdana"/>
        </w:rPr>
      </w:pPr>
      <w:r w:rsidRPr="00304A76">
        <w:rPr>
          <w:rFonts w:ascii="Verdana" w:hAnsi="Verdana"/>
        </w:rPr>
        <w:t>Source: Data extracted from country information collated by the project team and provided by Member States</w:t>
      </w:r>
    </w:p>
    <w:p w14:paraId="31F7832B" w14:textId="77777777" w:rsidR="00F942AB" w:rsidRPr="00F942AB" w:rsidRDefault="00F942AB" w:rsidP="00F942AB">
      <w:pPr>
        <w:pStyle w:val="Body"/>
        <w:rPr>
          <w:lang w:val="en-US"/>
        </w:rPr>
      </w:pPr>
    </w:p>
    <w:p w14:paraId="7F6FD0A0" w14:textId="77777777" w:rsidR="00F942AB" w:rsidRPr="00F942AB" w:rsidRDefault="00F942AB" w:rsidP="00F942AB">
      <w:pPr>
        <w:pStyle w:val="Body"/>
        <w:rPr>
          <w:rFonts w:ascii="Times New Roman" w:hAnsi="Times New Roman"/>
          <w:szCs w:val="24"/>
          <w:lang w:val="en-US"/>
        </w:rPr>
      </w:pPr>
      <w:r w:rsidRPr="00F942AB">
        <w:rPr>
          <w:lang w:val="en-US"/>
        </w:rPr>
        <w:t>In many instances, CEA is applied to a sub-set of measures and in combination with qualitative appraisals. Furthermore, an integrated assessment of different types of measures is rarely applied with CEA largely focusing on pollution mitigation measures and on the quantitative management of water resources when water scarcity is a priority water management challenge (e.g. Malta). This is in line with findings of the Commission’s evaluation report, which stresses that the Member States do not appear to be widely using quantitative cost effectiveness analysis techniques to assist them in the selection of measures. Furthermore, it was not always possible to easily identify from the information provided by the Member States the methods used to prioritise measures, and how cost effectiveness analysis fits into the process suggesting room for further improvement</w:t>
      </w:r>
      <w:r w:rsidRPr="00736A50">
        <w:rPr>
          <w:rStyle w:val="FootnoteReference"/>
        </w:rPr>
        <w:footnoteReference w:id="46"/>
      </w:r>
      <w:r w:rsidRPr="00F942AB">
        <w:rPr>
          <w:lang w:val="en-US"/>
        </w:rPr>
        <w:t xml:space="preserve">. While the use of economic assessment methods such as CEA and MCA (Multi-Criteria Analysis) is common, fully fledged Cost-Benefit Analysis is rarely used by countries (see Figure below). </w:t>
      </w:r>
    </w:p>
    <w:p w14:paraId="7FA37951" w14:textId="33E61D2D" w:rsidR="00F942AB" w:rsidRPr="00304A76" w:rsidRDefault="00304A76" w:rsidP="00304A76">
      <w:pPr>
        <w:pStyle w:val="Caption"/>
        <w:rPr>
          <w:rFonts w:ascii="Verdana" w:hAnsi="Verdana"/>
          <w:color w:val="548DD4" w:themeColor="text2" w:themeTint="99"/>
          <w:sz w:val="18"/>
          <w:szCs w:val="18"/>
          <w:lang w:val="en-US"/>
        </w:rPr>
      </w:pPr>
      <w:bookmarkStart w:id="81" w:name="_Toc56669509"/>
      <w:bookmarkStart w:id="82" w:name="_Toc56776765"/>
      <w:bookmarkStart w:id="83" w:name="_Toc59181823"/>
      <w:r w:rsidRPr="00304A76">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9</w:t>
      </w:r>
      <w:r w:rsidR="00E14072">
        <w:rPr>
          <w:rFonts w:ascii="Verdana" w:hAnsi="Verdana"/>
          <w:color w:val="548DD4" w:themeColor="text2" w:themeTint="99"/>
          <w:sz w:val="18"/>
          <w:szCs w:val="18"/>
          <w:lang w:val="en-US"/>
        </w:rPr>
        <w:fldChar w:fldCharType="end"/>
      </w:r>
      <w:r w:rsidRPr="00304A76">
        <w:rPr>
          <w:rFonts w:ascii="Verdana" w:hAnsi="Verdana"/>
          <w:color w:val="548DD4" w:themeColor="text2" w:themeTint="99"/>
          <w:sz w:val="18"/>
          <w:szCs w:val="18"/>
          <w:lang w:val="en-US"/>
        </w:rPr>
        <w:t xml:space="preserve"> </w:t>
      </w:r>
      <w:r w:rsidR="00F942AB" w:rsidRPr="00304A76">
        <w:rPr>
          <w:rFonts w:ascii="Verdana" w:hAnsi="Verdana"/>
          <w:color w:val="548DD4" w:themeColor="text2" w:themeTint="99"/>
          <w:sz w:val="18"/>
          <w:szCs w:val="18"/>
          <w:lang w:val="en-US"/>
        </w:rPr>
        <w:t>Knowledge base – number of countries using Cost Benefit Analysis in the 2nd RBMPs</w:t>
      </w:r>
      <w:bookmarkEnd w:id="81"/>
      <w:bookmarkEnd w:id="82"/>
      <w:bookmarkEnd w:id="83"/>
    </w:p>
    <w:p w14:paraId="3D72078C" w14:textId="77777777" w:rsidR="00F942AB" w:rsidRPr="00736A50" w:rsidRDefault="00F942AB" w:rsidP="00F942AB">
      <w:pPr>
        <w:pStyle w:val="Body"/>
        <w:jc w:val="center"/>
        <w:rPr>
          <w:lang w:eastAsia="en-GB"/>
        </w:rPr>
      </w:pPr>
      <w:r w:rsidRPr="00D8338D">
        <w:rPr>
          <w:noProof/>
          <w:lang w:val="en-US"/>
        </w:rPr>
        <w:drawing>
          <wp:inline distT="0" distB="0" distL="0" distR="0" wp14:anchorId="680EC9A6" wp14:editId="1A5AE2E3">
            <wp:extent cx="4584700" cy="275590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9847B8" w14:textId="77777777" w:rsidR="00F942AB" w:rsidRPr="00304A76" w:rsidRDefault="00F942AB" w:rsidP="00F942AB">
      <w:pPr>
        <w:spacing w:after="0"/>
        <w:rPr>
          <w:rFonts w:ascii="Verdana" w:hAnsi="Verdana" w:cs="Segoe UI"/>
          <w:sz w:val="16"/>
          <w:szCs w:val="16"/>
        </w:rPr>
      </w:pPr>
      <w:r w:rsidRPr="00304A76">
        <w:rPr>
          <w:rFonts w:ascii="Verdana" w:hAnsi="Verdana" w:cs="Segoe UI"/>
          <w:sz w:val="16"/>
          <w:szCs w:val="16"/>
        </w:rPr>
        <w:t xml:space="preserve">Note: </w:t>
      </w:r>
    </w:p>
    <w:p w14:paraId="1F045116" w14:textId="77777777" w:rsidR="00F942AB" w:rsidRPr="00304A76" w:rsidRDefault="00F942AB" w:rsidP="00A13462">
      <w:pPr>
        <w:pStyle w:val="ListParagraph"/>
        <w:numPr>
          <w:ilvl w:val="0"/>
          <w:numId w:val="33"/>
        </w:numPr>
        <w:spacing w:after="0" w:line="240" w:lineRule="auto"/>
        <w:contextualSpacing w:val="0"/>
        <w:rPr>
          <w:rFonts w:ascii="Verdana" w:hAnsi="Verdana" w:cs="Segoe UI"/>
          <w:sz w:val="16"/>
          <w:szCs w:val="16"/>
          <w:lang w:val="en-GB"/>
        </w:rPr>
      </w:pPr>
      <w:r w:rsidRPr="00304A76">
        <w:rPr>
          <w:rFonts w:ascii="Verdana" w:hAnsi="Verdana" w:cs="Segoe UI"/>
          <w:sz w:val="16"/>
          <w:szCs w:val="16"/>
          <w:lang w:val="en-GB"/>
        </w:rPr>
        <w:t>“Yes” cover Member States that used CBA of measures in the 2</w:t>
      </w:r>
      <w:r w:rsidRPr="00304A76">
        <w:rPr>
          <w:rFonts w:ascii="Verdana" w:hAnsi="Verdana" w:cs="Segoe UI"/>
          <w:sz w:val="16"/>
          <w:szCs w:val="16"/>
          <w:vertAlign w:val="superscript"/>
          <w:lang w:val="en-GB"/>
        </w:rPr>
        <w:t>nd</w:t>
      </w:r>
      <w:r w:rsidRPr="00304A76">
        <w:rPr>
          <w:rFonts w:ascii="Verdana" w:hAnsi="Verdana" w:cs="Segoe UI"/>
          <w:sz w:val="16"/>
          <w:szCs w:val="16"/>
          <w:lang w:val="en-GB"/>
        </w:rPr>
        <w:t xml:space="preserve"> RBMPs; </w:t>
      </w:r>
    </w:p>
    <w:p w14:paraId="03A77A69" w14:textId="77777777" w:rsidR="00F942AB" w:rsidRPr="00304A76" w:rsidRDefault="00F942AB" w:rsidP="00A13462">
      <w:pPr>
        <w:pStyle w:val="ListParagraph"/>
        <w:numPr>
          <w:ilvl w:val="0"/>
          <w:numId w:val="33"/>
        </w:numPr>
        <w:spacing w:after="0" w:line="240" w:lineRule="auto"/>
        <w:contextualSpacing w:val="0"/>
        <w:rPr>
          <w:rFonts w:ascii="Verdana" w:hAnsi="Verdana" w:cs="Segoe UI"/>
          <w:color w:val="000000"/>
          <w:sz w:val="16"/>
          <w:szCs w:val="16"/>
          <w:lang w:val="en-GB"/>
        </w:rPr>
      </w:pPr>
      <w:r w:rsidRPr="00304A76">
        <w:rPr>
          <w:rFonts w:ascii="Verdana" w:hAnsi="Verdana" w:cs="Segoe UI"/>
          <w:sz w:val="16"/>
          <w:szCs w:val="16"/>
          <w:lang w:val="en-GB"/>
        </w:rPr>
        <w:t>“Yes, partial” cover Member States that used CBA of measures but partially, e.g. for selected types of measures; in combination with wider MCA and semi-quantitative criteria</w:t>
      </w:r>
      <w:r w:rsidRPr="00304A76">
        <w:rPr>
          <w:rFonts w:ascii="Verdana" w:hAnsi="Verdana" w:cs="Segoe UI"/>
          <w:color w:val="000000"/>
          <w:sz w:val="16"/>
          <w:szCs w:val="16"/>
          <w:lang w:val="en-GB"/>
        </w:rPr>
        <w:t xml:space="preserve">; </w:t>
      </w:r>
    </w:p>
    <w:p w14:paraId="4B0FB136" w14:textId="77777777" w:rsidR="00F942AB" w:rsidRPr="00304A76" w:rsidRDefault="00F942AB" w:rsidP="00A13462">
      <w:pPr>
        <w:pStyle w:val="WDBodySmall"/>
        <w:numPr>
          <w:ilvl w:val="0"/>
          <w:numId w:val="33"/>
        </w:numPr>
        <w:rPr>
          <w:rFonts w:ascii="Verdana" w:hAnsi="Verdana"/>
        </w:rPr>
      </w:pPr>
      <w:r w:rsidRPr="00304A76">
        <w:rPr>
          <w:rFonts w:ascii="Verdana" w:hAnsi="Verdana" w:cs="Segoe UI"/>
          <w:szCs w:val="16"/>
        </w:rPr>
        <w:t>“No” cover Member States that did not use CBA of measures in the 2</w:t>
      </w:r>
      <w:r w:rsidRPr="00304A76">
        <w:rPr>
          <w:rFonts w:ascii="Verdana" w:hAnsi="Verdana" w:cs="Segoe UI"/>
          <w:szCs w:val="16"/>
          <w:vertAlign w:val="superscript"/>
        </w:rPr>
        <w:t>nd</w:t>
      </w:r>
      <w:r w:rsidRPr="00304A76">
        <w:rPr>
          <w:rFonts w:ascii="Verdana" w:hAnsi="Verdana" w:cs="Segoe UI"/>
          <w:szCs w:val="16"/>
        </w:rPr>
        <w:t xml:space="preserve"> RBMPs</w:t>
      </w:r>
    </w:p>
    <w:p w14:paraId="340E3EC2" w14:textId="77777777" w:rsidR="00F942AB" w:rsidRPr="00304A76" w:rsidRDefault="00F942AB" w:rsidP="00A13462">
      <w:pPr>
        <w:pStyle w:val="WDBodySmall"/>
        <w:numPr>
          <w:ilvl w:val="0"/>
          <w:numId w:val="33"/>
        </w:numPr>
        <w:rPr>
          <w:rFonts w:ascii="Verdana" w:hAnsi="Verdana"/>
        </w:rPr>
      </w:pPr>
      <w:r w:rsidRPr="00304A76">
        <w:rPr>
          <w:rFonts w:ascii="Verdana" w:hAnsi="Verdana" w:cs="Segoe UI"/>
          <w:szCs w:val="16"/>
        </w:rPr>
        <w:t>“Unknown” cover Member States for which no conclusions could be drawn due to lack of information on the methods employed.</w:t>
      </w:r>
    </w:p>
    <w:p w14:paraId="218A5FA9" w14:textId="77777777" w:rsidR="00F942AB" w:rsidRPr="00304A76" w:rsidRDefault="00F942AB" w:rsidP="00F942AB">
      <w:pPr>
        <w:pStyle w:val="WDBodySmall"/>
        <w:rPr>
          <w:rFonts w:ascii="Verdana" w:hAnsi="Verdana"/>
        </w:rPr>
      </w:pPr>
      <w:r w:rsidRPr="00304A76">
        <w:rPr>
          <w:rFonts w:ascii="Verdana" w:hAnsi="Verdana"/>
        </w:rPr>
        <w:t>Source: Data extracted from country information collated by the project team and provided by Member States</w:t>
      </w:r>
    </w:p>
    <w:p w14:paraId="54849F4D" w14:textId="77777777" w:rsidR="00F942AB" w:rsidRPr="00F942AB" w:rsidRDefault="00F942AB" w:rsidP="00F942AB">
      <w:pPr>
        <w:pStyle w:val="Body"/>
        <w:rPr>
          <w:lang w:val="en-US"/>
        </w:rPr>
      </w:pPr>
    </w:p>
    <w:p w14:paraId="7EE01CB1" w14:textId="35F134B5" w:rsidR="00F942AB" w:rsidRPr="00304A76" w:rsidRDefault="00F942AB" w:rsidP="00F942AB">
      <w:pPr>
        <w:pStyle w:val="Body"/>
        <w:rPr>
          <w:lang w:val="en-US"/>
        </w:rPr>
      </w:pPr>
      <w:r w:rsidRPr="00F942AB">
        <w:rPr>
          <w:lang w:val="en-US"/>
        </w:rPr>
        <w:t>In practice, Member States use a combination of MCA and CEA to prioritise measures for the inclusion of the RBMPs (see</w:t>
      </w:r>
      <w:r w:rsidR="00304A76">
        <w:rPr>
          <w:lang w:val="en-US"/>
        </w:rPr>
        <w:t xml:space="preserve"> Box 5.9</w:t>
      </w:r>
      <w:r w:rsidR="00462E28">
        <w:rPr>
          <w:lang w:val="en-US"/>
        </w:rPr>
        <w:t xml:space="preserve"> below</w:t>
      </w:r>
      <w:r w:rsidRPr="00304A76">
        <w:rPr>
          <w:lang w:val="en-US"/>
        </w:rPr>
        <w:t xml:space="preserve">).  </w:t>
      </w:r>
    </w:p>
    <w:p w14:paraId="76B9BCB1" w14:textId="77777777" w:rsidR="00F942AB" w:rsidRPr="00304A76" w:rsidRDefault="00F942AB" w:rsidP="00F942AB">
      <w:pPr>
        <w:pStyle w:val="Body"/>
        <w:rPr>
          <w:lang w:val="en-US"/>
        </w:rPr>
      </w:pPr>
    </w:p>
    <w:p w14:paraId="4E88BF05" w14:textId="77ADC773" w:rsidR="00F942AB" w:rsidRDefault="00F942AB" w:rsidP="00F942AB">
      <w:pPr>
        <w:pStyle w:val="Body"/>
        <w:rPr>
          <w:lang w:val="en-US"/>
        </w:rPr>
      </w:pPr>
      <w:r w:rsidRPr="00D8338D">
        <w:rPr>
          <w:rFonts w:ascii="Calibri" w:hAnsi="Calibri"/>
          <w:noProof/>
          <w:sz w:val="22"/>
          <w:lang w:val="en-US"/>
        </w:rPr>
        <mc:AlternateContent>
          <mc:Choice Requires="wps">
            <w:drawing>
              <wp:inline distT="0" distB="0" distL="0" distR="0" wp14:anchorId="2BBEE26D" wp14:editId="22D8F14C">
                <wp:extent cx="5833533" cy="4267200"/>
                <wp:effectExtent l="0" t="0" r="15240" b="19050"/>
                <wp:docPr id="57" name="Rectangle 57"/>
                <wp:cNvGraphicFramePr/>
                <a:graphic xmlns:a="http://schemas.openxmlformats.org/drawingml/2006/main">
                  <a:graphicData uri="http://schemas.microsoft.com/office/word/2010/wordprocessingShape">
                    <wps:wsp>
                      <wps:cNvSpPr/>
                      <wps:spPr>
                        <a:xfrm>
                          <a:off x="0" y="0"/>
                          <a:ext cx="5833533" cy="4267200"/>
                        </a:xfrm>
                        <a:prstGeom prst="rect">
                          <a:avLst/>
                        </a:prstGeom>
                        <a:solidFill>
                          <a:schemeClr val="bg1"/>
                        </a:solidFill>
                        <a:ln w="25400" cap="flat" cmpd="sng" algn="ctr">
                          <a:solidFill>
                            <a:schemeClr val="accent1"/>
                          </a:solidFill>
                          <a:prstDash val="solid"/>
                        </a:ln>
                        <a:effectLst/>
                      </wps:spPr>
                      <wps:txbx>
                        <w:txbxContent>
                          <w:p w14:paraId="3053B384" w14:textId="1BD4B0F8" w:rsidR="00F942AB" w:rsidRPr="000428A5" w:rsidRDefault="00F942AB" w:rsidP="00F942AB">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F942AB">
                              <w:rPr>
                                <w:rFonts w:asciiTheme="majorHAnsi" w:eastAsiaTheme="majorEastAsia" w:hAnsiTheme="majorHAnsi" w:cstheme="majorBidi"/>
                                <w:caps/>
                                <w:color w:val="4F81BD" w:themeColor="accent1"/>
                                <w:szCs w:val="24"/>
                                <w:lang w:val="en-US"/>
                              </w:rPr>
                              <w:t>Box 5.</w:t>
                            </w:r>
                            <w:r>
                              <w:rPr>
                                <w:rFonts w:asciiTheme="majorHAnsi" w:eastAsiaTheme="majorEastAsia" w:hAnsiTheme="majorHAnsi" w:cstheme="majorBidi"/>
                                <w:caps/>
                                <w:color w:val="4F81BD" w:themeColor="accent1"/>
                                <w:szCs w:val="24"/>
                                <w:lang w:val="en-US"/>
                              </w:rPr>
                              <w:t>9</w:t>
                            </w:r>
                            <w:r w:rsidRPr="00F942AB">
                              <w:rPr>
                                <w:rFonts w:asciiTheme="majorHAnsi" w:eastAsiaTheme="majorEastAsia" w:hAnsiTheme="majorHAnsi" w:cstheme="majorBidi"/>
                                <w:caps/>
                                <w:color w:val="4F81BD" w:themeColor="accent1"/>
                                <w:szCs w:val="24"/>
                                <w:lang w:val="en-US"/>
                              </w:rPr>
                              <w:t xml:space="preserve"> METHODS APPLIED FOR MEASURE SELECTION AND PRIORITISATION IN RBMPS</w:t>
                            </w:r>
                          </w:p>
                          <w:p w14:paraId="161A8DF9" w14:textId="77777777" w:rsidR="00F942AB" w:rsidRPr="00462E28" w:rsidRDefault="00F942AB" w:rsidP="00462E28">
                            <w:pPr>
                              <w:pStyle w:val="WDBullets"/>
                              <w:ind w:left="567" w:right="213"/>
                              <w:jc w:val="both"/>
                              <w:rPr>
                                <w:rFonts w:ascii="Verdana" w:hAnsi="Verdana"/>
                              </w:rPr>
                            </w:pPr>
                            <w:r w:rsidRPr="00462E28">
                              <w:rPr>
                                <w:rFonts w:ascii="Verdana" w:hAnsi="Verdana"/>
                              </w:rPr>
                              <w:t xml:space="preserve">In </w:t>
                            </w:r>
                            <w:r w:rsidRPr="00462E28">
                              <w:rPr>
                                <w:rFonts w:ascii="Verdana" w:hAnsi="Verdana"/>
                                <w:b/>
                                <w:bCs/>
                              </w:rPr>
                              <w:t xml:space="preserve">Belgium </w:t>
                            </w:r>
                            <w:r w:rsidRPr="00462E28">
                              <w:rPr>
                                <w:rFonts w:ascii="Verdana" w:hAnsi="Verdana"/>
                              </w:rPr>
                              <w:t xml:space="preserve">(Flanders), </w:t>
                            </w:r>
                            <w:r w:rsidRPr="00462E28">
                              <w:rPr>
                                <w:rFonts w:ascii="Verdana" w:hAnsi="Verdana"/>
                                <w:b/>
                                <w:bCs/>
                              </w:rPr>
                              <w:t xml:space="preserve">MCA and CEA </w:t>
                            </w:r>
                            <w:r w:rsidRPr="00462E28">
                              <w:rPr>
                                <w:rFonts w:ascii="Verdana" w:hAnsi="Verdana"/>
                              </w:rPr>
                              <w:t xml:space="preserve">were combined to select the necessary measures: i) Cost-effectiveness analysis was used only for prioritisation of sewage infrastructure and wastewater treatment projects; and ii) Multi-criteria analysis was used for all other types of actions. It was mostly expert driven and included criteria such as cost effectiveness, feasibility, public support and coherence with other actions. In Wallonia, effectiveness was expressed as the amount of water bodies that would reach objectives as a result of the implementation of measures. </w:t>
                            </w:r>
                          </w:p>
                          <w:p w14:paraId="13C533B8" w14:textId="77777777" w:rsidR="00F942AB" w:rsidRPr="00462E28" w:rsidRDefault="00F942AB" w:rsidP="00462E28">
                            <w:pPr>
                              <w:pStyle w:val="WDBullets"/>
                              <w:ind w:left="567" w:right="213"/>
                              <w:jc w:val="both"/>
                              <w:rPr>
                                <w:rFonts w:ascii="Verdana" w:hAnsi="Verdana"/>
                              </w:rPr>
                            </w:pPr>
                            <w:r w:rsidRPr="00462E28">
                              <w:rPr>
                                <w:rFonts w:ascii="Verdana" w:hAnsi="Verdana"/>
                              </w:rPr>
                              <w:t xml:space="preserve">In </w:t>
                            </w:r>
                            <w:r w:rsidRPr="00462E28">
                              <w:rPr>
                                <w:rFonts w:ascii="Verdana" w:hAnsi="Verdana"/>
                                <w:b/>
                                <w:bCs/>
                              </w:rPr>
                              <w:t>Austria</w:t>
                            </w:r>
                            <w:r w:rsidRPr="00462E28">
                              <w:rPr>
                                <w:rFonts w:ascii="Verdana" w:hAnsi="Verdana"/>
                              </w:rPr>
                              <w:t xml:space="preserve">, a </w:t>
                            </w:r>
                            <w:r w:rsidRPr="00462E28">
                              <w:rPr>
                                <w:rFonts w:ascii="Verdana" w:hAnsi="Verdana"/>
                                <w:b/>
                                <w:bCs/>
                              </w:rPr>
                              <w:t xml:space="preserve">qualitative CEA </w:t>
                            </w:r>
                            <w:r w:rsidRPr="00462E28">
                              <w:rPr>
                                <w:rFonts w:ascii="Verdana" w:hAnsi="Verdana"/>
                              </w:rPr>
                              <w:t xml:space="preserve">of measures was applied using a concept of “step-wise reaching of objectives” by designating areas/regions as “priority areas” with different time-frames for achieving objectives while focusing on the main pressures (hydro-morphological). </w:t>
                            </w:r>
                          </w:p>
                          <w:p w14:paraId="0F5DDE68" w14:textId="77777777" w:rsidR="00F942AB" w:rsidRPr="00462E28" w:rsidRDefault="00F942AB" w:rsidP="00462E28">
                            <w:pPr>
                              <w:pStyle w:val="WDBullets"/>
                              <w:ind w:left="567" w:right="213"/>
                              <w:jc w:val="both"/>
                              <w:rPr>
                                <w:rFonts w:ascii="Verdana" w:hAnsi="Verdana"/>
                              </w:rPr>
                            </w:pPr>
                            <w:r w:rsidRPr="00462E28">
                              <w:rPr>
                                <w:rFonts w:ascii="Verdana" w:hAnsi="Verdana"/>
                              </w:rPr>
                              <w:t xml:space="preserve">In </w:t>
                            </w:r>
                            <w:r w:rsidRPr="00462E28">
                              <w:rPr>
                                <w:rFonts w:ascii="Verdana" w:hAnsi="Verdana"/>
                                <w:b/>
                                <w:bCs/>
                              </w:rPr>
                              <w:t>Cyprus</w:t>
                            </w:r>
                            <w:r w:rsidRPr="00462E28">
                              <w:rPr>
                                <w:rFonts w:ascii="Verdana" w:hAnsi="Verdana"/>
                              </w:rPr>
                              <w:t xml:space="preserve">, measures were ranked in terms of effectiveness based on </w:t>
                            </w:r>
                            <w:r w:rsidRPr="00462E28">
                              <w:rPr>
                                <w:rFonts w:ascii="Verdana" w:hAnsi="Verdana"/>
                                <w:b/>
                                <w:bCs/>
                              </w:rPr>
                              <w:t xml:space="preserve">multiple criteria </w:t>
                            </w:r>
                            <w:r w:rsidRPr="00462E28">
                              <w:rPr>
                                <w:rFonts w:ascii="Verdana" w:hAnsi="Verdana"/>
                              </w:rPr>
                              <w:t>such as the importance of the measure, the time required for implementation and for delivering results, the number of water bodies influenced, the relevance of the measure to climate change and cost where applicable (for measures for which capex/opex could be estimated).</w:t>
                            </w:r>
                          </w:p>
                          <w:p w14:paraId="1F29F6FA" w14:textId="77777777" w:rsidR="00F942AB" w:rsidRPr="00462E28" w:rsidRDefault="00F942AB" w:rsidP="00462E28">
                            <w:pPr>
                              <w:pStyle w:val="WDBullets"/>
                              <w:ind w:left="567" w:right="213"/>
                              <w:jc w:val="both"/>
                              <w:rPr>
                                <w:rFonts w:ascii="Verdana" w:hAnsi="Verdana"/>
                                <w:b/>
                                <w:bCs/>
                              </w:rPr>
                            </w:pPr>
                            <w:r w:rsidRPr="00462E28">
                              <w:rPr>
                                <w:rFonts w:ascii="Verdana" w:hAnsi="Verdana"/>
                                <w:b/>
                                <w:bCs/>
                              </w:rPr>
                              <w:t>In Sweden</w:t>
                            </w:r>
                            <w:r w:rsidRPr="00462E28">
                              <w:rPr>
                                <w:rFonts w:ascii="Verdana" w:hAnsi="Verdana"/>
                              </w:rPr>
                              <w:t>, new tools and</w:t>
                            </w:r>
                            <w:r w:rsidRPr="00462E28">
                              <w:rPr>
                                <w:rFonts w:ascii="Verdana" w:hAnsi="Verdana"/>
                                <w:b/>
                                <w:bCs/>
                              </w:rPr>
                              <w:t xml:space="preserve"> studies </w:t>
                            </w:r>
                            <w:r w:rsidRPr="00462E28">
                              <w:rPr>
                                <w:rFonts w:ascii="Verdana" w:hAnsi="Verdana"/>
                              </w:rPr>
                              <w:t xml:space="preserve">are being developed, e.g. new tools to aid decision making and to identify cost effective measures, including a study on Swedish households willingness to pay for improved water quality in lakes, streams and the coastal zone (SwAM,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2BBEE26D" id="Rectangle 57" o:spid="_x0000_s1034" style="width:459.3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3+ZgIAAN8EAAAOAAAAZHJzL2Uyb0RvYy54bWysVNtO3DAQfa/Uf7D8XrIXFlYrsmgFoqqE&#10;ABUqnmcdO4nkW8feTejXd+xk2UJ5qvrinLHHczk+k4vL3mi2lxhaZ0s+PZlwJq1wVWvrkv94uvmy&#10;5CxEsBVoZ2XJX2Tgl+vPny46v5Iz1zhdSWQUxIZV50vexOhXRRFEIw2EE+elpUPl0EAkE+uiQugo&#10;utHFbDI5KzqHlUcnZAi0ez0c8nWOr5QU8V6pICPTJafaYl4xr9u0FusLWNUIvmnFWAb8QxUGWktJ&#10;X0NdQwS2w/avUKYV6IJT8UQ4UzilWiFzD9TNdPKum8cGvMy9EDnBv9IU/l9Ycbd/QNZWJV+cc2bB&#10;0Bt9J9bA1loy2iOCOh9W5PfoH3C0AsHUba/QpC/1wfpM6ssrqbKPTNDmYjmfL+ZzzgSdnc7OzunZ&#10;UtTieN1jiF+lMyyBkiPlz2TC/jbEwfXgkrIFp9vqptU6G0kp8koj2wO98baejsHfeGnLupLPFqeU&#10;mwkgoSkNkaDx1HqwNWega1KwiJhTv7md1XjMAUJIGz/Mk8q8htAMxeQgYznapmplluTYVeJ1YDKh&#10;2G/7/BDLdCPtbF31Qo+DblBt8OKmpfi3EOIDIMmUeqHRi/e0KO2oQTcizhqHvz7aT/6kHjrlrCPZ&#10;U/M/d4CSM/3Nkq7SjBwAHsD2AOzOXDlieUpD7UWGdAGjPkCFzjzTRG5SFjoCKyhXyYnqAV7FYfho&#10;ooXcbLITTYKHeGsfvUihE0+Jx6f+GdCPmogkpzt3GAhYvZPG4JtuWrfZRafarJsji6S3ZNAUZeWN&#10;E5/G9E87ex3/S+vfAAAA//8DAFBLAwQUAAYACAAAACEAcPvgK9wAAAAFAQAADwAAAGRycy9kb3du&#10;cmV2LnhtbEyPzU7DMBCE70i8g7VI3KjdIrUlxKkKUuHQA6KFuxtvfpR4HdluGt6ehQtcVhrNaObb&#10;fDO5XowYYutJw3ymQCCV3rZUa/g47u7WIGIyZE3vCTV8YYRNcX2Vm8z6C73jeEi14BKKmdHQpDRk&#10;UsayQWfizA9I7FU+OJNYhlraYC5c7nq5UGopnWmJFxoz4HODZXc4Ow2fXVfFvaru356O4+t2v3sJ&#10;yTqtb2+m7SOIhFP6C8MPPqNDwUwnfyYbRa+BH0m/l72H+XoF4qRhuVookEUu/9MX3wAAAP//AwBQ&#10;SwECLQAUAAYACAAAACEAtoM4kv4AAADhAQAAEwAAAAAAAAAAAAAAAAAAAAAAW0NvbnRlbnRfVHlw&#10;ZXNdLnhtbFBLAQItABQABgAIAAAAIQA4/SH/1gAAAJQBAAALAAAAAAAAAAAAAAAAAC8BAABfcmVs&#10;cy8ucmVsc1BLAQItABQABgAIAAAAIQDC9F3+ZgIAAN8EAAAOAAAAAAAAAAAAAAAAAC4CAABkcnMv&#10;ZTJvRG9jLnhtbFBLAQItABQABgAIAAAAIQBw++Ar3AAAAAUBAAAPAAAAAAAAAAAAAAAAAMAEAABk&#10;cnMvZG93bnJldi54bWxQSwUGAAAAAAQABADzAAAAyQUAAAAA&#10;" fillcolor="white [3212]" strokecolor="#4f81bd [3204]" strokeweight="2pt">
                <v:textbox inset="0,0,0,0">
                  <w:txbxContent>
                    <w:p w14:paraId="3053B384" w14:textId="1BD4B0F8" w:rsidR="00F942AB" w:rsidRPr="000428A5" w:rsidRDefault="00F942AB" w:rsidP="00F942AB">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F942AB">
                        <w:rPr>
                          <w:rFonts w:asciiTheme="majorHAnsi" w:eastAsiaTheme="majorEastAsia" w:hAnsiTheme="majorHAnsi" w:cstheme="majorBidi"/>
                          <w:caps/>
                          <w:color w:val="4F81BD" w:themeColor="accent1"/>
                          <w:szCs w:val="24"/>
                          <w:lang w:val="en-US"/>
                        </w:rPr>
                        <w:t>Box 5.</w:t>
                      </w:r>
                      <w:r>
                        <w:rPr>
                          <w:rFonts w:asciiTheme="majorHAnsi" w:eastAsiaTheme="majorEastAsia" w:hAnsiTheme="majorHAnsi" w:cstheme="majorBidi"/>
                          <w:caps/>
                          <w:color w:val="4F81BD" w:themeColor="accent1"/>
                          <w:szCs w:val="24"/>
                          <w:lang w:val="en-US"/>
                        </w:rPr>
                        <w:t>9</w:t>
                      </w:r>
                      <w:r w:rsidRPr="00F942AB">
                        <w:rPr>
                          <w:rFonts w:asciiTheme="majorHAnsi" w:eastAsiaTheme="majorEastAsia" w:hAnsiTheme="majorHAnsi" w:cstheme="majorBidi"/>
                          <w:caps/>
                          <w:color w:val="4F81BD" w:themeColor="accent1"/>
                          <w:szCs w:val="24"/>
                          <w:lang w:val="en-US"/>
                        </w:rPr>
                        <w:t xml:space="preserve"> METHODS APPLIED FOR MEASURE SELECTION AND PRIORITISATION IN RBMPS</w:t>
                      </w:r>
                    </w:p>
                    <w:p w14:paraId="161A8DF9" w14:textId="77777777" w:rsidR="00F942AB" w:rsidRPr="00462E28" w:rsidRDefault="00F942AB" w:rsidP="00462E28">
                      <w:pPr>
                        <w:pStyle w:val="WDBullets"/>
                        <w:ind w:left="567" w:right="213"/>
                        <w:jc w:val="both"/>
                        <w:rPr>
                          <w:rFonts w:ascii="Verdana" w:hAnsi="Verdana"/>
                        </w:rPr>
                      </w:pPr>
                      <w:r w:rsidRPr="00462E28">
                        <w:rPr>
                          <w:rFonts w:ascii="Verdana" w:hAnsi="Verdana"/>
                        </w:rPr>
                        <w:t xml:space="preserve">In </w:t>
                      </w:r>
                      <w:r w:rsidRPr="00462E28">
                        <w:rPr>
                          <w:rFonts w:ascii="Verdana" w:hAnsi="Verdana"/>
                          <w:b/>
                          <w:bCs/>
                        </w:rPr>
                        <w:t xml:space="preserve">Belgium </w:t>
                      </w:r>
                      <w:r w:rsidRPr="00462E28">
                        <w:rPr>
                          <w:rFonts w:ascii="Verdana" w:hAnsi="Verdana"/>
                        </w:rPr>
                        <w:t xml:space="preserve">(Flanders), </w:t>
                      </w:r>
                      <w:r w:rsidRPr="00462E28">
                        <w:rPr>
                          <w:rFonts w:ascii="Verdana" w:hAnsi="Verdana"/>
                          <w:b/>
                          <w:bCs/>
                        </w:rPr>
                        <w:t xml:space="preserve">MCA and CEA </w:t>
                      </w:r>
                      <w:r w:rsidRPr="00462E28">
                        <w:rPr>
                          <w:rFonts w:ascii="Verdana" w:hAnsi="Verdana"/>
                        </w:rPr>
                        <w:t xml:space="preserve">were combined to select the necessary measures: i) Cost-effectiveness analysis was used only for prioritisation of sewage infrastructure and wastewater treatment projects; and ii) Multi-criteria analysis was used for all other types of actions. It was mostly expert driven and included criteria such as cost effectiveness, feasibility, public support and coherence with other actions. In Wallonia, effectiveness was expressed as the amount of water bodies that would reach objectives as a result of the implementation of measures. </w:t>
                      </w:r>
                    </w:p>
                    <w:p w14:paraId="13C533B8" w14:textId="77777777" w:rsidR="00F942AB" w:rsidRPr="00462E28" w:rsidRDefault="00F942AB" w:rsidP="00462E28">
                      <w:pPr>
                        <w:pStyle w:val="WDBullets"/>
                        <w:ind w:left="567" w:right="213"/>
                        <w:jc w:val="both"/>
                        <w:rPr>
                          <w:rFonts w:ascii="Verdana" w:hAnsi="Verdana"/>
                        </w:rPr>
                      </w:pPr>
                      <w:r w:rsidRPr="00462E28">
                        <w:rPr>
                          <w:rFonts w:ascii="Verdana" w:hAnsi="Verdana"/>
                        </w:rPr>
                        <w:t xml:space="preserve">In </w:t>
                      </w:r>
                      <w:r w:rsidRPr="00462E28">
                        <w:rPr>
                          <w:rFonts w:ascii="Verdana" w:hAnsi="Verdana"/>
                          <w:b/>
                          <w:bCs/>
                        </w:rPr>
                        <w:t>Austria</w:t>
                      </w:r>
                      <w:r w:rsidRPr="00462E28">
                        <w:rPr>
                          <w:rFonts w:ascii="Verdana" w:hAnsi="Verdana"/>
                        </w:rPr>
                        <w:t xml:space="preserve">, a </w:t>
                      </w:r>
                      <w:r w:rsidRPr="00462E28">
                        <w:rPr>
                          <w:rFonts w:ascii="Verdana" w:hAnsi="Verdana"/>
                          <w:b/>
                          <w:bCs/>
                        </w:rPr>
                        <w:t xml:space="preserve">qualitative CEA </w:t>
                      </w:r>
                      <w:r w:rsidRPr="00462E28">
                        <w:rPr>
                          <w:rFonts w:ascii="Verdana" w:hAnsi="Verdana"/>
                        </w:rPr>
                        <w:t xml:space="preserve">of measures was applied using a concept of “step-wise reaching of objectives” by designating areas/regions as “priority areas” with different time-frames for achieving objectives while focusing on the main pressures (hydro-morphological). </w:t>
                      </w:r>
                    </w:p>
                    <w:p w14:paraId="0F5DDE68" w14:textId="77777777" w:rsidR="00F942AB" w:rsidRPr="00462E28" w:rsidRDefault="00F942AB" w:rsidP="00462E28">
                      <w:pPr>
                        <w:pStyle w:val="WDBullets"/>
                        <w:ind w:left="567" w:right="213"/>
                        <w:jc w:val="both"/>
                        <w:rPr>
                          <w:rFonts w:ascii="Verdana" w:hAnsi="Verdana"/>
                        </w:rPr>
                      </w:pPr>
                      <w:r w:rsidRPr="00462E28">
                        <w:rPr>
                          <w:rFonts w:ascii="Verdana" w:hAnsi="Verdana"/>
                        </w:rPr>
                        <w:t xml:space="preserve">In </w:t>
                      </w:r>
                      <w:r w:rsidRPr="00462E28">
                        <w:rPr>
                          <w:rFonts w:ascii="Verdana" w:hAnsi="Verdana"/>
                          <w:b/>
                          <w:bCs/>
                        </w:rPr>
                        <w:t>Cyprus</w:t>
                      </w:r>
                      <w:r w:rsidRPr="00462E28">
                        <w:rPr>
                          <w:rFonts w:ascii="Verdana" w:hAnsi="Verdana"/>
                        </w:rPr>
                        <w:t xml:space="preserve">, measures were ranked in terms of effectiveness based on </w:t>
                      </w:r>
                      <w:r w:rsidRPr="00462E28">
                        <w:rPr>
                          <w:rFonts w:ascii="Verdana" w:hAnsi="Verdana"/>
                          <w:b/>
                          <w:bCs/>
                        </w:rPr>
                        <w:t xml:space="preserve">multiple criteria </w:t>
                      </w:r>
                      <w:r w:rsidRPr="00462E28">
                        <w:rPr>
                          <w:rFonts w:ascii="Verdana" w:hAnsi="Verdana"/>
                        </w:rPr>
                        <w:t>such as the importance of the measure, the time required for implementation and for delivering results, the number of water bodies influenced, the relevance of the measure to climate change and cost where applicable (for measures for which capex/opex could be estimated).</w:t>
                      </w:r>
                    </w:p>
                    <w:p w14:paraId="1F29F6FA" w14:textId="77777777" w:rsidR="00F942AB" w:rsidRPr="00462E28" w:rsidRDefault="00F942AB" w:rsidP="00462E28">
                      <w:pPr>
                        <w:pStyle w:val="WDBullets"/>
                        <w:ind w:left="567" w:right="213"/>
                        <w:jc w:val="both"/>
                        <w:rPr>
                          <w:rFonts w:ascii="Verdana" w:hAnsi="Verdana"/>
                          <w:b/>
                          <w:bCs/>
                        </w:rPr>
                      </w:pPr>
                      <w:r w:rsidRPr="00462E28">
                        <w:rPr>
                          <w:rFonts w:ascii="Verdana" w:hAnsi="Verdana"/>
                          <w:b/>
                          <w:bCs/>
                        </w:rPr>
                        <w:t>In Sweden</w:t>
                      </w:r>
                      <w:r w:rsidRPr="00462E28">
                        <w:rPr>
                          <w:rFonts w:ascii="Verdana" w:hAnsi="Verdana"/>
                        </w:rPr>
                        <w:t>, new tools and</w:t>
                      </w:r>
                      <w:r w:rsidRPr="00462E28">
                        <w:rPr>
                          <w:rFonts w:ascii="Verdana" w:hAnsi="Verdana"/>
                          <w:b/>
                          <w:bCs/>
                        </w:rPr>
                        <w:t xml:space="preserve"> studies </w:t>
                      </w:r>
                      <w:r w:rsidRPr="00462E28">
                        <w:rPr>
                          <w:rFonts w:ascii="Verdana" w:hAnsi="Verdana"/>
                        </w:rPr>
                        <w:t xml:space="preserve">are being developed, e.g. new tools to aid decision making and to identify cost effective measures, including a study on Swedish households willingness to pay for improved water quality in lakes, streams and the coastal zone (SwAM, 2019). </w:t>
                      </w:r>
                    </w:p>
                  </w:txbxContent>
                </v:textbox>
                <w10:anchorlock/>
              </v:rect>
            </w:pict>
          </mc:Fallback>
        </mc:AlternateContent>
      </w:r>
    </w:p>
    <w:p w14:paraId="60C9749F" w14:textId="77777777" w:rsidR="00462E28" w:rsidRPr="00304A76" w:rsidRDefault="00462E28" w:rsidP="00F942AB">
      <w:pPr>
        <w:pStyle w:val="Body"/>
        <w:rPr>
          <w:lang w:val="en-US"/>
        </w:rPr>
      </w:pPr>
    </w:p>
    <w:p w14:paraId="6F15123B" w14:textId="77777777" w:rsidR="00F942AB" w:rsidRPr="00462E28" w:rsidRDefault="00F942AB" w:rsidP="00462E28">
      <w:pPr>
        <w:pStyle w:val="Body"/>
        <w:rPr>
          <w:b/>
          <w:bCs/>
          <w:color w:val="548DD4" w:themeColor="text2" w:themeTint="99"/>
          <w:lang w:val="en-US"/>
        </w:rPr>
      </w:pPr>
      <w:bookmarkStart w:id="84" w:name="_Toc59180780"/>
      <w:r w:rsidRPr="00462E28">
        <w:rPr>
          <w:b/>
          <w:bCs/>
          <w:color w:val="548DD4" w:themeColor="text2" w:themeTint="99"/>
          <w:lang w:val="en-US"/>
        </w:rPr>
        <w:t>Floods Directive</w:t>
      </w:r>
      <w:bookmarkEnd w:id="84"/>
    </w:p>
    <w:p w14:paraId="16696576" w14:textId="092D499D" w:rsidR="00F942AB" w:rsidRDefault="00F942AB" w:rsidP="00F942AB">
      <w:pPr>
        <w:pStyle w:val="Body"/>
        <w:rPr>
          <w:lang w:val="en-US"/>
        </w:rPr>
      </w:pPr>
      <w:r w:rsidRPr="00F942AB">
        <w:rPr>
          <w:lang w:val="en-US"/>
        </w:rPr>
        <w:t>The Floods Directive requires that countries prioritise measures in accordance with their flood risk management objectives outlined in the FRMPs.</w:t>
      </w:r>
      <w:r w:rsidRPr="00F942AB">
        <w:rPr>
          <w:b/>
          <w:bCs/>
          <w:lang w:val="en-US"/>
        </w:rPr>
        <w:t xml:space="preserve"> The majority</w:t>
      </w:r>
      <w:r w:rsidRPr="00F942AB">
        <w:rPr>
          <w:lang w:val="en-US"/>
        </w:rPr>
        <w:t xml:space="preserve">, 55% of the MSs, </w:t>
      </w:r>
      <w:r w:rsidRPr="00F942AB">
        <w:rPr>
          <w:b/>
          <w:bCs/>
          <w:lang w:val="en-US"/>
        </w:rPr>
        <w:t>report systematically</w:t>
      </w:r>
      <w:r w:rsidRPr="00F942AB">
        <w:rPr>
          <w:lang w:val="en-US"/>
        </w:rPr>
        <w:t xml:space="preserve"> </w:t>
      </w:r>
      <w:r w:rsidRPr="00F942AB">
        <w:rPr>
          <w:b/>
          <w:bCs/>
          <w:lang w:val="en-US"/>
        </w:rPr>
        <w:t>applying economic assessments</w:t>
      </w:r>
      <w:r w:rsidRPr="00F942AB">
        <w:rPr>
          <w:lang w:val="en-US"/>
        </w:rPr>
        <w:t xml:space="preserve">, such as cost-benefit analysis, multi-criteria analysis, or cost effectiveness analysis to evaluate flood risk mitigation measures in their FRMPs, see the figure below. Furthermore, 30% of the countries partially apply economic evaluation methods, meaning for example that: expert judgement is used to prioritize measures on the basis of their economic implications (Austria, Czech Republic); economic methods are not systematically applied in all FRMPs (Belgium, Denmark); only a subset of measures (protection measures mainly) are considered in economic assessments (Cyprus, Czech Republic); economic analyses are carried-out, but results are not aggregated nor reported in FRMPs (France, Latvia, Malta, Spain). </w:t>
      </w:r>
    </w:p>
    <w:p w14:paraId="296DD11F" w14:textId="74FC57DE" w:rsidR="00855342" w:rsidRDefault="00855342" w:rsidP="00F942AB">
      <w:pPr>
        <w:pStyle w:val="Body"/>
        <w:rPr>
          <w:lang w:val="en-US"/>
        </w:rPr>
      </w:pPr>
    </w:p>
    <w:p w14:paraId="0FC3D60A" w14:textId="3483E04C" w:rsidR="00855342" w:rsidRDefault="00855342" w:rsidP="00F942AB">
      <w:pPr>
        <w:pStyle w:val="Body"/>
        <w:rPr>
          <w:lang w:val="en-US"/>
        </w:rPr>
      </w:pPr>
    </w:p>
    <w:p w14:paraId="42409056" w14:textId="0510535E" w:rsidR="00855342" w:rsidRDefault="00855342" w:rsidP="00F942AB">
      <w:pPr>
        <w:pStyle w:val="Body"/>
        <w:rPr>
          <w:lang w:val="en-US"/>
        </w:rPr>
      </w:pPr>
    </w:p>
    <w:p w14:paraId="5E5AE502" w14:textId="0E9C5F4D" w:rsidR="00855342" w:rsidRDefault="00855342" w:rsidP="00F942AB">
      <w:pPr>
        <w:pStyle w:val="Body"/>
        <w:rPr>
          <w:lang w:val="en-US"/>
        </w:rPr>
      </w:pPr>
    </w:p>
    <w:p w14:paraId="2000BB35" w14:textId="2875E7A8" w:rsidR="00855342" w:rsidRDefault="00855342" w:rsidP="00F942AB">
      <w:pPr>
        <w:pStyle w:val="Body"/>
        <w:rPr>
          <w:lang w:val="en-US"/>
        </w:rPr>
      </w:pPr>
    </w:p>
    <w:p w14:paraId="4E44CDC1" w14:textId="539A2B39" w:rsidR="00855342" w:rsidRDefault="00855342" w:rsidP="00F942AB">
      <w:pPr>
        <w:pStyle w:val="Body"/>
        <w:rPr>
          <w:lang w:val="en-US"/>
        </w:rPr>
      </w:pPr>
    </w:p>
    <w:p w14:paraId="5C78FEE6" w14:textId="5F3840C3" w:rsidR="00855342" w:rsidRDefault="00855342" w:rsidP="00F942AB">
      <w:pPr>
        <w:pStyle w:val="Body"/>
        <w:rPr>
          <w:lang w:val="en-US"/>
        </w:rPr>
      </w:pPr>
    </w:p>
    <w:p w14:paraId="0C195F45" w14:textId="52C26B10" w:rsidR="00855342" w:rsidRDefault="00855342" w:rsidP="00F942AB">
      <w:pPr>
        <w:pStyle w:val="Body"/>
        <w:rPr>
          <w:lang w:val="en-US"/>
        </w:rPr>
      </w:pPr>
    </w:p>
    <w:p w14:paraId="079226BF" w14:textId="77777777" w:rsidR="00855342" w:rsidRPr="00F942AB" w:rsidRDefault="00855342" w:rsidP="00F942AB">
      <w:pPr>
        <w:pStyle w:val="Body"/>
        <w:rPr>
          <w:lang w:val="en-US"/>
        </w:rPr>
      </w:pPr>
    </w:p>
    <w:p w14:paraId="64661570" w14:textId="669A950C" w:rsidR="00F942AB" w:rsidRPr="00855342" w:rsidRDefault="00855342" w:rsidP="00855342">
      <w:pPr>
        <w:pStyle w:val="Caption"/>
        <w:rPr>
          <w:rFonts w:ascii="Verdana" w:hAnsi="Verdana"/>
          <w:color w:val="548DD4" w:themeColor="text2" w:themeTint="99"/>
          <w:sz w:val="18"/>
          <w:szCs w:val="18"/>
          <w:lang w:val="en-US"/>
        </w:rPr>
      </w:pPr>
      <w:bookmarkStart w:id="85" w:name="_Toc56669510"/>
      <w:bookmarkStart w:id="86" w:name="_Toc56776767"/>
      <w:bookmarkStart w:id="87" w:name="_Toc59181824"/>
      <w:r w:rsidRPr="00855342">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10</w:t>
      </w:r>
      <w:r w:rsidR="00E14072">
        <w:rPr>
          <w:rFonts w:ascii="Verdana" w:hAnsi="Verdana"/>
          <w:color w:val="548DD4" w:themeColor="text2" w:themeTint="99"/>
          <w:sz w:val="18"/>
          <w:szCs w:val="18"/>
          <w:lang w:val="en-US"/>
        </w:rPr>
        <w:fldChar w:fldCharType="end"/>
      </w:r>
      <w:r w:rsidRPr="00855342">
        <w:rPr>
          <w:rFonts w:ascii="Verdana" w:hAnsi="Verdana"/>
          <w:color w:val="548DD4" w:themeColor="text2" w:themeTint="99"/>
          <w:sz w:val="18"/>
          <w:szCs w:val="18"/>
          <w:lang w:val="en-US"/>
        </w:rPr>
        <w:t xml:space="preserve"> </w:t>
      </w:r>
      <w:r w:rsidR="00F942AB" w:rsidRPr="00855342">
        <w:rPr>
          <w:rFonts w:ascii="Verdana" w:hAnsi="Verdana"/>
          <w:color w:val="548DD4" w:themeColor="text2" w:themeTint="99"/>
          <w:sz w:val="18"/>
          <w:szCs w:val="18"/>
          <w:lang w:val="en-US"/>
        </w:rPr>
        <w:t>Application of economic ranking procedures to select and prioritize flood risk measures</w:t>
      </w:r>
      <w:bookmarkEnd w:id="85"/>
      <w:bookmarkEnd w:id="86"/>
      <w:bookmarkEnd w:id="87"/>
    </w:p>
    <w:p w14:paraId="3B516505" w14:textId="77777777" w:rsidR="00F942AB" w:rsidRPr="00736A50" w:rsidRDefault="00F942AB" w:rsidP="00F942AB">
      <w:pPr>
        <w:jc w:val="center"/>
      </w:pPr>
      <w:r w:rsidRPr="00D8338D">
        <w:rPr>
          <w:noProof/>
          <w:lang w:val="en-US"/>
        </w:rPr>
        <w:drawing>
          <wp:inline distT="0" distB="0" distL="0" distR="0" wp14:anchorId="2BF8500B" wp14:editId="702389EA">
            <wp:extent cx="4724400" cy="2545080"/>
            <wp:effectExtent l="0" t="0" r="0" b="7620"/>
            <wp:docPr id="22" name="Graphique 22">
              <a:extLst xmlns:a="http://schemas.openxmlformats.org/drawingml/2006/main">
                <a:ext uri="{FF2B5EF4-FFF2-40B4-BE49-F238E27FC236}">
                  <a16:creationId xmlns:a16="http://schemas.microsoft.com/office/drawing/2014/main" id="{467ECE49-0A6D-4197-95A1-F3787C2B2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C9D49E8" w14:textId="77777777" w:rsidR="00F942AB" w:rsidRPr="004679C7" w:rsidRDefault="00F942AB" w:rsidP="00F942AB">
      <w:pPr>
        <w:pStyle w:val="WDBodySmall"/>
        <w:rPr>
          <w:rFonts w:ascii="Verdana" w:hAnsi="Verdana"/>
        </w:rPr>
      </w:pPr>
      <w:r w:rsidRPr="004679C7">
        <w:rPr>
          <w:rFonts w:ascii="Verdana" w:hAnsi="Verdana"/>
        </w:rPr>
        <w:t>Source</w:t>
      </w:r>
      <w:r w:rsidRPr="004679C7">
        <w:rPr>
          <w:rFonts w:ascii="Verdana" w:hAnsi="Verdana"/>
          <w:szCs w:val="16"/>
        </w:rPr>
        <w:t>: Information provided by the MS in the context of this study</w:t>
      </w:r>
      <w:r w:rsidRPr="004679C7" w:rsidDel="000442C0">
        <w:rPr>
          <w:rFonts w:ascii="Verdana" w:hAnsi="Verdana"/>
        </w:rPr>
        <w:t xml:space="preserve"> </w:t>
      </w:r>
    </w:p>
    <w:p w14:paraId="792921FE" w14:textId="06D4F392" w:rsidR="00F942AB" w:rsidRDefault="00F942AB" w:rsidP="00F942AB">
      <w:pPr>
        <w:pStyle w:val="Body"/>
        <w:rPr>
          <w:lang w:val="en-US"/>
        </w:rPr>
      </w:pPr>
    </w:p>
    <w:p w14:paraId="3A0A0FE0" w14:textId="77777777" w:rsidR="00F942AB" w:rsidRPr="00F942AB" w:rsidRDefault="00F942AB" w:rsidP="00F942AB">
      <w:pPr>
        <w:pStyle w:val="Body"/>
        <w:rPr>
          <w:lang w:val="en-US"/>
        </w:rPr>
      </w:pPr>
      <w:r w:rsidRPr="00F942AB">
        <w:rPr>
          <w:lang w:val="en-US"/>
        </w:rPr>
        <w:t xml:space="preserve">Even though the majority of MSs apply some form of economic evaluation to rank and prioritize measures, applied methods are heterogeneous between and within countries. </w:t>
      </w:r>
    </w:p>
    <w:p w14:paraId="2F0FCEEE" w14:textId="2DC6904D" w:rsidR="00F942AB" w:rsidRDefault="00F942AB" w:rsidP="00F942AB">
      <w:pPr>
        <w:pStyle w:val="Body"/>
        <w:rPr>
          <w:lang w:val="en-US"/>
        </w:rPr>
      </w:pPr>
      <w:r w:rsidRPr="00F942AB">
        <w:rPr>
          <w:lang w:val="en-US"/>
        </w:rPr>
        <w:t>In the case of Belgium, Bulgaria, Estonia, Lithuania, and Romania, the results of cost-benefit assessments (benefit/cost ratios) are used as a criterion for the prioritization of measures. However, for the majority of MSs that reported applying economic assessments, it is</w:t>
      </w:r>
      <w:r w:rsidRPr="00F942AB">
        <w:rPr>
          <w:b/>
          <w:bCs/>
          <w:lang w:val="en-US"/>
        </w:rPr>
        <w:t xml:space="preserve"> unclear</w:t>
      </w:r>
      <w:r w:rsidRPr="00F942AB">
        <w:rPr>
          <w:lang w:val="en-US"/>
        </w:rPr>
        <w:t xml:space="preserve"> from the FRMPs if and how exactly the results of economic analyses have been used in the </w:t>
      </w:r>
      <w:r w:rsidRPr="00F942AB">
        <w:rPr>
          <w:b/>
          <w:bCs/>
          <w:lang w:val="en-US"/>
        </w:rPr>
        <w:t>selection and prioritization of measures</w:t>
      </w:r>
      <w:r w:rsidRPr="00F942AB">
        <w:rPr>
          <w:lang w:val="en-US"/>
        </w:rPr>
        <w:t xml:space="preserve">. </w:t>
      </w:r>
      <w:r w:rsidR="00E32799">
        <w:rPr>
          <w:lang w:val="en-US"/>
        </w:rPr>
        <w:t xml:space="preserve">Box 5.10 below </w:t>
      </w:r>
      <w:r w:rsidRPr="00F942AB">
        <w:rPr>
          <w:lang w:val="en-US"/>
        </w:rPr>
        <w:t xml:space="preserve">presents the example of Bulgaria that systematically prioritizes all flood measures based on a common national methodology across all river basin districts. </w:t>
      </w:r>
    </w:p>
    <w:p w14:paraId="359A9864" w14:textId="77777777" w:rsidR="00E32799" w:rsidRPr="00F942AB" w:rsidRDefault="00E32799" w:rsidP="00F942AB">
      <w:pPr>
        <w:pStyle w:val="Body"/>
        <w:rPr>
          <w:lang w:val="en-US"/>
        </w:rPr>
      </w:pPr>
    </w:p>
    <w:p w14:paraId="0C82500A" w14:textId="77777777" w:rsidR="00F942AB" w:rsidRPr="00736A50" w:rsidRDefault="00F942AB" w:rsidP="00F942AB">
      <w:pPr>
        <w:pStyle w:val="Body"/>
      </w:pPr>
      <w:r w:rsidRPr="00D8338D">
        <w:rPr>
          <w:rFonts w:ascii="Calibri" w:hAnsi="Calibri"/>
          <w:noProof/>
          <w:sz w:val="22"/>
          <w:highlight w:val="yellow"/>
          <w:lang w:val="en-US"/>
        </w:rPr>
        <mc:AlternateContent>
          <mc:Choice Requires="wps">
            <w:drawing>
              <wp:inline distT="0" distB="0" distL="0" distR="0" wp14:anchorId="1E6EC0A2" wp14:editId="22C6DF3D">
                <wp:extent cx="5833533" cy="4328160"/>
                <wp:effectExtent l="0" t="0" r="15240" b="15240"/>
                <wp:docPr id="23" name="Rectangle 23"/>
                <wp:cNvGraphicFramePr/>
                <a:graphic xmlns:a="http://schemas.openxmlformats.org/drawingml/2006/main">
                  <a:graphicData uri="http://schemas.microsoft.com/office/word/2010/wordprocessingShape">
                    <wps:wsp>
                      <wps:cNvSpPr/>
                      <wps:spPr>
                        <a:xfrm>
                          <a:off x="0" y="0"/>
                          <a:ext cx="5833533" cy="4328160"/>
                        </a:xfrm>
                        <a:prstGeom prst="rect">
                          <a:avLst/>
                        </a:prstGeom>
                        <a:solidFill>
                          <a:schemeClr val="bg1"/>
                        </a:solidFill>
                        <a:ln w="25400" cap="flat" cmpd="sng" algn="ctr">
                          <a:solidFill>
                            <a:schemeClr val="accent1"/>
                          </a:solidFill>
                          <a:prstDash val="solid"/>
                        </a:ln>
                        <a:effectLst/>
                      </wps:spPr>
                      <wps:txbx>
                        <w:txbxContent>
                          <w:p w14:paraId="6DF7BC6E" w14:textId="58C49485" w:rsidR="00F942AB" w:rsidRPr="000428A5" w:rsidRDefault="00F942AB" w:rsidP="00F942AB">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F942AB">
                              <w:rPr>
                                <w:rFonts w:asciiTheme="majorHAnsi" w:eastAsiaTheme="majorEastAsia" w:hAnsiTheme="majorHAnsi" w:cstheme="majorBidi"/>
                                <w:caps/>
                                <w:color w:val="4F81BD" w:themeColor="accent1"/>
                                <w:szCs w:val="24"/>
                                <w:lang w:val="en-US"/>
                              </w:rPr>
                              <w:t>Box 5.</w:t>
                            </w:r>
                            <w:r>
                              <w:rPr>
                                <w:rFonts w:asciiTheme="majorHAnsi" w:eastAsiaTheme="majorEastAsia" w:hAnsiTheme="majorHAnsi" w:cstheme="majorBidi"/>
                                <w:caps/>
                                <w:color w:val="4F81BD" w:themeColor="accent1"/>
                                <w:szCs w:val="24"/>
                                <w:lang w:val="en-US"/>
                              </w:rPr>
                              <w:t>10</w:t>
                            </w:r>
                            <w:r w:rsidRPr="00F942AB">
                              <w:rPr>
                                <w:rFonts w:asciiTheme="majorHAnsi" w:eastAsiaTheme="majorEastAsia" w:hAnsiTheme="majorHAnsi" w:cstheme="majorBidi"/>
                                <w:caps/>
                                <w:color w:val="4F81BD" w:themeColor="accent1"/>
                                <w:szCs w:val="24"/>
                                <w:lang w:val="en-US"/>
                              </w:rPr>
                              <w:t xml:space="preserve"> The use of cost-benefit analysis to select and prioritize flood measures in Bulgaria</w:t>
                            </w:r>
                          </w:p>
                          <w:p w14:paraId="5404BCC6" w14:textId="77777777" w:rsidR="00F942AB" w:rsidRPr="00F942AB" w:rsidRDefault="00F942AB" w:rsidP="00E32799">
                            <w:pPr>
                              <w:pStyle w:val="Body"/>
                              <w:ind w:left="142" w:right="213"/>
                              <w:rPr>
                                <w:lang w:val="en-US"/>
                              </w:rPr>
                            </w:pPr>
                            <w:r w:rsidRPr="00F942AB">
                              <w:rPr>
                                <w:lang w:val="en-US"/>
                              </w:rPr>
                              <w:t xml:space="preserve">In Bulgaria, CBA was used for the prioritisation and planning of all measures included in the four FRMPs. A national CBA methodology was applied in all FRMPs based on the 'Guide to Cost-Benefit Analysis of Investment Projects: Economic Appraisal Tool for Cohesion Policy 2014 - 2020'. </w:t>
                            </w:r>
                          </w:p>
                          <w:p w14:paraId="54CAD8A9" w14:textId="77777777" w:rsidR="00F942AB" w:rsidRPr="00347222" w:rsidRDefault="00F942AB" w:rsidP="00E32799">
                            <w:pPr>
                              <w:pStyle w:val="Body"/>
                              <w:ind w:left="142" w:right="213"/>
                            </w:pPr>
                            <w:r w:rsidRPr="00F942AB">
                              <w:rPr>
                                <w:lang w:val="en-US"/>
                              </w:rPr>
                              <w:t xml:space="preserve">To select the most appropriate combination of measures for each specific APSFR, a multi-criteria analysis was used to evaluate the various flood risk management options in that APSFR. The assessment is based on the application of several basic criteria. </w:t>
                            </w:r>
                            <w:r w:rsidRPr="00347222">
                              <w:t xml:space="preserve">The evaluation criteria include:  </w:t>
                            </w:r>
                          </w:p>
                          <w:p w14:paraId="04E6B858"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Effectiveness of the selected combination for risk reduction; </w:t>
                            </w:r>
                          </w:p>
                          <w:p w14:paraId="223ABF7E"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Cost comparison of measures; </w:t>
                            </w:r>
                          </w:p>
                          <w:p w14:paraId="42D10F1A"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Comparison of benefit / cost ratio between different combinations of measures; </w:t>
                            </w:r>
                          </w:p>
                          <w:p w14:paraId="693D397A"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Impact of the relevant combination of measures on the environment; </w:t>
                            </w:r>
                          </w:p>
                          <w:p w14:paraId="6CD2DFC6"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Impact of the relevant combination of measures on public well-being / social impact; </w:t>
                            </w:r>
                          </w:p>
                          <w:p w14:paraId="70DFA2B1"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Impact on other social aspects such as the development of transport and employment; </w:t>
                            </w:r>
                          </w:p>
                          <w:p w14:paraId="4E715291" w14:textId="77777777" w:rsidR="00F942AB" w:rsidRPr="00E32799" w:rsidRDefault="00F942AB" w:rsidP="00E32799">
                            <w:pPr>
                              <w:pStyle w:val="WDBullets"/>
                              <w:ind w:left="567" w:right="213"/>
                              <w:jc w:val="both"/>
                              <w:rPr>
                                <w:rFonts w:ascii="Verdana" w:hAnsi="Verdana"/>
                              </w:rPr>
                            </w:pPr>
                            <w:r w:rsidRPr="00E32799">
                              <w:rPr>
                                <w:rFonts w:ascii="Verdana" w:hAnsi="Verdana"/>
                              </w:rPr>
                              <w:t>Impact on society opportunities for recreation.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1E6EC0A2" id="Rectangle 23" o:spid="_x0000_s1035" style="width:459.35pt;height:3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9waAIAAN8EAAAOAAAAZHJzL2Uyb0RvYy54bWysVE1P3DAQvVfqf7B8L9kPQHRFFq1AVJUQ&#10;IJaK86zjfEiO7dreTeiv77OTQKGcql6cGXs8M+/5Tc4v+laxg3S+MTrn86MZZ1ILUzS6yvmPx+sv&#10;Z5z5QLogZbTM+bP0/GL9+dN5Z1dyYWqjCukYkmi/6mzO6xDsKsu8qGVL/shYqXFYGtdSgOuqrHDU&#10;IXurssVsdpp1xhXWGSG9x+7VcMjXKX9ZShHuytLLwFTO0VtIq0vrLq7Z+pxWlSNbN2Jsg/6hi5Ya&#10;jaIvqa4oENu75q9UbSOc8aYMR8K0mSnLRsiEAWjms3dotjVZmbCAHG9faPL/L624Pdw71hQ5Xyw5&#10;09TijR7AGulKSYY9ENRZv0Lc1t670fMwI9q+dG38AgfrE6nPL6TKPjCBzZOz5fJkieQCZ8fLxdn8&#10;NNGevV63zodv0rQsGjl3qJ/IpMONDyiJ0CkkVvNGNcV1o1RyolLkpXLsQHjjXTWPLePGmyilWQeI&#10;J8cziEAQhFYqCjBbC+heV5yRqqBgEVwq/eZ2UuNrDRJC6vBhndjmFfl6aCYlGdtROnYrkyRHVJHX&#10;gclohX7Xp4f4OnG+M8UzHseZQbXeiusG+W/Ih3tykCmwYPTCHZZSGQA0o8VZbdyvj/ZjPNSDU846&#10;yB7gf+7JSc7Udw1dxRmZDDcZu8nQ+/bSgOU5htqKZOKCC2oyS2faJ0zkJlbBEWmBWjkH1YN5GYbh&#10;w0QLudmkIEyCpXCjt1bE1JGnyONj/0TOjpoIkNOtmQaCVu+kMcTGm9ps9sGUTdJN5HVgEZKIDqYo&#10;iWOc+Dimf/op6vW/tP4NAAD//wMAUEsDBBQABgAIAAAAIQCHMoBV2wAAAAUBAAAPAAAAZHJzL2Rv&#10;d25yZXYueG1sTI/NTsMwEITvSLyDtUjcqBOQQghxqoJUOPSAaOHuxpsfJV5H9jYNb4/hApeVRjOa&#10;+bZcL3YUM/rQO1KQrhIQSLUzPbUKPg7bmxxEYE1Gj45QwRcGWFeXF6UujDvTO857bkUsoVBoBR3z&#10;VEgZ6g6tDis3IUWvcd5qjtK30nh9juV2lLdJkkmre4oLnZ7wucN62J+sgs9haMIuae7eng7z62a3&#10;ffFsrFLXV8vmEQTjwn9h+MGP6FBFpqM7kQliVBAf4d8bvYc0vwdxVJDlaQayKuV/+uobAAD//wMA&#10;UEsBAi0AFAAGAAgAAAAhALaDOJL+AAAA4QEAABMAAAAAAAAAAAAAAAAAAAAAAFtDb250ZW50X1R5&#10;cGVzXS54bWxQSwECLQAUAAYACAAAACEAOP0h/9YAAACUAQAACwAAAAAAAAAAAAAAAAAvAQAAX3Jl&#10;bHMvLnJlbHNQSwECLQAUAAYACAAAACEAK2gvcGgCAADfBAAADgAAAAAAAAAAAAAAAAAuAgAAZHJz&#10;L2Uyb0RvYy54bWxQSwECLQAUAAYACAAAACEAhzKAVdsAAAAFAQAADwAAAAAAAAAAAAAAAADCBAAA&#10;ZHJzL2Rvd25yZXYueG1sUEsFBgAAAAAEAAQA8wAAAMoFAAAAAA==&#10;" fillcolor="white [3212]" strokecolor="#4f81bd [3204]" strokeweight="2pt">
                <v:textbox inset="0,0,0,0">
                  <w:txbxContent>
                    <w:p w14:paraId="6DF7BC6E" w14:textId="58C49485" w:rsidR="00F942AB" w:rsidRPr="000428A5" w:rsidRDefault="00F942AB" w:rsidP="00F942AB">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F942AB">
                        <w:rPr>
                          <w:rFonts w:asciiTheme="majorHAnsi" w:eastAsiaTheme="majorEastAsia" w:hAnsiTheme="majorHAnsi" w:cstheme="majorBidi"/>
                          <w:caps/>
                          <w:color w:val="4F81BD" w:themeColor="accent1"/>
                          <w:szCs w:val="24"/>
                          <w:lang w:val="en-US"/>
                        </w:rPr>
                        <w:t>Box 5.</w:t>
                      </w:r>
                      <w:r>
                        <w:rPr>
                          <w:rFonts w:asciiTheme="majorHAnsi" w:eastAsiaTheme="majorEastAsia" w:hAnsiTheme="majorHAnsi" w:cstheme="majorBidi"/>
                          <w:caps/>
                          <w:color w:val="4F81BD" w:themeColor="accent1"/>
                          <w:szCs w:val="24"/>
                          <w:lang w:val="en-US"/>
                        </w:rPr>
                        <w:t>10</w:t>
                      </w:r>
                      <w:r w:rsidRPr="00F942AB">
                        <w:rPr>
                          <w:rFonts w:asciiTheme="majorHAnsi" w:eastAsiaTheme="majorEastAsia" w:hAnsiTheme="majorHAnsi" w:cstheme="majorBidi"/>
                          <w:caps/>
                          <w:color w:val="4F81BD" w:themeColor="accent1"/>
                          <w:szCs w:val="24"/>
                          <w:lang w:val="en-US"/>
                        </w:rPr>
                        <w:t xml:space="preserve"> The use of cost-benefit analysis to select and prioritize flood measures in Bulgaria</w:t>
                      </w:r>
                    </w:p>
                    <w:p w14:paraId="5404BCC6" w14:textId="77777777" w:rsidR="00F942AB" w:rsidRPr="00F942AB" w:rsidRDefault="00F942AB" w:rsidP="00E32799">
                      <w:pPr>
                        <w:pStyle w:val="Body"/>
                        <w:ind w:left="142" w:right="213"/>
                        <w:rPr>
                          <w:lang w:val="en-US"/>
                        </w:rPr>
                      </w:pPr>
                      <w:r w:rsidRPr="00F942AB">
                        <w:rPr>
                          <w:lang w:val="en-US"/>
                        </w:rPr>
                        <w:t xml:space="preserve">In Bulgaria, CBA was used for the prioritisation and planning of all measures included in the four FRMPs. A national CBA methodology was applied in all FRMPs based on the 'Guide to Cost-Benefit Analysis of Investment Projects: Economic Appraisal Tool for Cohesion Policy 2014 - 2020'. </w:t>
                      </w:r>
                    </w:p>
                    <w:p w14:paraId="54CAD8A9" w14:textId="77777777" w:rsidR="00F942AB" w:rsidRPr="00347222" w:rsidRDefault="00F942AB" w:rsidP="00E32799">
                      <w:pPr>
                        <w:pStyle w:val="Body"/>
                        <w:ind w:left="142" w:right="213"/>
                      </w:pPr>
                      <w:r w:rsidRPr="00F942AB">
                        <w:rPr>
                          <w:lang w:val="en-US"/>
                        </w:rPr>
                        <w:t xml:space="preserve">To select the most appropriate combination of measures for each specific APSFR, a multi-criteria analysis was used to evaluate the various flood risk management options in that APSFR. The assessment is based on the application of several basic criteria. </w:t>
                      </w:r>
                      <w:r w:rsidRPr="00347222">
                        <w:t xml:space="preserve">The evaluation criteria include:  </w:t>
                      </w:r>
                    </w:p>
                    <w:p w14:paraId="04E6B858"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Effectiveness of the selected combination for risk reduction; </w:t>
                      </w:r>
                    </w:p>
                    <w:p w14:paraId="223ABF7E"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Cost comparison of measures; </w:t>
                      </w:r>
                    </w:p>
                    <w:p w14:paraId="42D10F1A"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Comparison of benefit / cost ratio between different combinations of measures; </w:t>
                      </w:r>
                    </w:p>
                    <w:p w14:paraId="693D397A"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Impact of the relevant combination of measures on the environment; </w:t>
                      </w:r>
                    </w:p>
                    <w:p w14:paraId="6CD2DFC6"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Impact of the relevant combination of measures on public well-being / social impact; </w:t>
                      </w:r>
                    </w:p>
                    <w:p w14:paraId="70DFA2B1" w14:textId="77777777" w:rsidR="00F942AB" w:rsidRPr="00E32799" w:rsidRDefault="00F942AB" w:rsidP="00E32799">
                      <w:pPr>
                        <w:pStyle w:val="WDBullets"/>
                        <w:ind w:left="567" w:right="213"/>
                        <w:jc w:val="both"/>
                        <w:rPr>
                          <w:rFonts w:ascii="Verdana" w:hAnsi="Verdana"/>
                        </w:rPr>
                      </w:pPr>
                      <w:r w:rsidRPr="00E32799">
                        <w:rPr>
                          <w:rFonts w:ascii="Verdana" w:hAnsi="Verdana"/>
                        </w:rPr>
                        <w:t xml:space="preserve">Impact on other social aspects such as the development of transport and employment; </w:t>
                      </w:r>
                    </w:p>
                    <w:p w14:paraId="4E715291" w14:textId="77777777" w:rsidR="00F942AB" w:rsidRPr="00E32799" w:rsidRDefault="00F942AB" w:rsidP="00E32799">
                      <w:pPr>
                        <w:pStyle w:val="WDBullets"/>
                        <w:ind w:left="567" w:right="213"/>
                        <w:jc w:val="both"/>
                        <w:rPr>
                          <w:rFonts w:ascii="Verdana" w:hAnsi="Verdana"/>
                        </w:rPr>
                      </w:pPr>
                      <w:r w:rsidRPr="00E32799">
                        <w:rPr>
                          <w:rFonts w:ascii="Verdana" w:hAnsi="Verdana"/>
                        </w:rPr>
                        <w:t>Impact on society opportunities for recreation.</w:t>
                      </w:r>
                    </w:p>
                  </w:txbxContent>
                </v:textbox>
                <w10:anchorlock/>
              </v:rect>
            </w:pict>
          </mc:Fallback>
        </mc:AlternateContent>
      </w:r>
    </w:p>
    <w:p w14:paraId="7E453F5C" w14:textId="77777777" w:rsidR="00F942AB" w:rsidRPr="00736A50" w:rsidRDefault="00F942AB" w:rsidP="00F942AB">
      <w:pPr>
        <w:pStyle w:val="WDBodySmall"/>
      </w:pPr>
      <w:r w:rsidRPr="000F4CBE">
        <w:t>S</w:t>
      </w:r>
      <w:r w:rsidRPr="00736A50">
        <w:t>ource: Data extracted from the country fiches by the project team</w:t>
      </w:r>
    </w:p>
    <w:p w14:paraId="419CA14F" w14:textId="77777777" w:rsidR="00F942AB" w:rsidRPr="00F942AB" w:rsidRDefault="00F942AB" w:rsidP="00F942AB">
      <w:pPr>
        <w:pStyle w:val="Body"/>
        <w:rPr>
          <w:lang w:val="en-US"/>
        </w:rPr>
      </w:pPr>
    </w:p>
    <w:p w14:paraId="30E53B54" w14:textId="77777777" w:rsidR="00F942AB" w:rsidRPr="00F942AB" w:rsidRDefault="00F942AB" w:rsidP="00F942AB">
      <w:pPr>
        <w:pStyle w:val="Body"/>
        <w:rPr>
          <w:lang w:val="en-US"/>
        </w:rPr>
      </w:pPr>
      <w:r w:rsidRPr="00F942AB">
        <w:rPr>
          <w:lang w:val="en-US"/>
        </w:rPr>
        <w:t xml:space="preserve">The completeness of cost-benefit analyses differs across applications in terms of the benefits considered. Most cost-benefit analyses consider the avoided damage as the main benefit category, probably as a result of data availability (e.g. Cyprus, Finland, Greece, Lithuania, Slovakia). Due to methodological difficulties, </w:t>
      </w:r>
      <w:r w:rsidRPr="00F942AB">
        <w:rPr>
          <w:b/>
          <w:bCs/>
          <w:lang w:val="en-US"/>
        </w:rPr>
        <w:t>the environmental benefits of measures are rarely considered</w:t>
      </w:r>
      <w:r w:rsidRPr="00F942AB">
        <w:rPr>
          <w:lang w:val="en-US"/>
        </w:rPr>
        <w:t xml:space="preserve"> in such analyses even though they may have an important effect on the outcome of cost-benefit analyses. </w:t>
      </w:r>
      <w:bookmarkStart w:id="88" w:name="_Hlk58950894"/>
      <w:r w:rsidRPr="00F942AB">
        <w:rPr>
          <w:lang w:val="en-US"/>
        </w:rPr>
        <w:t>This is in line with findings of the Commission’s evaluation report, which stresses that across all MS, there is little reference to impacts on ecosystem services</w:t>
      </w:r>
      <w:r w:rsidRPr="00736A50">
        <w:rPr>
          <w:rStyle w:val="FootnoteReference"/>
        </w:rPr>
        <w:footnoteReference w:id="47"/>
      </w:r>
      <w:r w:rsidRPr="00F942AB">
        <w:rPr>
          <w:lang w:val="en-US"/>
        </w:rPr>
        <w:t xml:space="preserve">. </w:t>
      </w:r>
    </w:p>
    <w:bookmarkEnd w:id="88"/>
    <w:p w14:paraId="6521C102" w14:textId="77777777" w:rsidR="00F942AB" w:rsidRPr="00F942AB" w:rsidRDefault="00F942AB" w:rsidP="00F942AB">
      <w:pPr>
        <w:pStyle w:val="Body"/>
        <w:rPr>
          <w:lang w:val="en-US"/>
        </w:rPr>
      </w:pPr>
      <w:r w:rsidRPr="00F942AB">
        <w:rPr>
          <w:lang w:val="en-US"/>
        </w:rPr>
        <w:t xml:space="preserve">The inclusion of environmental benefits in economic appraisals is especially important for the evaluation of nature-based solutions (“natural flood protection measures”, Natural Water Retention Measures, Green Infrastructure or alike) as they reduce flood risk and produce different co-benefits as a result of their multifunctionality. To consider potential co-benefits in economic assessments, some Member States </w:t>
      </w:r>
      <w:r w:rsidRPr="00F942AB">
        <w:rPr>
          <w:b/>
          <w:bCs/>
          <w:lang w:val="en-US"/>
        </w:rPr>
        <w:t>combine cost-benefit analysis with multi-criteria analysis</w:t>
      </w:r>
      <w:r w:rsidRPr="00F942AB">
        <w:rPr>
          <w:lang w:val="en-US"/>
        </w:rPr>
        <w:t xml:space="preserve"> (e.g. Bulgaria, Finland, Ireland, Lithuania, Romania). Multi-criteria analyses are particularly relevant when only part of the environmental (and other non-market) benefits can be captured in monetary terms and when it is expected that these impacts will be decisive for assessment results and measure prioritization. </w:t>
      </w:r>
      <w:bookmarkStart w:id="89" w:name="_Hlk58950903"/>
      <w:r w:rsidRPr="00F942AB">
        <w:rPr>
          <w:lang w:val="en-US"/>
        </w:rPr>
        <w:t>There is a need to build a coherent analytical framework to better support decision-makers in their choice amongst green, grey and hybrid infrastructure solutions</w:t>
      </w:r>
      <w:r w:rsidRPr="00736A50">
        <w:rPr>
          <w:rStyle w:val="FootnoteReference"/>
        </w:rPr>
        <w:footnoteReference w:id="48"/>
      </w:r>
      <w:r w:rsidRPr="00F942AB">
        <w:rPr>
          <w:lang w:val="en-US"/>
        </w:rPr>
        <w:t xml:space="preserve">. </w:t>
      </w:r>
    </w:p>
    <w:bookmarkEnd w:id="89"/>
    <w:p w14:paraId="5AF64C1B" w14:textId="056EB355" w:rsidR="00F942AB" w:rsidRDefault="00F942AB" w:rsidP="00F942AB">
      <w:pPr>
        <w:pStyle w:val="Body"/>
        <w:rPr>
          <w:lang w:val="en-US"/>
        </w:rPr>
      </w:pPr>
      <w:r w:rsidRPr="00F942AB">
        <w:rPr>
          <w:lang w:val="en-US"/>
        </w:rPr>
        <w:t xml:space="preserve">An integrated approach for the coordination of the Floods Directive and Water Framework Directive is required in order to identify cost-effective measures which serve multiple objectives from both Directives and can result in the implementation of </w:t>
      </w:r>
      <w:r w:rsidRPr="00F942AB">
        <w:rPr>
          <w:b/>
          <w:bCs/>
          <w:lang w:val="en-US"/>
        </w:rPr>
        <w:t>“win-win measures”</w:t>
      </w:r>
      <w:r w:rsidRPr="00F942AB">
        <w:rPr>
          <w:lang w:val="en-US"/>
        </w:rPr>
        <w:t xml:space="preserve">. The WFD and the FD have a high level of synergy between them. Flood measures can have multiple benefits beyond those related to their immediate objectives, for example, natural flood measures could contribute to the achievement of both FD and WFD objectives and conversely, WFD measures to restore the hydromorphology of water bodies can contribute to reducing flood risk. However, </w:t>
      </w:r>
      <w:r w:rsidRPr="00F942AB">
        <w:rPr>
          <w:b/>
          <w:bCs/>
          <w:lang w:val="en-US"/>
        </w:rPr>
        <w:t>economic assessment methods to prioritise synergistic measures in the appraisal of programmes of measures are currently lacking</w:t>
      </w:r>
      <w:r w:rsidRPr="00736A50">
        <w:rPr>
          <w:rStyle w:val="FootnoteReference"/>
          <w:b/>
          <w:bCs/>
        </w:rPr>
        <w:footnoteReference w:id="49"/>
      </w:r>
      <w:r w:rsidRPr="00F942AB">
        <w:rPr>
          <w:b/>
          <w:bCs/>
          <w:lang w:val="en-US"/>
        </w:rPr>
        <w:t>,</w:t>
      </w:r>
      <w:r>
        <w:rPr>
          <w:rStyle w:val="FootnoteReference"/>
          <w:b/>
          <w:bCs/>
        </w:rPr>
        <w:footnoteReference w:id="50"/>
      </w:r>
      <w:r w:rsidRPr="00F942AB">
        <w:rPr>
          <w:lang w:val="en-US"/>
        </w:rPr>
        <w:t xml:space="preserve">. Few examples of MSs that apply economic appraisal methods that explicitly account for synergies exist, two examples from Luxembourg and Cyprus are presented in </w:t>
      </w:r>
      <w:r w:rsidR="00E32799">
        <w:rPr>
          <w:lang w:val="en-US"/>
        </w:rPr>
        <w:t>Box 5.11</w:t>
      </w:r>
      <w:r w:rsidRPr="00F942AB">
        <w:rPr>
          <w:lang w:val="en-US"/>
        </w:rPr>
        <w:t xml:space="preserve">. Several countries indicated that there is a need to develop measure selection and prioritisation approaches that account for synergies between the WFD and the FD (Belgium, Sweden).   </w:t>
      </w:r>
    </w:p>
    <w:p w14:paraId="02E288E4" w14:textId="77777777" w:rsidR="001467E6" w:rsidRPr="00F942AB" w:rsidRDefault="001467E6" w:rsidP="00F942AB">
      <w:pPr>
        <w:pStyle w:val="Body"/>
        <w:rPr>
          <w:lang w:val="en-US"/>
        </w:rPr>
      </w:pPr>
    </w:p>
    <w:p w14:paraId="35D2949B" w14:textId="77777777" w:rsidR="00F942AB" w:rsidRPr="00736A50" w:rsidRDefault="00F942AB" w:rsidP="00F942AB">
      <w:pPr>
        <w:pStyle w:val="Body"/>
      </w:pPr>
      <w:r w:rsidRPr="00D8338D">
        <w:rPr>
          <w:rFonts w:ascii="Calibri" w:hAnsi="Calibri"/>
          <w:noProof/>
          <w:sz w:val="22"/>
          <w:highlight w:val="yellow"/>
          <w:lang w:val="en-US"/>
        </w:rPr>
        <mc:AlternateContent>
          <mc:Choice Requires="wps">
            <w:drawing>
              <wp:inline distT="0" distB="0" distL="0" distR="0" wp14:anchorId="60165AA1" wp14:editId="10E9AED5">
                <wp:extent cx="5833533" cy="2453640"/>
                <wp:effectExtent l="0" t="0" r="15240" b="22860"/>
                <wp:docPr id="24" name="Rectangle 24"/>
                <wp:cNvGraphicFramePr/>
                <a:graphic xmlns:a="http://schemas.openxmlformats.org/drawingml/2006/main">
                  <a:graphicData uri="http://schemas.microsoft.com/office/word/2010/wordprocessingShape">
                    <wps:wsp>
                      <wps:cNvSpPr/>
                      <wps:spPr>
                        <a:xfrm>
                          <a:off x="0" y="0"/>
                          <a:ext cx="5833533" cy="2453640"/>
                        </a:xfrm>
                        <a:prstGeom prst="rect">
                          <a:avLst/>
                        </a:prstGeom>
                        <a:solidFill>
                          <a:schemeClr val="bg1"/>
                        </a:solidFill>
                        <a:ln w="25400" cap="flat" cmpd="sng" algn="ctr">
                          <a:solidFill>
                            <a:schemeClr val="accent1"/>
                          </a:solidFill>
                          <a:prstDash val="solid"/>
                        </a:ln>
                        <a:effectLst/>
                      </wps:spPr>
                      <wps:txbx>
                        <w:txbxContent>
                          <w:p w14:paraId="07317F5F" w14:textId="15D9EE97" w:rsidR="00F942AB" w:rsidRPr="000428A5" w:rsidRDefault="00F942AB" w:rsidP="00F942AB">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F942AB">
                              <w:rPr>
                                <w:rFonts w:asciiTheme="majorHAnsi" w:eastAsiaTheme="majorEastAsia" w:hAnsiTheme="majorHAnsi" w:cstheme="majorBidi"/>
                                <w:caps/>
                                <w:color w:val="4F81BD" w:themeColor="accent1"/>
                                <w:szCs w:val="24"/>
                                <w:lang w:val="en-US"/>
                              </w:rPr>
                              <w:t>Box 5.1</w:t>
                            </w:r>
                            <w:r>
                              <w:rPr>
                                <w:rFonts w:asciiTheme="majorHAnsi" w:eastAsiaTheme="majorEastAsia" w:hAnsiTheme="majorHAnsi" w:cstheme="majorBidi"/>
                                <w:caps/>
                                <w:color w:val="4F81BD" w:themeColor="accent1"/>
                                <w:szCs w:val="24"/>
                                <w:lang w:val="en-US"/>
                              </w:rPr>
                              <w:t>1</w:t>
                            </w:r>
                            <w:r w:rsidRPr="00F942AB">
                              <w:rPr>
                                <w:rFonts w:asciiTheme="majorHAnsi" w:eastAsiaTheme="majorEastAsia" w:hAnsiTheme="majorHAnsi" w:cstheme="majorBidi"/>
                                <w:caps/>
                                <w:color w:val="4F81BD" w:themeColor="accent1"/>
                                <w:szCs w:val="24"/>
                                <w:lang w:val="en-US"/>
                              </w:rPr>
                              <w:t xml:space="preserve"> The use of cost-benefit analysis to select and prioritize flood measures</w:t>
                            </w:r>
                          </w:p>
                          <w:p w14:paraId="10F00A4D" w14:textId="77777777" w:rsidR="00F942AB" w:rsidRPr="00696E04" w:rsidRDefault="00F942AB" w:rsidP="00696E04">
                            <w:pPr>
                              <w:pStyle w:val="WDBullets"/>
                              <w:ind w:left="567" w:right="213"/>
                              <w:jc w:val="both"/>
                              <w:rPr>
                                <w:rFonts w:ascii="Verdana" w:hAnsi="Verdana"/>
                              </w:rPr>
                            </w:pPr>
                            <w:r w:rsidRPr="00696E04">
                              <w:rPr>
                                <w:rFonts w:ascii="Verdana" w:hAnsi="Verdana"/>
                              </w:rPr>
                              <w:t xml:space="preserve">In </w:t>
                            </w:r>
                            <w:r w:rsidRPr="00696E04">
                              <w:rPr>
                                <w:rFonts w:ascii="Verdana" w:hAnsi="Verdana"/>
                                <w:b/>
                                <w:bCs/>
                              </w:rPr>
                              <w:t>Luxembourg</w:t>
                            </w:r>
                            <w:r w:rsidRPr="00696E04">
                              <w:rPr>
                                <w:rFonts w:ascii="Verdana" w:hAnsi="Verdana"/>
                              </w:rPr>
                              <w:t xml:space="preserve">, the relevance of selected measures to the environmental objectives of the WFD was assessed in a semi-quantitative effectiveness analysis resulting in five categories of effectiveness (scale from zero to ++++). </w:t>
                            </w:r>
                          </w:p>
                          <w:p w14:paraId="63C7D495" w14:textId="77777777" w:rsidR="00F942AB" w:rsidRPr="00696E04" w:rsidRDefault="00F942AB" w:rsidP="00696E04">
                            <w:pPr>
                              <w:pStyle w:val="WDBullets"/>
                              <w:ind w:left="567" w:right="213"/>
                              <w:jc w:val="both"/>
                              <w:rPr>
                                <w:rFonts w:ascii="Verdana" w:hAnsi="Verdana"/>
                              </w:rPr>
                            </w:pPr>
                            <w:r w:rsidRPr="00696E04">
                              <w:rPr>
                                <w:rFonts w:ascii="Verdana" w:hAnsi="Verdana"/>
                              </w:rPr>
                              <w:t xml:space="preserve">In </w:t>
                            </w:r>
                            <w:r w:rsidRPr="00696E04">
                              <w:rPr>
                                <w:rFonts w:ascii="Verdana" w:hAnsi="Verdana"/>
                                <w:b/>
                                <w:bCs/>
                              </w:rPr>
                              <w:t>Cyprus,</w:t>
                            </w:r>
                            <w:r w:rsidRPr="00696E04">
                              <w:rPr>
                                <w:rFonts w:ascii="Verdana" w:hAnsi="Verdana"/>
                              </w:rPr>
                              <w:t xml:space="preserve"> specific FRMP measures that provide synergies with RBMP measures and that support WFD objectives have been identified. An assessment of adverse environmental impacts of measures proposed for the FD, in particular in terms of WFD objectives, has been carried out to identify potential impacts and undertake remedial actions. Cost-effectiveness and cost-benefit assessment, including the consideration of multi-benefits (specifically for WFD objectives), were conducted for proposed measures.</w:t>
                            </w:r>
                          </w:p>
                          <w:p w14:paraId="04334335" w14:textId="77777777" w:rsidR="00F942AB" w:rsidRPr="00F942AB" w:rsidRDefault="00F942AB" w:rsidP="00F942AB">
                            <w:pPr>
                              <w:pStyle w:val="Body"/>
                              <w:rPr>
                                <w:b/>
                                <w:bCs/>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60165AA1" id="Rectangle 24" o:spid="_x0000_s1036" style="width:459.35pt;height:19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cFaAIAAOAEAAAOAAAAZHJzL2Uyb0RvYy54bWysVE1P3DAQvVfqf7B8L9lPhFZk0QpEVQkB&#10;6lJxnnWcD8mxXdu7Cf31fXaybKGcql6cGXs8M+/5TS6v+laxg3S+MTrn07MJZ1ILUzS6yvmPp9sv&#10;F5z5QLogZbTM+Yv0/Gr9+dNlZ1dyZmqjCukYkmi/6mzO6xDsKsu8qGVL/sxYqXFYGtdSgOuqrHDU&#10;IXurstlkcp51xhXWGSG9x+7NcMjXKX9ZShEeytLLwFTO0VtIq0vrLq7Z+pJWlSNbN2Jsg/6hi5Ya&#10;jaKvqW4oENu75q9UbSOc8aYMZ8K0mSnLRsiEAWimk3dotjVZmbCAHG9fafL/L624Pzw61hQ5ny04&#10;09Tijb6DNdKVkgx7IKizfoW4rX10o+dhRrR96dr4BQ7WJ1JfXkmVfWACm8uL+Xw5n3MmcDZbLOfn&#10;i0R7drpunQ9fpWlZNHLuUD+RSYc7H1ASoceQWM0b1RS3jVLJiUqR18qxA+GNd9U0towbb6KUZh2q&#10;LxcTiEAQhFYqCjBbC+heV5yRqqBgEVwq/eZ2UuOpBgkhdfiwTmzzhnw9NJOSjO0oHbuVSZIjqsjr&#10;wGS0Qr/r00NMEz1xa2eKF7yOM4NsvRW3DQrckQ+P5KBTgMHshQcspTJAaEaLs9q4Xx/tx3jIB6ec&#10;ddA90P/ck5OcqW8awopDcjTc0dgdDb1vrw1onmKqrUgmLrigjmbpTPuMkdzEKjgiLVAr5+B6MK/D&#10;MH0YaSE3mxSEUbAU7vTWipg6EhWJfOqfydlRFAF6ujfHiaDVO20MsfGmNpt9MGWThHNiEZqIDsYo&#10;qWMc+Tinf/op6vRjWv8GAAD//wMAUEsDBBQABgAIAAAAIQAlZfmL3AAAAAUBAAAPAAAAZHJzL2Rv&#10;d25yZXYueG1sTI/NTsMwEITvSLyDtUjcqFOKSprGqQpS4dADooW7G29+lHgd2W4a3p6FC1xWGs1o&#10;5tt8M9lejOhD60jBfJaAQCqdaalW8HHc3aUgQtRkdO8IFXxhgE1xfZXrzLgLveN4iLXgEgqZVtDE&#10;OGRShrJBq8PMDUjsVc5bHVn6WhqvL1xue3mfJEtpdUu80OgBnxssu8PZKvjsuirsk2rx9nQcX7f7&#10;3YuPxip1ezNt1yAiTvEvDD/4jA4FM53cmUwQvQJ+JP5e9lbz9BHEScEiXT6ALHL5n774BgAA//8D&#10;AFBLAQItABQABgAIAAAAIQC2gziS/gAAAOEBAAATAAAAAAAAAAAAAAAAAAAAAABbQ29udGVudF9U&#10;eXBlc10ueG1sUEsBAi0AFAAGAAgAAAAhADj9If/WAAAAlAEAAAsAAAAAAAAAAAAAAAAALwEAAF9y&#10;ZWxzLy5yZWxzUEsBAi0AFAAGAAgAAAAhADGg5wVoAgAA4AQAAA4AAAAAAAAAAAAAAAAALgIAAGRy&#10;cy9lMm9Eb2MueG1sUEsBAi0AFAAGAAgAAAAhACVl+YvcAAAABQEAAA8AAAAAAAAAAAAAAAAAwgQA&#10;AGRycy9kb3ducmV2LnhtbFBLBQYAAAAABAAEAPMAAADLBQAAAAA=&#10;" fillcolor="white [3212]" strokecolor="#4f81bd [3204]" strokeweight="2pt">
                <v:textbox inset="0,0,0,0">
                  <w:txbxContent>
                    <w:p w14:paraId="07317F5F" w14:textId="15D9EE97" w:rsidR="00F942AB" w:rsidRPr="000428A5" w:rsidRDefault="00F942AB" w:rsidP="00F942AB">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F942AB">
                        <w:rPr>
                          <w:rFonts w:asciiTheme="majorHAnsi" w:eastAsiaTheme="majorEastAsia" w:hAnsiTheme="majorHAnsi" w:cstheme="majorBidi"/>
                          <w:caps/>
                          <w:color w:val="4F81BD" w:themeColor="accent1"/>
                          <w:szCs w:val="24"/>
                          <w:lang w:val="en-US"/>
                        </w:rPr>
                        <w:t>Box 5.1</w:t>
                      </w:r>
                      <w:r>
                        <w:rPr>
                          <w:rFonts w:asciiTheme="majorHAnsi" w:eastAsiaTheme="majorEastAsia" w:hAnsiTheme="majorHAnsi" w:cstheme="majorBidi"/>
                          <w:caps/>
                          <w:color w:val="4F81BD" w:themeColor="accent1"/>
                          <w:szCs w:val="24"/>
                          <w:lang w:val="en-US"/>
                        </w:rPr>
                        <w:t>1</w:t>
                      </w:r>
                      <w:r w:rsidRPr="00F942AB">
                        <w:rPr>
                          <w:rFonts w:asciiTheme="majorHAnsi" w:eastAsiaTheme="majorEastAsia" w:hAnsiTheme="majorHAnsi" w:cstheme="majorBidi"/>
                          <w:caps/>
                          <w:color w:val="4F81BD" w:themeColor="accent1"/>
                          <w:szCs w:val="24"/>
                          <w:lang w:val="en-US"/>
                        </w:rPr>
                        <w:t xml:space="preserve"> The use of cost-benefit analysis to select and prioritize flood measures</w:t>
                      </w:r>
                    </w:p>
                    <w:p w14:paraId="10F00A4D" w14:textId="77777777" w:rsidR="00F942AB" w:rsidRPr="00696E04" w:rsidRDefault="00F942AB" w:rsidP="00696E04">
                      <w:pPr>
                        <w:pStyle w:val="WDBullets"/>
                        <w:ind w:left="567" w:right="213"/>
                        <w:jc w:val="both"/>
                        <w:rPr>
                          <w:rFonts w:ascii="Verdana" w:hAnsi="Verdana"/>
                        </w:rPr>
                      </w:pPr>
                      <w:r w:rsidRPr="00696E04">
                        <w:rPr>
                          <w:rFonts w:ascii="Verdana" w:hAnsi="Verdana"/>
                        </w:rPr>
                        <w:t xml:space="preserve">In </w:t>
                      </w:r>
                      <w:r w:rsidRPr="00696E04">
                        <w:rPr>
                          <w:rFonts w:ascii="Verdana" w:hAnsi="Verdana"/>
                          <w:b/>
                          <w:bCs/>
                        </w:rPr>
                        <w:t>Luxembourg</w:t>
                      </w:r>
                      <w:r w:rsidRPr="00696E04">
                        <w:rPr>
                          <w:rFonts w:ascii="Verdana" w:hAnsi="Verdana"/>
                        </w:rPr>
                        <w:t xml:space="preserve">, the relevance of selected measures to the environmental objectives of the WFD was assessed in a semi-quantitative effectiveness analysis resulting in five categories of effectiveness (scale from zero to ++++). </w:t>
                      </w:r>
                    </w:p>
                    <w:p w14:paraId="63C7D495" w14:textId="77777777" w:rsidR="00F942AB" w:rsidRPr="00696E04" w:rsidRDefault="00F942AB" w:rsidP="00696E04">
                      <w:pPr>
                        <w:pStyle w:val="WDBullets"/>
                        <w:ind w:left="567" w:right="213"/>
                        <w:jc w:val="both"/>
                        <w:rPr>
                          <w:rFonts w:ascii="Verdana" w:hAnsi="Verdana"/>
                        </w:rPr>
                      </w:pPr>
                      <w:r w:rsidRPr="00696E04">
                        <w:rPr>
                          <w:rFonts w:ascii="Verdana" w:hAnsi="Verdana"/>
                        </w:rPr>
                        <w:t xml:space="preserve">In </w:t>
                      </w:r>
                      <w:r w:rsidRPr="00696E04">
                        <w:rPr>
                          <w:rFonts w:ascii="Verdana" w:hAnsi="Verdana"/>
                          <w:b/>
                          <w:bCs/>
                        </w:rPr>
                        <w:t>Cyprus,</w:t>
                      </w:r>
                      <w:r w:rsidRPr="00696E04">
                        <w:rPr>
                          <w:rFonts w:ascii="Verdana" w:hAnsi="Verdana"/>
                        </w:rPr>
                        <w:t xml:space="preserve"> specific FRMP measures that provide synergies with RBMP measures and that support WFD objectives have been identified. An assessment of adverse environmental impacts of measures proposed for the FD, in particular in terms of WFD objectives, has been carried out to identify potential impacts and undertake remedial actions. Cost-effectiveness and cost-benefit assessment, including the consideration of multi-benefits (specifically for WFD objectives), were conducted for proposed measures.</w:t>
                      </w:r>
                    </w:p>
                    <w:p w14:paraId="04334335" w14:textId="77777777" w:rsidR="00F942AB" w:rsidRPr="00F942AB" w:rsidRDefault="00F942AB" w:rsidP="00F942AB">
                      <w:pPr>
                        <w:pStyle w:val="Body"/>
                        <w:rPr>
                          <w:b/>
                          <w:bCs/>
                          <w:lang w:val="en-US"/>
                        </w:rPr>
                      </w:pPr>
                    </w:p>
                  </w:txbxContent>
                </v:textbox>
                <w10:anchorlock/>
              </v:rect>
            </w:pict>
          </mc:Fallback>
        </mc:AlternateContent>
      </w:r>
    </w:p>
    <w:p w14:paraId="6A9BCE41" w14:textId="77777777" w:rsidR="00F942AB" w:rsidRPr="00F942AB" w:rsidRDefault="00F942AB" w:rsidP="00F942AB">
      <w:pPr>
        <w:pStyle w:val="Body"/>
        <w:rPr>
          <w:sz w:val="16"/>
          <w:szCs w:val="16"/>
          <w:lang w:val="en-US"/>
        </w:rPr>
      </w:pPr>
      <w:r w:rsidRPr="00F942AB">
        <w:rPr>
          <w:sz w:val="16"/>
          <w:szCs w:val="16"/>
          <w:lang w:val="en-US"/>
        </w:rPr>
        <w:t>Source: Information provided by the MS in the context of this study</w:t>
      </w:r>
    </w:p>
    <w:p w14:paraId="5E2458A5" w14:textId="33699200" w:rsidR="00E26EB4" w:rsidRPr="00401AA5" w:rsidRDefault="00E26EB4" w:rsidP="003B304A">
      <w:pPr>
        <w:pStyle w:val="Body"/>
        <w:rPr>
          <w:lang w:val="en-US"/>
        </w:rPr>
      </w:pPr>
    </w:p>
    <w:p w14:paraId="7412DE97" w14:textId="12F249D5" w:rsidR="00E26EB4" w:rsidRDefault="00E26EB4" w:rsidP="003B304A">
      <w:pPr>
        <w:pStyle w:val="Body"/>
        <w:rPr>
          <w:lang w:val="en-GB"/>
        </w:rPr>
      </w:pPr>
    </w:p>
    <w:p w14:paraId="74073755" w14:textId="1353944C" w:rsidR="00696E04" w:rsidRDefault="00696E04" w:rsidP="003B304A">
      <w:pPr>
        <w:pStyle w:val="Body"/>
        <w:rPr>
          <w:lang w:val="en-GB"/>
        </w:rPr>
      </w:pPr>
      <w:r>
        <w:rPr>
          <w:lang w:val="en-GB"/>
        </w:rPr>
        <w:br w:type="page"/>
      </w:r>
    </w:p>
    <w:p w14:paraId="6797E96E" w14:textId="77777777" w:rsidR="0010726F" w:rsidRPr="004C0AA6" w:rsidRDefault="0010726F" w:rsidP="0010726F">
      <w:pPr>
        <w:pStyle w:val="Heading1"/>
        <w:rPr>
          <w:lang w:val="en-US"/>
        </w:rPr>
      </w:pPr>
      <w:bookmarkStart w:id="90" w:name="_Toc62825944"/>
      <w:r w:rsidRPr="004C0AA6">
        <w:rPr>
          <w:lang w:val="en-US"/>
        </w:rPr>
        <w:t>Mobilising financial resources to support the achievement of water policy goals</w:t>
      </w:r>
      <w:bookmarkEnd w:id="90"/>
      <w:r w:rsidRPr="004C0AA6">
        <w:rPr>
          <w:lang w:val="en-US"/>
        </w:rPr>
        <w:t xml:space="preserve"> </w:t>
      </w:r>
    </w:p>
    <w:p w14:paraId="46BA9560" w14:textId="77777777" w:rsidR="00B856FC" w:rsidRPr="00B856FC" w:rsidRDefault="00B856FC" w:rsidP="00B856FC">
      <w:pPr>
        <w:pStyle w:val="Heading2"/>
        <w:rPr>
          <w:lang w:val="en-US"/>
        </w:rPr>
      </w:pPr>
      <w:bookmarkStart w:id="91" w:name="_Toc59180781"/>
      <w:bookmarkStart w:id="92" w:name="_Toc62825945"/>
      <w:r w:rsidRPr="00B856FC">
        <w:rPr>
          <w:lang w:val="en-US"/>
        </w:rPr>
        <w:t>What do we know about financing?</w:t>
      </w:r>
      <w:bookmarkEnd w:id="91"/>
      <w:bookmarkEnd w:id="92"/>
      <w:r w:rsidRPr="00B856FC">
        <w:rPr>
          <w:lang w:val="en-US"/>
        </w:rPr>
        <w:t xml:space="preserve"> </w:t>
      </w:r>
    </w:p>
    <w:p w14:paraId="648476E4" w14:textId="77777777" w:rsidR="004C0AA6" w:rsidRPr="004C0AA6" w:rsidRDefault="004C0AA6" w:rsidP="004C0AA6">
      <w:pPr>
        <w:pStyle w:val="Body"/>
        <w:rPr>
          <w:lang w:val="en-US"/>
        </w:rPr>
      </w:pPr>
      <w:r w:rsidRPr="004C0AA6">
        <w:rPr>
          <w:lang w:val="en-US"/>
        </w:rPr>
        <w:t xml:space="preserve">Funding and financing is yet another area where </w:t>
      </w:r>
      <w:r w:rsidRPr="004C0AA6">
        <w:rPr>
          <w:b/>
          <w:bCs/>
          <w:lang w:val="en-US"/>
        </w:rPr>
        <w:t>data and information are scattered and heterogeneous across MS</w:t>
      </w:r>
      <w:r w:rsidRPr="004C0AA6">
        <w:rPr>
          <w:lang w:val="en-US"/>
        </w:rPr>
        <w:t xml:space="preserve"> – and this limits the feasibility of a quantitative analysis, e.g. in terms of precisely ranking the importance of funding sources, as data are often incomplete and non-comparable. Nevertheless, data collected from MS contain a wealth of mixed qualitative and quantitative information, and important insights can be gained.</w:t>
      </w:r>
    </w:p>
    <w:p w14:paraId="48D203DC" w14:textId="77777777" w:rsidR="004C0AA6" w:rsidRPr="004C0AA6" w:rsidRDefault="004C0AA6" w:rsidP="004C0AA6">
      <w:pPr>
        <w:pStyle w:val="Body"/>
        <w:rPr>
          <w:lang w:val="en-US"/>
        </w:rPr>
      </w:pPr>
      <w:r w:rsidRPr="004C0AA6">
        <w:rPr>
          <w:lang w:val="en-US"/>
        </w:rPr>
        <w:t xml:space="preserve">When talking about the financial aspects of water management – and especially expenditures and funding – a wealth of quantitative information is usually available on water and sanitation services – a well-developed sector in all EU MS, which attracts a large share of the financial resources deployed for water management as a whole. </w:t>
      </w:r>
    </w:p>
    <w:p w14:paraId="3BEAF281" w14:textId="77777777" w:rsidR="004C0AA6" w:rsidRPr="004C0AA6" w:rsidRDefault="004C0AA6" w:rsidP="004C0AA6">
      <w:pPr>
        <w:pStyle w:val="Body"/>
        <w:rPr>
          <w:lang w:val="en-US"/>
        </w:rPr>
      </w:pPr>
      <w:r w:rsidRPr="004C0AA6">
        <w:rPr>
          <w:lang w:val="en-US"/>
        </w:rPr>
        <w:t xml:space="preserve">The OECD collected data on projected expenditure needs in EU MS to comply with the Drinking Water, Urban Wastewater Treatment and Flood Directives: although these data only include water and sanitation services, they provide a good indication of the expenditure trends for the coming years: all EU countries need to increase the current level of expenditure for water supply and sanitation by 20% or more – although some MS will need to face more challenging needs, such as for example Finland (+85%), Bulgaria (+100%) and Romania (180%).  And it is likely that additional funding sources for these future investment needs will be more challenging to be found, as easier-to-reach funding sources are likely to have been already used for past investments (OECD, 2020). If we enlarge our look to water management as a whole – thus including for example the management of agricultural pressures, restoration of aquatic ecosystems, flood protection measures, etc. – addressing global challenges such as climate change, pollution and others is likely to translate in additional financing needs as compared to today’s needs. </w:t>
      </w:r>
    </w:p>
    <w:p w14:paraId="3F6601B3" w14:textId="77777777" w:rsidR="004C0AA6" w:rsidRPr="004C0AA6" w:rsidRDefault="004C0AA6" w:rsidP="004C0AA6">
      <w:pPr>
        <w:pStyle w:val="Body"/>
        <w:rPr>
          <w:lang w:val="en-US"/>
        </w:rPr>
      </w:pPr>
      <w:r w:rsidRPr="004C0AA6">
        <w:rPr>
          <w:lang w:val="en-US"/>
        </w:rPr>
        <w:t xml:space="preserve">In this light, having an overview of current financing practices in EU MS is crucial, especially to identify </w:t>
      </w:r>
      <w:r w:rsidRPr="004C0AA6">
        <w:rPr>
          <w:b/>
          <w:bCs/>
          <w:lang w:val="en-US"/>
        </w:rPr>
        <w:t>untapped or emerging sources</w:t>
      </w:r>
      <w:r w:rsidRPr="004C0AA6">
        <w:rPr>
          <w:lang w:val="en-US"/>
        </w:rPr>
        <w:t xml:space="preserve"> that could contribute to respond to growing financing needs. </w:t>
      </w:r>
    </w:p>
    <w:p w14:paraId="475C0AC4" w14:textId="31C9594C" w:rsidR="004C0AA6" w:rsidRDefault="004C0AA6" w:rsidP="004C0AA6">
      <w:pPr>
        <w:pStyle w:val="Body"/>
        <w:rPr>
          <w:lang w:val="en-US"/>
        </w:rPr>
      </w:pPr>
      <w:r w:rsidRPr="004C0AA6">
        <w:rPr>
          <w:lang w:val="en-US"/>
        </w:rPr>
        <w:t>The following figure provides an overview of the financing sources used in EU MS, as well as data gaps. In most countries, quantitative figures could not be found for the different funding sources – i.e. amounts allocated to water management by funding sources in a reference period</w:t>
      </w:r>
      <w:r w:rsidRPr="00736A50">
        <w:rPr>
          <w:rStyle w:val="FootnoteReference"/>
        </w:rPr>
        <w:footnoteReference w:id="51"/>
      </w:r>
      <w:r w:rsidRPr="004C0AA6">
        <w:rPr>
          <w:lang w:val="en-US"/>
        </w:rPr>
        <w:t>. In some cases, qualitative information suggests that a funding source is in place in the country, but yearly quantitative figures are not available. In other cases, the funding source is not in place or no information on its use has been found.</w:t>
      </w:r>
    </w:p>
    <w:p w14:paraId="14738963" w14:textId="2F6A4719" w:rsidR="004C0AA6" w:rsidRDefault="004C0AA6" w:rsidP="004C0AA6">
      <w:pPr>
        <w:pStyle w:val="Body"/>
        <w:rPr>
          <w:lang w:val="en-US"/>
        </w:rPr>
      </w:pPr>
    </w:p>
    <w:p w14:paraId="1B366366" w14:textId="30BB5DCB" w:rsidR="004C0AA6" w:rsidRDefault="004C0AA6" w:rsidP="004C0AA6">
      <w:pPr>
        <w:pStyle w:val="Body"/>
        <w:rPr>
          <w:lang w:val="en-US"/>
        </w:rPr>
      </w:pPr>
    </w:p>
    <w:p w14:paraId="1F09F2CA" w14:textId="3206F77C" w:rsidR="004C0AA6" w:rsidRDefault="004C0AA6" w:rsidP="004C0AA6">
      <w:pPr>
        <w:pStyle w:val="Body"/>
        <w:rPr>
          <w:lang w:val="en-US"/>
        </w:rPr>
      </w:pPr>
    </w:p>
    <w:p w14:paraId="50511A73" w14:textId="532CDB43" w:rsidR="004C0AA6" w:rsidRDefault="004C0AA6" w:rsidP="004C0AA6">
      <w:pPr>
        <w:pStyle w:val="Body"/>
        <w:rPr>
          <w:lang w:val="en-US"/>
        </w:rPr>
      </w:pPr>
    </w:p>
    <w:p w14:paraId="7AE48801" w14:textId="626883DE" w:rsidR="004C0AA6" w:rsidRDefault="004C0AA6" w:rsidP="004C0AA6">
      <w:pPr>
        <w:pStyle w:val="Body"/>
        <w:rPr>
          <w:lang w:val="en-US"/>
        </w:rPr>
      </w:pPr>
    </w:p>
    <w:p w14:paraId="5E97B9D5" w14:textId="77777777" w:rsidR="004C0AA6" w:rsidRPr="004C0AA6" w:rsidRDefault="004C0AA6" w:rsidP="004C0AA6">
      <w:pPr>
        <w:pStyle w:val="Body"/>
        <w:rPr>
          <w:lang w:val="en-US"/>
        </w:rPr>
      </w:pPr>
    </w:p>
    <w:p w14:paraId="3115D9C5" w14:textId="25897E20" w:rsidR="004C0AA6" w:rsidRPr="004C0AA6" w:rsidRDefault="004C0AA6" w:rsidP="004C0AA6">
      <w:pPr>
        <w:pStyle w:val="Caption"/>
        <w:rPr>
          <w:rFonts w:ascii="Verdana" w:hAnsi="Verdana"/>
          <w:color w:val="548DD4" w:themeColor="text2" w:themeTint="99"/>
          <w:sz w:val="18"/>
          <w:szCs w:val="18"/>
          <w:lang w:val="en-US"/>
        </w:rPr>
      </w:pPr>
      <w:bookmarkStart w:id="93" w:name="_Toc59181825"/>
      <w:r w:rsidRPr="004C0AA6">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1</w:t>
      </w:r>
      <w:r w:rsidR="00E14072">
        <w:rPr>
          <w:rFonts w:ascii="Verdana" w:hAnsi="Verdana"/>
          <w:color w:val="548DD4" w:themeColor="text2" w:themeTint="99"/>
          <w:sz w:val="18"/>
          <w:szCs w:val="18"/>
          <w:lang w:val="en-US"/>
        </w:rPr>
        <w:fldChar w:fldCharType="end"/>
      </w:r>
      <w:r w:rsidRPr="004C0AA6">
        <w:rPr>
          <w:rFonts w:ascii="Verdana" w:hAnsi="Verdana"/>
          <w:color w:val="548DD4" w:themeColor="text2" w:themeTint="99"/>
          <w:sz w:val="18"/>
          <w:szCs w:val="18"/>
          <w:lang w:val="en-US"/>
        </w:rPr>
        <w:t xml:space="preserve"> Financing sources in EU MS – percentage of MS where a funding source is in place and type of information available</w:t>
      </w:r>
      <w:bookmarkEnd w:id="93"/>
    </w:p>
    <w:p w14:paraId="2E5028DE" w14:textId="77777777" w:rsidR="004C0AA6" w:rsidRPr="00736A50" w:rsidRDefault="004C0AA6" w:rsidP="004C0AA6">
      <w:pPr>
        <w:pStyle w:val="WDBullets"/>
        <w:numPr>
          <w:ilvl w:val="0"/>
          <w:numId w:val="0"/>
        </w:numPr>
        <w:jc w:val="center"/>
      </w:pPr>
      <w:r w:rsidRPr="00D8338D">
        <w:rPr>
          <w:noProof/>
          <w:lang w:val="en-US"/>
        </w:rPr>
        <w:drawing>
          <wp:inline distT="0" distB="0" distL="0" distR="0" wp14:anchorId="4C576A57" wp14:editId="18449DF4">
            <wp:extent cx="5699760" cy="3220984"/>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0001" cy="3226771"/>
                    </a:xfrm>
                    <a:prstGeom prst="rect">
                      <a:avLst/>
                    </a:prstGeom>
                    <a:noFill/>
                  </pic:spPr>
                </pic:pic>
              </a:graphicData>
            </a:graphic>
          </wp:inline>
        </w:drawing>
      </w:r>
    </w:p>
    <w:p w14:paraId="543C9F5E" w14:textId="77777777" w:rsidR="004C0AA6" w:rsidRPr="004C0AA6" w:rsidRDefault="004C0AA6" w:rsidP="004C0AA6">
      <w:pPr>
        <w:pStyle w:val="WDBullets"/>
        <w:numPr>
          <w:ilvl w:val="0"/>
          <w:numId w:val="0"/>
        </w:numPr>
        <w:spacing w:after="0"/>
        <w:rPr>
          <w:rFonts w:ascii="Verdana" w:hAnsi="Verdana"/>
          <w:sz w:val="16"/>
          <w:szCs w:val="16"/>
        </w:rPr>
      </w:pPr>
      <w:r w:rsidRPr="004C0AA6">
        <w:rPr>
          <w:rFonts w:ascii="Verdana" w:hAnsi="Verdana"/>
          <w:sz w:val="16"/>
          <w:szCs w:val="16"/>
        </w:rPr>
        <w:t xml:space="preserve">Notes: </w:t>
      </w:r>
      <w:r w:rsidRPr="004C0AA6">
        <w:rPr>
          <w:rFonts w:ascii="Verdana" w:hAnsi="Verdana"/>
          <w:sz w:val="16"/>
          <w:szCs w:val="18"/>
        </w:rPr>
        <w:t>quantitative, i.e. yes in place and value available/qualitative, i.e. yes, but value unavailable</w:t>
      </w:r>
    </w:p>
    <w:p w14:paraId="34BAC75E" w14:textId="77777777" w:rsidR="004C0AA6" w:rsidRPr="004C0AA6" w:rsidRDefault="004C0AA6" w:rsidP="004C0AA6">
      <w:pPr>
        <w:pStyle w:val="WDBullets"/>
        <w:numPr>
          <w:ilvl w:val="0"/>
          <w:numId w:val="0"/>
        </w:numPr>
        <w:rPr>
          <w:rFonts w:ascii="Verdana" w:hAnsi="Verdana"/>
        </w:rPr>
      </w:pPr>
      <w:r w:rsidRPr="004C0AA6">
        <w:rPr>
          <w:rFonts w:ascii="Verdana" w:hAnsi="Verdana"/>
          <w:sz w:val="16"/>
          <w:szCs w:val="16"/>
        </w:rPr>
        <w:t>Source: Data extracted from the country fiches by the project team</w:t>
      </w:r>
    </w:p>
    <w:p w14:paraId="7C7F4267" w14:textId="77777777" w:rsidR="004C0AA6" w:rsidRPr="00D76875" w:rsidRDefault="004C0AA6" w:rsidP="004C0AA6">
      <w:pPr>
        <w:pStyle w:val="Body"/>
        <w:rPr>
          <w:lang w:val="en-US"/>
        </w:rPr>
      </w:pPr>
      <w:r w:rsidRPr="00D76875">
        <w:rPr>
          <w:lang w:val="en-US"/>
        </w:rPr>
        <w:t xml:space="preserve">The observations that emerge from the assessment of the available information on financing are as follows: </w:t>
      </w:r>
    </w:p>
    <w:p w14:paraId="392360C8" w14:textId="77777777" w:rsidR="004C0AA6" w:rsidRPr="00D76875" w:rsidRDefault="004C0AA6" w:rsidP="00A13462">
      <w:pPr>
        <w:pStyle w:val="Body"/>
        <w:numPr>
          <w:ilvl w:val="0"/>
          <w:numId w:val="37"/>
        </w:numPr>
        <w:rPr>
          <w:lang w:val="en-US"/>
        </w:rPr>
      </w:pPr>
      <w:r w:rsidRPr="00D76875">
        <w:rPr>
          <w:lang w:val="en-US"/>
        </w:rPr>
        <w:t>The most widely mobilised funding sources used to finance water management in Europe include EU funding (92% of MS), revenues from tariffs from water and sanitation tariffs (92%) and public budget (85% of MS);</w:t>
      </w:r>
    </w:p>
    <w:p w14:paraId="1D4499C5" w14:textId="77777777" w:rsidR="004C0AA6" w:rsidRPr="00D76875" w:rsidRDefault="004C0AA6" w:rsidP="00A13462">
      <w:pPr>
        <w:pStyle w:val="Body"/>
        <w:numPr>
          <w:ilvl w:val="0"/>
          <w:numId w:val="37"/>
        </w:numPr>
        <w:rPr>
          <w:lang w:val="en-US"/>
        </w:rPr>
      </w:pPr>
      <w:r w:rsidRPr="00D76875">
        <w:rPr>
          <w:lang w:val="en-US"/>
        </w:rPr>
        <w:t>Abstraction and pollution charges and taxes are in place in 75% of countries. However, not all revenues collected from these charges are re-directed to water management, as shown later in this chapter;</w:t>
      </w:r>
    </w:p>
    <w:p w14:paraId="6BCBEE7C" w14:textId="77777777" w:rsidR="004C0AA6" w:rsidRPr="00D76875" w:rsidRDefault="004C0AA6" w:rsidP="00A13462">
      <w:pPr>
        <w:pStyle w:val="Body"/>
        <w:numPr>
          <w:ilvl w:val="0"/>
          <w:numId w:val="37"/>
        </w:numPr>
        <w:rPr>
          <w:lang w:val="en-US"/>
        </w:rPr>
      </w:pPr>
      <w:r w:rsidRPr="00D76875">
        <w:rPr>
          <w:lang w:val="en-US"/>
        </w:rPr>
        <w:t>Private funding was reported in only 41% of MS, whereas private funding is surely not in place in 11% of MS - no information on the use of this funding source was found in the remaining 48% of MS;</w:t>
      </w:r>
    </w:p>
    <w:p w14:paraId="0988F5AC" w14:textId="77777777" w:rsidR="004C0AA6" w:rsidRPr="00D76875" w:rsidRDefault="004C0AA6" w:rsidP="00A13462">
      <w:pPr>
        <w:pStyle w:val="Body"/>
        <w:numPr>
          <w:ilvl w:val="0"/>
          <w:numId w:val="37"/>
        </w:numPr>
        <w:rPr>
          <w:lang w:val="en-US"/>
        </w:rPr>
      </w:pPr>
      <w:r w:rsidRPr="00D76875">
        <w:rPr>
          <w:lang w:val="en-US"/>
        </w:rPr>
        <w:t>Other charges on significant water uses – such as for example nitrogen tax or other types of charges – are in place in 41% of MS.</w:t>
      </w:r>
    </w:p>
    <w:p w14:paraId="66458D3E" w14:textId="35E38EC6" w:rsidR="004C0AA6" w:rsidRDefault="004C0AA6" w:rsidP="004C0AA6">
      <w:pPr>
        <w:pStyle w:val="Body"/>
        <w:rPr>
          <w:lang w:val="en-US"/>
        </w:rPr>
      </w:pPr>
      <w:r w:rsidRPr="00D76875">
        <w:rPr>
          <w:lang w:val="en-US"/>
        </w:rPr>
        <w:t>In eight EU MS (EE, FR, EL, ES, HU, NL, PT, SK), thanks to the quality of available data it is possible to provide a more detailed analysis of the relative importance of the different funding sources in the yearly total funding for water management – as shown in the graph below.</w:t>
      </w:r>
    </w:p>
    <w:p w14:paraId="75E9098F" w14:textId="3F5E6D0C" w:rsidR="00D76875" w:rsidRDefault="00D76875" w:rsidP="004C0AA6">
      <w:pPr>
        <w:pStyle w:val="Body"/>
        <w:rPr>
          <w:lang w:val="en-US"/>
        </w:rPr>
      </w:pPr>
    </w:p>
    <w:p w14:paraId="248A38C2" w14:textId="6DA65E28" w:rsidR="00D76875" w:rsidRDefault="00D76875" w:rsidP="004C0AA6">
      <w:pPr>
        <w:pStyle w:val="Body"/>
        <w:rPr>
          <w:lang w:val="en-US"/>
        </w:rPr>
      </w:pPr>
    </w:p>
    <w:p w14:paraId="2277129A" w14:textId="1B6C4E18" w:rsidR="00D76875" w:rsidRDefault="00D76875" w:rsidP="004C0AA6">
      <w:pPr>
        <w:pStyle w:val="Body"/>
        <w:rPr>
          <w:lang w:val="en-US"/>
        </w:rPr>
      </w:pPr>
    </w:p>
    <w:p w14:paraId="24FCA7E4" w14:textId="0BC1A003" w:rsidR="004679C7" w:rsidRDefault="004679C7" w:rsidP="004C0AA6">
      <w:pPr>
        <w:pStyle w:val="Body"/>
        <w:rPr>
          <w:lang w:val="en-US"/>
        </w:rPr>
      </w:pPr>
    </w:p>
    <w:p w14:paraId="1E243FD3" w14:textId="77777777" w:rsidR="004679C7" w:rsidRDefault="004679C7" w:rsidP="004C0AA6">
      <w:pPr>
        <w:pStyle w:val="Body"/>
        <w:rPr>
          <w:lang w:val="en-US"/>
        </w:rPr>
      </w:pPr>
    </w:p>
    <w:p w14:paraId="0821A917" w14:textId="77777777" w:rsidR="00D76875" w:rsidRPr="00D76875" w:rsidRDefault="00D76875" w:rsidP="004C0AA6">
      <w:pPr>
        <w:pStyle w:val="Body"/>
        <w:rPr>
          <w:lang w:val="en-US"/>
        </w:rPr>
      </w:pPr>
    </w:p>
    <w:p w14:paraId="1548617D" w14:textId="11FF116A" w:rsidR="004C0AA6" w:rsidRPr="00D76875" w:rsidRDefault="00D76875" w:rsidP="00D76875">
      <w:pPr>
        <w:pStyle w:val="Caption"/>
        <w:rPr>
          <w:rFonts w:ascii="Verdana" w:hAnsi="Verdana"/>
          <w:color w:val="548DD4" w:themeColor="text2" w:themeTint="99"/>
          <w:sz w:val="18"/>
          <w:szCs w:val="18"/>
          <w:lang w:val="en-US"/>
        </w:rPr>
      </w:pPr>
      <w:bookmarkStart w:id="94" w:name="_Toc59181826"/>
      <w:r w:rsidRPr="00D76875">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2</w:t>
      </w:r>
      <w:r w:rsidR="00E14072">
        <w:rPr>
          <w:rFonts w:ascii="Verdana" w:hAnsi="Verdana"/>
          <w:color w:val="548DD4" w:themeColor="text2" w:themeTint="99"/>
          <w:sz w:val="18"/>
          <w:szCs w:val="18"/>
          <w:lang w:val="en-US"/>
        </w:rPr>
        <w:fldChar w:fldCharType="end"/>
      </w:r>
      <w:r w:rsidR="004C0AA6" w:rsidRPr="00D76875">
        <w:rPr>
          <w:rFonts w:ascii="Verdana" w:hAnsi="Verdana"/>
          <w:color w:val="548DD4" w:themeColor="text2" w:themeTint="99"/>
          <w:sz w:val="18"/>
          <w:szCs w:val="18"/>
          <w:lang w:val="en-US"/>
        </w:rPr>
        <w:t xml:space="preserve"> Share of funding sources over the total yearly funding for water management in nine EU MS</w:t>
      </w:r>
      <w:bookmarkEnd w:id="94"/>
      <w:r w:rsidR="004C0AA6" w:rsidRPr="00D76875">
        <w:rPr>
          <w:rFonts w:ascii="Verdana" w:hAnsi="Verdana"/>
          <w:color w:val="548DD4" w:themeColor="text2" w:themeTint="99"/>
          <w:sz w:val="18"/>
          <w:szCs w:val="18"/>
          <w:lang w:val="en-US"/>
        </w:rPr>
        <w:t xml:space="preserve"> </w:t>
      </w:r>
    </w:p>
    <w:p w14:paraId="231743E2" w14:textId="711DFED2" w:rsidR="004C0AA6" w:rsidRPr="00736A50" w:rsidRDefault="004C0AA6" w:rsidP="004679C7">
      <w:pPr>
        <w:pStyle w:val="WDFigureTitle"/>
        <w:ind w:left="-426"/>
      </w:pPr>
      <w:r>
        <w:rPr>
          <w:noProof/>
          <w:lang w:val="en-US" w:eastAsia="en-US"/>
        </w:rPr>
        <w:drawing>
          <wp:inline distT="0" distB="0" distL="0" distR="0" wp14:anchorId="5AAE5D00" wp14:editId="6E32A589">
            <wp:extent cx="6316980" cy="3386355"/>
            <wp:effectExtent l="0" t="0" r="7620" b="508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8519" cy="3392541"/>
                    </a:xfrm>
                    <a:prstGeom prst="rect">
                      <a:avLst/>
                    </a:prstGeom>
                    <a:noFill/>
                  </pic:spPr>
                </pic:pic>
              </a:graphicData>
            </a:graphic>
          </wp:inline>
        </w:drawing>
      </w:r>
    </w:p>
    <w:p w14:paraId="4E93F191" w14:textId="26C5B102" w:rsidR="004C0AA6" w:rsidRPr="00D76875" w:rsidRDefault="00D76875" w:rsidP="004C0AA6">
      <w:pPr>
        <w:pStyle w:val="WDBullets"/>
        <w:numPr>
          <w:ilvl w:val="0"/>
          <w:numId w:val="0"/>
        </w:numPr>
        <w:rPr>
          <w:rFonts w:ascii="Verdana" w:hAnsi="Verdana"/>
        </w:rPr>
      </w:pPr>
      <w:r w:rsidRPr="00D76875">
        <w:rPr>
          <w:rFonts w:ascii="Verdana" w:hAnsi="Verdana"/>
          <w:noProof/>
          <w:sz w:val="16"/>
          <w:szCs w:val="18"/>
        </w:rPr>
        <w:t>(</w:t>
      </w:r>
      <w:r w:rsidR="004C0AA6" w:rsidRPr="00D76875">
        <w:rPr>
          <w:rFonts w:ascii="Verdana" w:hAnsi="Verdana"/>
          <w:noProof/>
          <w:sz w:val="16"/>
          <w:szCs w:val="18"/>
        </w:rPr>
        <w:t>Source: data collection at the MS level)</w:t>
      </w:r>
      <w:r w:rsidR="004C0AA6" w:rsidRPr="00D76875" w:rsidDel="004E611C">
        <w:rPr>
          <w:rStyle w:val="FootnoteReference"/>
          <w:rFonts w:ascii="Verdana" w:hAnsi="Verdana"/>
          <w:noProof/>
          <w:sz w:val="16"/>
          <w:szCs w:val="18"/>
        </w:rPr>
        <w:t xml:space="preserve"> </w:t>
      </w:r>
    </w:p>
    <w:p w14:paraId="1CA737EC" w14:textId="77777777" w:rsidR="004C0AA6" w:rsidRPr="00D8338D" w:rsidRDefault="004C0AA6" w:rsidP="004C0AA6">
      <w:pPr>
        <w:pStyle w:val="WDBullets"/>
        <w:numPr>
          <w:ilvl w:val="0"/>
          <w:numId w:val="0"/>
        </w:numPr>
        <w:jc w:val="both"/>
        <w:rPr>
          <w:lang w:val="en-US"/>
        </w:rPr>
      </w:pPr>
    </w:p>
    <w:p w14:paraId="56190FF5" w14:textId="77777777" w:rsidR="004C0AA6" w:rsidRPr="00D76875" w:rsidRDefault="004C0AA6" w:rsidP="00D76875">
      <w:pPr>
        <w:pStyle w:val="Body"/>
        <w:rPr>
          <w:lang w:val="en-US"/>
        </w:rPr>
      </w:pPr>
      <w:r w:rsidRPr="00D76875">
        <w:rPr>
          <w:lang w:val="en-US"/>
        </w:rPr>
        <w:t>These country-level data reflect differences in funding sources across countries, not only the relative availability of financial resources by the different sources but also the governance structure of water management – and for example:</w:t>
      </w:r>
    </w:p>
    <w:p w14:paraId="1A85FED3" w14:textId="77777777" w:rsidR="004C0AA6" w:rsidRPr="00D76875" w:rsidRDefault="004C0AA6" w:rsidP="00A13462">
      <w:pPr>
        <w:pStyle w:val="Body"/>
        <w:numPr>
          <w:ilvl w:val="0"/>
          <w:numId w:val="38"/>
        </w:numPr>
        <w:rPr>
          <w:lang w:val="en-US"/>
        </w:rPr>
      </w:pPr>
      <w:r w:rsidRPr="00D76875">
        <w:rPr>
          <w:lang w:val="en-US"/>
        </w:rPr>
        <w:t>Revenues from water and sanitation tariffs are at least 50% of the total financing mix in all countries, with the exception of Greece – in Greece, national and EU funds have a larger role in water management as compared to other MS;</w:t>
      </w:r>
    </w:p>
    <w:p w14:paraId="218DAFCF" w14:textId="77777777" w:rsidR="004C0AA6" w:rsidRPr="00D76875" w:rsidRDefault="004C0AA6" w:rsidP="00A13462">
      <w:pPr>
        <w:pStyle w:val="Body"/>
        <w:numPr>
          <w:ilvl w:val="0"/>
          <w:numId w:val="38"/>
        </w:numPr>
        <w:rPr>
          <w:lang w:val="en-US"/>
        </w:rPr>
      </w:pPr>
      <w:r w:rsidRPr="00D76875">
        <w:rPr>
          <w:lang w:val="en-US"/>
        </w:rPr>
        <w:t>Public funds still play an important role in financing of water management in several countries – and this is hardly surprising, ,as water management is a domain of public interest. There arethree exceptions: (i) Hungary, where EU funds have a larger role; (ii) Belgium, where the private sector contributes for a significant share to financing of water management as compared to the other MS; and (iii) France, where the public sector contribution is equivalent (slightly lower) than the financial resources provided by abstraction, pollution and other charges – in fact, Water Agencies are mostly self-funded through user charges;</w:t>
      </w:r>
    </w:p>
    <w:p w14:paraId="539E52CB" w14:textId="77777777" w:rsidR="004C0AA6" w:rsidRPr="00D76875" w:rsidRDefault="004C0AA6" w:rsidP="00A13462">
      <w:pPr>
        <w:pStyle w:val="Body"/>
        <w:numPr>
          <w:ilvl w:val="0"/>
          <w:numId w:val="38"/>
        </w:numPr>
        <w:rPr>
          <w:lang w:val="en-US"/>
        </w:rPr>
      </w:pPr>
      <w:r w:rsidRPr="00D76875">
        <w:rPr>
          <w:lang w:val="en-US"/>
        </w:rPr>
        <w:t>Private sector funding has a slightly most important role in only two countries: (i) the Netherlands, where some business operators recur to self- water supply and treatment; and (ii) Spain, where private funds are invested in the urban water cycle;</w:t>
      </w:r>
    </w:p>
    <w:p w14:paraId="7BDB113B" w14:textId="77777777" w:rsidR="004C0AA6" w:rsidRPr="00D76875" w:rsidRDefault="004C0AA6" w:rsidP="00A13462">
      <w:pPr>
        <w:pStyle w:val="Body"/>
        <w:numPr>
          <w:ilvl w:val="0"/>
          <w:numId w:val="38"/>
        </w:numPr>
        <w:rPr>
          <w:lang w:val="en-US"/>
        </w:rPr>
      </w:pPr>
      <w:r w:rsidRPr="00D76875">
        <w:rPr>
          <w:lang w:val="en-US"/>
        </w:rPr>
        <w:t>With the exception of France, water abstraction and pollution charges (where in place) contribute to a small share of the total expenditure in water management – slightly higher in Estonia and Spain;</w:t>
      </w:r>
    </w:p>
    <w:p w14:paraId="1E30FC52" w14:textId="77777777" w:rsidR="004C0AA6" w:rsidRPr="00D76875" w:rsidRDefault="004C0AA6" w:rsidP="00A13462">
      <w:pPr>
        <w:pStyle w:val="Body"/>
        <w:numPr>
          <w:ilvl w:val="0"/>
          <w:numId w:val="38"/>
        </w:numPr>
        <w:rPr>
          <w:lang w:val="en-US"/>
        </w:rPr>
      </w:pPr>
      <w:r w:rsidRPr="00D76875">
        <w:rPr>
          <w:lang w:val="en-US"/>
        </w:rPr>
        <w:t>Similarly, other charges on significant water uses have a minor role in the total financing for water management – with the notable exception of the Netherlands (for more details, see box 6.4 further down in this chapter.</w:t>
      </w:r>
    </w:p>
    <w:p w14:paraId="584CA13E" w14:textId="77777777" w:rsidR="004C0AA6" w:rsidRPr="004C0AA6" w:rsidRDefault="004C0AA6" w:rsidP="00D76875">
      <w:pPr>
        <w:pStyle w:val="Body"/>
        <w:rPr>
          <w:lang w:val="en-US"/>
        </w:rPr>
      </w:pPr>
      <w:r w:rsidRPr="004C0AA6">
        <w:rPr>
          <w:lang w:val="en-US"/>
        </w:rPr>
        <w:t>Overall, these results suggest that public funds at all levels and water tariffs are well-established financing sources and represent in terms of financial volumes the largest funding sources deployed by MS for water management, as illustrated in the figure below (note: the figure has an illustrative character, as data on revenues from different financing sources are hardly comparable from one country to the other).</w:t>
      </w:r>
    </w:p>
    <w:p w14:paraId="0ED29DFE" w14:textId="2E3A7AB1" w:rsidR="004C0AA6" w:rsidRPr="00D76875" w:rsidRDefault="00D76875" w:rsidP="00D76875">
      <w:pPr>
        <w:pStyle w:val="Caption"/>
        <w:rPr>
          <w:rFonts w:ascii="Verdana" w:hAnsi="Verdana"/>
          <w:color w:val="548DD4" w:themeColor="text2" w:themeTint="99"/>
          <w:sz w:val="18"/>
          <w:szCs w:val="18"/>
          <w:lang w:val="en-US"/>
        </w:rPr>
      </w:pPr>
      <w:bookmarkStart w:id="95" w:name="_Toc59181827"/>
      <w:r w:rsidRPr="00D76875">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Pr="00D76875">
        <w:rPr>
          <w:rFonts w:ascii="Verdana" w:hAnsi="Verdana"/>
          <w:color w:val="548DD4" w:themeColor="text2" w:themeTint="99"/>
          <w:sz w:val="18"/>
          <w:szCs w:val="18"/>
          <w:lang w:val="en-US"/>
        </w:rPr>
        <w:t xml:space="preserve"> </w:t>
      </w:r>
      <w:r w:rsidR="004C0AA6" w:rsidRPr="00D76875">
        <w:rPr>
          <w:rFonts w:ascii="Verdana" w:hAnsi="Verdana"/>
          <w:color w:val="548DD4" w:themeColor="text2" w:themeTint="99"/>
          <w:sz w:val="18"/>
          <w:szCs w:val="18"/>
          <w:lang w:val="en-US"/>
        </w:rPr>
        <w:t>Financial volumes from the different sources at the EU level – Illustrative only due to heterogeneous data across MS</w:t>
      </w:r>
      <w:bookmarkEnd w:id="95"/>
    </w:p>
    <w:p w14:paraId="4103E447" w14:textId="77777777" w:rsidR="004C0AA6" w:rsidRPr="00736A50" w:rsidRDefault="004C0AA6" w:rsidP="004C0AA6">
      <w:pPr>
        <w:pStyle w:val="WDBullets"/>
        <w:numPr>
          <w:ilvl w:val="0"/>
          <w:numId w:val="0"/>
        </w:numPr>
      </w:pPr>
    </w:p>
    <w:p w14:paraId="4D594AD0" w14:textId="77777777" w:rsidR="004C0AA6" w:rsidRPr="00736A50" w:rsidRDefault="004C0AA6" w:rsidP="004C0AA6">
      <w:pPr>
        <w:pStyle w:val="WDBullets"/>
        <w:numPr>
          <w:ilvl w:val="0"/>
          <w:numId w:val="0"/>
        </w:numPr>
      </w:pPr>
      <w:r w:rsidRPr="00D8338D">
        <w:rPr>
          <w:noProof/>
          <w:lang w:val="en-US"/>
        </w:rPr>
        <w:drawing>
          <wp:inline distT="0" distB="0" distL="0" distR="0" wp14:anchorId="28055F20" wp14:editId="711F06E5">
            <wp:extent cx="6225540" cy="1465524"/>
            <wp:effectExtent l="0" t="0" r="0" b="1905"/>
            <wp:docPr id="6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70072" cy="1476007"/>
                    </a:xfrm>
                    <a:prstGeom prst="rect">
                      <a:avLst/>
                    </a:prstGeom>
                    <a:noFill/>
                  </pic:spPr>
                </pic:pic>
              </a:graphicData>
            </a:graphic>
          </wp:inline>
        </w:drawing>
      </w:r>
    </w:p>
    <w:p w14:paraId="7597F14A" w14:textId="77777777" w:rsidR="004C0AA6" w:rsidRPr="000F4CBE" w:rsidRDefault="004C0AA6" w:rsidP="004C0AA6">
      <w:pPr>
        <w:pStyle w:val="WDBullets"/>
        <w:numPr>
          <w:ilvl w:val="0"/>
          <w:numId w:val="0"/>
        </w:numPr>
      </w:pPr>
    </w:p>
    <w:p w14:paraId="61109B04" w14:textId="77777777" w:rsidR="004C0AA6" w:rsidRPr="004C0AA6" w:rsidRDefault="004C0AA6" w:rsidP="004C0AA6">
      <w:pPr>
        <w:pStyle w:val="Body"/>
        <w:rPr>
          <w:lang w:val="en-US"/>
        </w:rPr>
      </w:pPr>
      <w:r w:rsidRPr="004C0AA6">
        <w:rPr>
          <w:lang w:val="en-US"/>
        </w:rPr>
        <w:t xml:space="preserve">Both figures illustrate that, at present, </w:t>
      </w:r>
      <w:r w:rsidRPr="004C0AA6">
        <w:rPr>
          <w:b/>
          <w:bCs/>
          <w:lang w:val="en-US"/>
        </w:rPr>
        <w:t>private financing and charges on other relevant water uses</w:t>
      </w:r>
      <w:r w:rsidRPr="004C0AA6">
        <w:rPr>
          <w:lang w:val="en-US"/>
        </w:rPr>
        <w:t xml:space="preserve"> are rarely applied – or, at least, rarely reported in official documents (e.g. RBMPs). This suggests that these two sources can offer some </w:t>
      </w:r>
      <w:r w:rsidRPr="004C0AA6">
        <w:rPr>
          <w:b/>
          <w:bCs/>
          <w:lang w:val="en-US"/>
        </w:rPr>
        <w:t>untapped potential for funding</w:t>
      </w:r>
      <w:r w:rsidRPr="004C0AA6">
        <w:rPr>
          <w:lang w:val="en-US"/>
        </w:rPr>
        <w:t xml:space="preserve"> and could play a larger role in MS financing strategies for water management. </w:t>
      </w:r>
    </w:p>
    <w:p w14:paraId="5517E176" w14:textId="77777777" w:rsidR="004C0AA6" w:rsidRPr="004C0AA6" w:rsidRDefault="004C0AA6" w:rsidP="004C0AA6">
      <w:pPr>
        <w:pStyle w:val="Body"/>
        <w:rPr>
          <w:lang w:val="en-US"/>
        </w:rPr>
      </w:pPr>
      <w:r w:rsidRPr="004C0AA6">
        <w:rPr>
          <w:lang w:val="en-US"/>
        </w:rPr>
        <w:t xml:space="preserve">Evidence reported in MS fiches suggests that </w:t>
      </w:r>
      <w:r w:rsidRPr="004C0AA6">
        <w:rPr>
          <w:b/>
          <w:bCs/>
          <w:lang w:val="en-US"/>
        </w:rPr>
        <w:t>private funding</w:t>
      </w:r>
      <w:r w:rsidRPr="004C0AA6">
        <w:rPr>
          <w:lang w:val="en-US"/>
        </w:rPr>
        <w:t xml:space="preserve">, when used, has a subsidiary role in financing of water management, complementing revenues from water and sanitation tariffs and public funding at all levels. This is somewhat confirmed by the fact that information on it is scarce and, when available, is often incomplete. </w:t>
      </w:r>
    </w:p>
    <w:p w14:paraId="1E147927" w14:textId="18B9B21F" w:rsidR="00D76875" w:rsidRPr="004C0AA6" w:rsidRDefault="004C0AA6" w:rsidP="004C0AA6">
      <w:pPr>
        <w:pStyle w:val="Body"/>
        <w:rPr>
          <w:lang w:val="en-US"/>
        </w:rPr>
      </w:pPr>
      <w:r w:rsidRPr="004C0AA6">
        <w:rPr>
          <w:lang w:val="en-US"/>
        </w:rPr>
        <w:t xml:space="preserve">Private funding is usually deployed in the water and sanitation sector, rather than in other types of measures. In this respect, the OECD report (OECD, 2020) can provide some elements which do not emerge from MS data collated in the context of this study – and, in particular, on debt (reimbursable) finance. Loans are typically employed to contribute to financing upfront capital investments where cash flow may be insufficient for on-balance sheet financing, or when borrowing conditions are particularly attractive. The graph below shows the share of debt finance in the estimated total expenditure for water and sanitation services (WSS) in the EU-28, in the EU-15 and in the EU-13– distinguishing between loans provided by the EIB/EBRD and commercial loans. Debt finance is slightly more common in the EU-15 (&gt;10%) – against an average figure in the EU-28 of &gt;9%. Overall, commercial banks provide a larger share of loans as compared to EIB/EBRD. </w:t>
      </w:r>
    </w:p>
    <w:p w14:paraId="4F4E8B47" w14:textId="051B140D" w:rsidR="004C0AA6" w:rsidRPr="00D76875" w:rsidRDefault="00D76875" w:rsidP="00D76875">
      <w:pPr>
        <w:pStyle w:val="Caption"/>
        <w:rPr>
          <w:rFonts w:ascii="Verdana" w:hAnsi="Verdana"/>
          <w:color w:val="548DD4" w:themeColor="text2" w:themeTint="99"/>
          <w:sz w:val="18"/>
          <w:szCs w:val="18"/>
          <w:lang w:val="en-US"/>
        </w:rPr>
      </w:pPr>
      <w:bookmarkStart w:id="96" w:name="_Toc59181828"/>
      <w:r w:rsidRPr="00D76875">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4</w:t>
      </w:r>
      <w:r w:rsidR="00E14072">
        <w:rPr>
          <w:rFonts w:ascii="Verdana" w:hAnsi="Verdana"/>
          <w:color w:val="548DD4" w:themeColor="text2" w:themeTint="99"/>
          <w:sz w:val="18"/>
          <w:szCs w:val="18"/>
          <w:lang w:val="en-US"/>
        </w:rPr>
        <w:fldChar w:fldCharType="end"/>
      </w:r>
      <w:r w:rsidR="004C0AA6" w:rsidRPr="00D76875">
        <w:rPr>
          <w:rFonts w:ascii="Verdana" w:hAnsi="Verdana"/>
          <w:color w:val="548DD4" w:themeColor="text2" w:themeTint="99"/>
          <w:sz w:val="18"/>
          <w:szCs w:val="18"/>
          <w:lang w:val="en-US"/>
        </w:rPr>
        <w:t xml:space="preserve"> Share of debt finance in estimated total expenditures for water supply and sanitation for the EU-20, the EU-15 and EU-13</w:t>
      </w:r>
      <w:bookmarkEnd w:id="96"/>
    </w:p>
    <w:p w14:paraId="1341F36B" w14:textId="77777777" w:rsidR="004C0AA6" w:rsidRPr="00736A50" w:rsidRDefault="004C0AA6" w:rsidP="006E2BA2">
      <w:pPr>
        <w:pStyle w:val="WDBullets"/>
        <w:numPr>
          <w:ilvl w:val="0"/>
          <w:numId w:val="0"/>
        </w:numPr>
        <w:jc w:val="center"/>
      </w:pPr>
      <w:r w:rsidRPr="00D8338D">
        <w:rPr>
          <w:noProof/>
          <w:lang w:val="en-US"/>
        </w:rPr>
        <w:drawing>
          <wp:inline distT="0" distB="0" distL="0" distR="0" wp14:anchorId="4E5868D7" wp14:editId="77D924DD">
            <wp:extent cx="4634754" cy="18288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56210" cy="1837266"/>
                    </a:xfrm>
                    <a:prstGeom prst="rect">
                      <a:avLst/>
                    </a:prstGeom>
                  </pic:spPr>
                </pic:pic>
              </a:graphicData>
            </a:graphic>
          </wp:inline>
        </w:drawing>
      </w:r>
    </w:p>
    <w:p w14:paraId="6424146E" w14:textId="77777777" w:rsidR="004C0AA6" w:rsidRPr="00B22401" w:rsidRDefault="004C0AA6" w:rsidP="004C0AA6">
      <w:pPr>
        <w:pStyle w:val="WDBullets"/>
        <w:numPr>
          <w:ilvl w:val="0"/>
          <w:numId w:val="0"/>
        </w:numPr>
        <w:rPr>
          <w:sz w:val="16"/>
          <w:szCs w:val="18"/>
        </w:rPr>
      </w:pPr>
      <w:r w:rsidRPr="00B22401">
        <w:rPr>
          <w:sz w:val="16"/>
          <w:szCs w:val="18"/>
        </w:rPr>
        <w:t>Source: OECD, 2020</w:t>
      </w:r>
    </w:p>
    <w:p w14:paraId="64ED50D6" w14:textId="77777777" w:rsidR="006E2BA2" w:rsidRDefault="006E2BA2" w:rsidP="004C0AA6">
      <w:pPr>
        <w:pStyle w:val="Body"/>
        <w:rPr>
          <w:lang w:val="en-US"/>
        </w:rPr>
      </w:pPr>
    </w:p>
    <w:p w14:paraId="310861B0" w14:textId="1FBBC9AE" w:rsidR="006E2BA2" w:rsidRPr="004C0AA6" w:rsidRDefault="004C0AA6" w:rsidP="004C0AA6">
      <w:pPr>
        <w:pStyle w:val="Body"/>
        <w:rPr>
          <w:lang w:val="en-US"/>
        </w:rPr>
      </w:pPr>
      <w:r w:rsidRPr="004C0AA6">
        <w:rPr>
          <w:lang w:val="en-US"/>
        </w:rPr>
        <w:t>The graph below shows the share of debt finance in estimated total expenditure at the MS level.</w:t>
      </w:r>
    </w:p>
    <w:p w14:paraId="7FB131D2" w14:textId="1B252A0F" w:rsidR="004C0AA6" w:rsidRPr="00B95304" w:rsidRDefault="00B95304" w:rsidP="00B95304">
      <w:pPr>
        <w:pStyle w:val="Caption"/>
        <w:rPr>
          <w:rFonts w:ascii="Verdana" w:hAnsi="Verdana"/>
          <w:color w:val="548DD4" w:themeColor="text2" w:themeTint="99"/>
          <w:sz w:val="18"/>
          <w:szCs w:val="18"/>
          <w:lang w:val="en-US"/>
        </w:rPr>
      </w:pPr>
      <w:bookmarkStart w:id="97" w:name="_Toc59181829"/>
      <w:r w:rsidRPr="00B95304">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5</w:t>
      </w:r>
      <w:r w:rsidR="00E14072">
        <w:rPr>
          <w:rFonts w:ascii="Verdana" w:hAnsi="Verdana"/>
          <w:color w:val="548DD4" w:themeColor="text2" w:themeTint="99"/>
          <w:sz w:val="18"/>
          <w:szCs w:val="18"/>
          <w:lang w:val="en-US"/>
        </w:rPr>
        <w:fldChar w:fldCharType="end"/>
      </w:r>
      <w:r w:rsidR="004C0AA6" w:rsidRPr="00B95304">
        <w:rPr>
          <w:rFonts w:ascii="Verdana" w:hAnsi="Verdana"/>
          <w:color w:val="548DD4" w:themeColor="text2" w:themeTint="99"/>
          <w:sz w:val="18"/>
          <w:szCs w:val="18"/>
          <w:lang w:val="en-US"/>
        </w:rPr>
        <w:t xml:space="preserve"> Share of debt in estimated total expenditure for WSS, by MS</w:t>
      </w:r>
      <w:bookmarkEnd w:id="97"/>
      <w:r w:rsidR="004C0AA6" w:rsidRPr="006E2BA2">
        <w:rPr>
          <w:rFonts w:ascii="Verdana" w:hAnsi="Verdana"/>
          <w:color w:val="548DD4" w:themeColor="text2" w:themeTint="99"/>
          <w:sz w:val="18"/>
          <w:szCs w:val="18"/>
          <w:vertAlign w:val="superscript"/>
          <w:lang w:val="en-US"/>
        </w:rPr>
        <w:footnoteReference w:id="52"/>
      </w:r>
    </w:p>
    <w:p w14:paraId="4BD14292" w14:textId="77777777" w:rsidR="004C0AA6" w:rsidRPr="00736A50" w:rsidRDefault="004C0AA6" w:rsidP="004C0AA6">
      <w:pPr>
        <w:pStyle w:val="WDBullets"/>
        <w:numPr>
          <w:ilvl w:val="0"/>
          <w:numId w:val="0"/>
        </w:numPr>
      </w:pPr>
      <w:r w:rsidRPr="00D8338D">
        <w:rPr>
          <w:noProof/>
          <w:lang w:val="en-US"/>
        </w:rPr>
        <w:drawing>
          <wp:inline distT="0" distB="0" distL="0" distR="0" wp14:anchorId="0BF462D4" wp14:editId="3B6584F3">
            <wp:extent cx="5120640" cy="5086180"/>
            <wp:effectExtent l="0" t="0" r="3810" b="63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20640" cy="5086180"/>
                    </a:xfrm>
                    <a:prstGeom prst="rect">
                      <a:avLst/>
                    </a:prstGeom>
                  </pic:spPr>
                </pic:pic>
              </a:graphicData>
            </a:graphic>
          </wp:inline>
        </w:drawing>
      </w:r>
    </w:p>
    <w:p w14:paraId="35F3A97D" w14:textId="77777777" w:rsidR="004C0AA6" w:rsidRPr="00736A50" w:rsidRDefault="004C0AA6" w:rsidP="004C0AA6">
      <w:pPr>
        <w:pStyle w:val="WDBodySmall"/>
        <w:rPr>
          <w:color w:val="auto"/>
        </w:rPr>
      </w:pPr>
      <w:r w:rsidRPr="000F4CBE">
        <w:rPr>
          <w:color w:val="auto"/>
        </w:rPr>
        <w:t>Source: OECD, 2020</w:t>
      </w:r>
    </w:p>
    <w:p w14:paraId="5FBA0111" w14:textId="77777777" w:rsidR="004C0AA6" w:rsidRPr="00736A50" w:rsidRDefault="004C0AA6" w:rsidP="004C0AA6">
      <w:pPr>
        <w:pStyle w:val="WDBodySmall"/>
        <w:rPr>
          <w:color w:val="auto"/>
        </w:rPr>
      </w:pPr>
    </w:p>
    <w:p w14:paraId="7DC7CF26" w14:textId="77777777" w:rsidR="004C0AA6" w:rsidRPr="004C0AA6" w:rsidRDefault="004C0AA6" w:rsidP="004C0AA6">
      <w:pPr>
        <w:pStyle w:val="Body"/>
        <w:rPr>
          <w:lang w:val="en-US"/>
        </w:rPr>
      </w:pPr>
      <w:r w:rsidRPr="004C0AA6">
        <w:rPr>
          <w:lang w:val="en-US"/>
        </w:rPr>
        <w:t xml:space="preserve">It is important to note that there is a positive correlation between </w:t>
      </w:r>
      <w:r w:rsidRPr="004C0AA6">
        <w:rPr>
          <w:b/>
          <w:bCs/>
          <w:lang w:val="en-US"/>
        </w:rPr>
        <w:t>cost-recovery levels and access to debt finance</w:t>
      </w:r>
      <w:r w:rsidRPr="004C0AA6">
        <w:rPr>
          <w:lang w:val="en-US"/>
        </w:rPr>
        <w:t xml:space="preserve">: in fact, loans are typically granted to entities and projects able to demonstrate a reliable ability to pay back; for WSS providers, this ability is dependent on the ability to recover supply costs through WSS tariffs. The financial health of the entity will also play a major role in its ability to attract commercial loans (OECD, 2020). </w:t>
      </w:r>
    </w:p>
    <w:p w14:paraId="7562ED2C" w14:textId="77777777" w:rsidR="004C0AA6" w:rsidRPr="004C0AA6" w:rsidRDefault="004C0AA6" w:rsidP="004C0AA6">
      <w:pPr>
        <w:pStyle w:val="Body"/>
        <w:rPr>
          <w:lang w:val="en-US"/>
        </w:rPr>
      </w:pPr>
      <w:r w:rsidRPr="004C0AA6">
        <w:rPr>
          <w:b/>
          <w:bCs/>
          <w:lang w:val="en-US"/>
        </w:rPr>
        <w:t>The EIB</w:t>
      </w:r>
      <w:r w:rsidRPr="004C0AA6">
        <w:rPr>
          <w:lang w:val="en-US"/>
        </w:rPr>
        <w:t xml:space="preserve">, in particular, is sometimes referred to as the largest lender to the global water sector. Thanks to its </w:t>
      </w:r>
      <w:r w:rsidRPr="004C0AA6">
        <w:rPr>
          <w:b/>
          <w:bCs/>
          <w:lang w:val="en-US"/>
        </w:rPr>
        <w:t>public nature</w:t>
      </w:r>
      <w:r w:rsidRPr="004C0AA6">
        <w:rPr>
          <w:lang w:val="en-US"/>
        </w:rPr>
        <w:t xml:space="preserve">, the institution can work on longer term maturity and low returns, two characteristics that are specific to the structure of asset management of the water sector – more in general, </w:t>
      </w:r>
      <w:r w:rsidRPr="004C0AA6">
        <w:rPr>
          <w:b/>
          <w:bCs/>
          <w:lang w:val="en-US"/>
        </w:rPr>
        <w:t>all public banks</w:t>
      </w:r>
      <w:r w:rsidRPr="004C0AA6">
        <w:rPr>
          <w:lang w:val="en-US"/>
        </w:rPr>
        <w:t xml:space="preserve"> operate with a mandate for the general interest, so that there are clear </w:t>
      </w:r>
      <w:r w:rsidRPr="004C0AA6">
        <w:rPr>
          <w:b/>
          <w:bCs/>
          <w:lang w:val="en-US"/>
        </w:rPr>
        <w:t>synergies with water operators</w:t>
      </w:r>
      <w:r w:rsidRPr="004C0AA6">
        <w:rPr>
          <w:lang w:val="en-US"/>
        </w:rPr>
        <w:t xml:space="preserve"> – and public operators in particular – which are opportunities to strengthen the sectors and positively affect the local and national economies – some examples of such synergies include for example (Aqua Publica Europea, 2019</w:t>
      </w:r>
      <w:r w:rsidRPr="00736A50">
        <w:rPr>
          <w:rStyle w:val="FootnoteReference"/>
        </w:rPr>
        <w:footnoteReference w:id="53"/>
      </w:r>
      <w:r w:rsidRPr="004C0AA6">
        <w:rPr>
          <w:lang w:val="en-US"/>
        </w:rPr>
        <w:t>):</w:t>
      </w:r>
    </w:p>
    <w:p w14:paraId="6F31A14D" w14:textId="77777777" w:rsidR="004C0AA6" w:rsidRPr="006E2BA2" w:rsidRDefault="004C0AA6" w:rsidP="00A13462">
      <w:pPr>
        <w:pStyle w:val="WDBullets"/>
        <w:numPr>
          <w:ilvl w:val="0"/>
          <w:numId w:val="35"/>
        </w:numPr>
        <w:jc w:val="both"/>
        <w:rPr>
          <w:rFonts w:ascii="Verdana" w:hAnsi="Verdana"/>
        </w:rPr>
      </w:pPr>
      <w:r w:rsidRPr="006E2BA2">
        <w:rPr>
          <w:rFonts w:ascii="Verdana" w:hAnsi="Verdana"/>
        </w:rPr>
        <w:t>An EIB loan of €200 million to Sardinian operator Abbanoa (Italy) to support the operator’s plan for investment in infrastructure with a strategic focus on new technology and hydraulic and energy efficiency;</w:t>
      </w:r>
    </w:p>
    <w:p w14:paraId="5E05EB9A" w14:textId="77777777" w:rsidR="004C0AA6" w:rsidRPr="006E2BA2" w:rsidRDefault="004C0AA6" w:rsidP="00A13462">
      <w:pPr>
        <w:pStyle w:val="WDBullets"/>
        <w:numPr>
          <w:ilvl w:val="0"/>
          <w:numId w:val="35"/>
        </w:numPr>
        <w:jc w:val="both"/>
        <w:rPr>
          <w:rFonts w:ascii="Verdana" w:hAnsi="Verdana"/>
        </w:rPr>
      </w:pPr>
      <w:r w:rsidRPr="006E2BA2">
        <w:rPr>
          <w:rFonts w:ascii="Verdana" w:hAnsi="Verdana"/>
        </w:rPr>
        <w:t>In the context of its sustainability strategy, its Green Finance Framework, and in collaboration with Belgian bank Belfius, SWDE (Wallonia, Belgium) announced the emission of Green Bonds for €10 million through which the operator aims to attract new investors looking to support sustainable projects. The financing concerns in particular renewable energy and energy efficiency projects, as well as resource protection, amongst others.</w:t>
      </w:r>
    </w:p>
    <w:p w14:paraId="242C4AB0" w14:textId="77777777" w:rsidR="004C0AA6" w:rsidRPr="00736A50" w:rsidRDefault="004C0AA6" w:rsidP="004C0AA6">
      <w:pPr>
        <w:pStyle w:val="WDBullets"/>
        <w:numPr>
          <w:ilvl w:val="0"/>
          <w:numId w:val="0"/>
        </w:numPr>
      </w:pPr>
    </w:p>
    <w:p w14:paraId="523A1050" w14:textId="77777777" w:rsidR="004C0AA6" w:rsidRPr="00736A50" w:rsidRDefault="004C0AA6" w:rsidP="004C0AA6">
      <w:pPr>
        <w:pStyle w:val="WDBullets"/>
        <w:numPr>
          <w:ilvl w:val="0"/>
          <w:numId w:val="0"/>
        </w:numPr>
      </w:pPr>
      <w:r w:rsidRPr="00D8338D">
        <w:rPr>
          <w:rFonts w:ascii="Calibri" w:hAnsi="Calibri"/>
          <w:noProof/>
          <w:color w:val="auto"/>
          <w:sz w:val="22"/>
          <w:lang w:val="en-US"/>
        </w:rPr>
        <mc:AlternateContent>
          <mc:Choice Requires="wps">
            <w:drawing>
              <wp:inline distT="0" distB="0" distL="0" distR="0" wp14:anchorId="0471597F" wp14:editId="786C4019">
                <wp:extent cx="5991225" cy="4610100"/>
                <wp:effectExtent l="0" t="0" r="28575" b="19050"/>
                <wp:docPr id="34" name="Rectangle 21"/>
                <wp:cNvGraphicFramePr/>
                <a:graphic xmlns:a="http://schemas.openxmlformats.org/drawingml/2006/main">
                  <a:graphicData uri="http://schemas.microsoft.com/office/word/2010/wordprocessingShape">
                    <wps:wsp>
                      <wps:cNvSpPr/>
                      <wps:spPr>
                        <a:xfrm>
                          <a:off x="0" y="0"/>
                          <a:ext cx="5991225" cy="4610100"/>
                        </a:xfrm>
                        <a:prstGeom prst="rect">
                          <a:avLst/>
                        </a:prstGeom>
                        <a:solidFill>
                          <a:schemeClr val="bg1"/>
                        </a:solidFill>
                        <a:ln w="25400" cap="flat" cmpd="sng" algn="ctr">
                          <a:solidFill>
                            <a:schemeClr val="accent1"/>
                          </a:solidFill>
                          <a:prstDash val="solid"/>
                        </a:ln>
                        <a:effectLst/>
                      </wps:spPr>
                      <wps:txbx>
                        <w:txbxContent>
                          <w:p w14:paraId="5F2C7436" w14:textId="77777777" w:rsidR="004C0AA6" w:rsidRPr="000428A5" w:rsidRDefault="004C0AA6" w:rsidP="004C0AA6">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4C0AA6">
                              <w:rPr>
                                <w:rFonts w:asciiTheme="majorHAnsi" w:eastAsiaTheme="majorEastAsia" w:hAnsiTheme="majorHAnsi" w:cstheme="majorBidi"/>
                                <w:caps/>
                                <w:color w:val="4F81BD" w:themeColor="accent1"/>
                                <w:szCs w:val="24"/>
                                <w:lang w:val="en-US"/>
                              </w:rPr>
                              <w:t>Box 6.1 Use of private funding for flood risk management in Belgium</w:t>
                            </w:r>
                          </w:p>
                          <w:p w14:paraId="47732A10" w14:textId="77777777" w:rsidR="004C0AA6" w:rsidRPr="004C0AA6" w:rsidRDefault="004C0AA6" w:rsidP="009579A7">
                            <w:pPr>
                              <w:pStyle w:val="Body"/>
                              <w:ind w:left="142" w:right="324"/>
                              <w:rPr>
                                <w:lang w:val="en-US"/>
                              </w:rPr>
                            </w:pPr>
                            <w:r w:rsidRPr="004C0AA6">
                              <w:rPr>
                                <w:lang w:val="en-US"/>
                              </w:rPr>
                              <w:t>In Belgium, most of the measures are financed by the public sector. Specific information on private sector financing are not available and are not reported in the RBMPs. However, it is estimated that in Flanders in 2017 EUR 2.6 billion were spent on water (an increase from EUR 2.3 billion in 2014), of which 25% were private expenditures, mostly performed by industrial companies on water provision (pumping) and wastewater treatment and agriculture on manure management. In general, both public and private expenditures have increased during the last two decades.</w:t>
                            </w:r>
                          </w:p>
                          <w:tbl>
                            <w:tblPr>
                              <w:tblStyle w:val="WoodEISUKReportTable"/>
                              <w:tblW w:w="6662" w:type="dxa"/>
                              <w:jc w:val="center"/>
                              <w:tblLayout w:type="fixed"/>
                              <w:tblLook w:val="04A0" w:firstRow="1" w:lastRow="0" w:firstColumn="1" w:lastColumn="0" w:noHBand="0" w:noVBand="1"/>
                            </w:tblPr>
                            <w:tblGrid>
                              <w:gridCol w:w="2220"/>
                              <w:gridCol w:w="2221"/>
                              <w:gridCol w:w="2221"/>
                            </w:tblGrid>
                            <w:tr w:rsidR="004C0AA6" w:rsidRPr="007A4607" w14:paraId="40929B26" w14:textId="77777777" w:rsidTr="00B224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shd w:val="clear" w:color="auto" w:fill="auto"/>
                                </w:tcPr>
                                <w:p w14:paraId="2821779D" w14:textId="77777777" w:rsidR="004C0AA6" w:rsidRPr="007A4607" w:rsidRDefault="004C0AA6" w:rsidP="00B22401">
                                  <w:pPr>
                                    <w:spacing w:before="40" w:after="40" w:line="257" w:lineRule="auto"/>
                                    <w:rPr>
                                      <w:rFonts w:ascii="Segoe UI" w:hAnsi="Segoe UI" w:cs="Segoe UI"/>
                                      <w:color w:val="000000"/>
                                      <w:sz w:val="16"/>
                                    </w:rPr>
                                  </w:pPr>
                                  <w:r w:rsidRPr="007A4607">
                                    <w:rPr>
                                      <w:rFonts w:ascii="Segoe UI" w:hAnsi="Segoe UI" w:cs="Segoe UI"/>
                                      <w:color w:val="000000"/>
                                      <w:sz w:val="16"/>
                                    </w:rPr>
                                    <w:t>Service</w:t>
                                  </w:r>
                                </w:p>
                              </w:tc>
                              <w:tc>
                                <w:tcPr>
                                  <w:tcW w:w="0" w:type="dxa"/>
                                  <w:tcBorders>
                                    <w:top w:val="single" w:sz="4" w:space="0" w:color="auto"/>
                                  </w:tcBorders>
                                  <w:shd w:val="clear" w:color="auto" w:fill="auto"/>
                                </w:tcPr>
                                <w:p w14:paraId="26F686AC" w14:textId="77777777" w:rsidR="004C0AA6" w:rsidRPr="007A4607" w:rsidRDefault="004C0AA6" w:rsidP="00B22401">
                                  <w:pPr>
                                    <w:spacing w:before="40" w:after="40" w:line="257"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Private expenditures</w:t>
                                  </w:r>
                                </w:p>
                                <w:p w14:paraId="5A9936A5" w14:textId="77777777" w:rsidR="004C0AA6" w:rsidRPr="007A4607" w:rsidRDefault="004C0AA6" w:rsidP="00B22401">
                                  <w:pPr>
                                    <w:spacing w:before="40" w:after="40" w:line="257"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(million Euro, 2014)</w:t>
                                  </w:r>
                                </w:p>
                              </w:tc>
                              <w:tc>
                                <w:tcPr>
                                  <w:tcW w:w="0" w:type="dxa"/>
                                  <w:tcBorders>
                                    <w:top w:val="single" w:sz="4" w:space="0" w:color="auto"/>
                                    <w:right w:val="single" w:sz="4" w:space="0" w:color="auto"/>
                                  </w:tcBorders>
                                  <w:shd w:val="clear" w:color="auto" w:fill="auto"/>
                                </w:tcPr>
                                <w:p w14:paraId="42D240B1" w14:textId="77777777" w:rsidR="004C0AA6" w:rsidRPr="007A4607" w:rsidRDefault="004C0AA6" w:rsidP="00B22401">
                                  <w:pPr>
                                    <w:spacing w:before="40" w:after="40" w:line="257"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Private expenditures</w:t>
                                  </w:r>
                                </w:p>
                                <w:p w14:paraId="17089D98" w14:textId="77777777" w:rsidR="004C0AA6" w:rsidRPr="007A4607" w:rsidRDefault="004C0AA6" w:rsidP="00B22401">
                                  <w:pPr>
                                    <w:spacing w:before="40" w:after="40" w:line="257"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(million Euro, 2017)</w:t>
                                  </w:r>
                                </w:p>
                              </w:tc>
                            </w:tr>
                            <w:tr w:rsidR="004C0AA6" w:rsidRPr="007A4607" w14:paraId="64D5C383" w14:textId="77777777" w:rsidTr="00B224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auto"/>
                                </w:tcPr>
                                <w:p w14:paraId="5356CCDB" w14:textId="77777777" w:rsidR="004C0AA6" w:rsidRPr="007A4607" w:rsidRDefault="004C0AA6" w:rsidP="00B22401">
                                  <w:pPr>
                                    <w:spacing w:before="40" w:after="40" w:line="257" w:lineRule="auto"/>
                                    <w:rPr>
                                      <w:rFonts w:ascii="Segoe UI" w:hAnsi="Segoe UI" w:cs="Segoe UI"/>
                                      <w:b w:val="0"/>
                                      <w:color w:val="000000"/>
                                      <w:sz w:val="16"/>
                                    </w:rPr>
                                  </w:pPr>
                                  <w:r w:rsidRPr="007A4607">
                                    <w:rPr>
                                      <w:rFonts w:ascii="Segoe UI" w:hAnsi="Segoe UI" w:cs="Segoe UI"/>
                                      <w:b w:val="0"/>
                                      <w:color w:val="000000"/>
                                      <w:sz w:val="16"/>
                                    </w:rPr>
                                    <w:t>Water supply</w:t>
                                  </w:r>
                                </w:p>
                              </w:tc>
                              <w:tc>
                                <w:tcPr>
                                  <w:tcW w:w="0" w:type="dxa"/>
                                  <w:shd w:val="clear" w:color="auto" w:fill="auto"/>
                                </w:tcPr>
                                <w:p w14:paraId="43FDD569" w14:textId="77777777" w:rsidR="004C0AA6" w:rsidRPr="007A4607" w:rsidRDefault="004C0AA6" w:rsidP="00B22401">
                                  <w:pPr>
                                    <w:spacing w:before="40" w:after="40" w:line="257"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243</w:t>
                                  </w:r>
                                </w:p>
                              </w:tc>
                              <w:tc>
                                <w:tcPr>
                                  <w:tcW w:w="0" w:type="dxa"/>
                                  <w:tcBorders>
                                    <w:right w:val="single" w:sz="4" w:space="0" w:color="auto"/>
                                  </w:tcBorders>
                                  <w:shd w:val="clear" w:color="auto" w:fill="auto"/>
                                </w:tcPr>
                                <w:p w14:paraId="7BF0ED8A" w14:textId="77777777" w:rsidR="004C0AA6" w:rsidRPr="007A4607" w:rsidRDefault="004C0AA6" w:rsidP="00B22401">
                                  <w:pPr>
                                    <w:spacing w:before="40" w:after="40" w:line="257"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296</w:t>
                                  </w:r>
                                </w:p>
                              </w:tc>
                            </w:tr>
                            <w:tr w:rsidR="004C0AA6" w:rsidRPr="007A4607" w14:paraId="49CA7DD5" w14:textId="77777777" w:rsidTr="00B2240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auto"/>
                                </w:tcPr>
                                <w:p w14:paraId="77BA6682" w14:textId="77777777" w:rsidR="004C0AA6" w:rsidRPr="007A4607" w:rsidRDefault="004C0AA6" w:rsidP="00B22401">
                                  <w:pPr>
                                    <w:spacing w:before="40" w:after="40" w:line="257" w:lineRule="auto"/>
                                    <w:rPr>
                                      <w:rFonts w:ascii="Segoe UI" w:hAnsi="Segoe UI" w:cs="Segoe UI"/>
                                      <w:b w:val="0"/>
                                      <w:color w:val="000000"/>
                                      <w:sz w:val="16"/>
                                    </w:rPr>
                                  </w:pPr>
                                  <w:r w:rsidRPr="007A4607">
                                    <w:rPr>
                                      <w:rFonts w:ascii="Segoe UI" w:hAnsi="Segoe UI" w:cs="Segoe UI"/>
                                      <w:b w:val="0"/>
                                      <w:color w:val="000000"/>
                                      <w:sz w:val="16"/>
                                    </w:rPr>
                                    <w:t>Water sanitation</w:t>
                                  </w:r>
                                </w:p>
                              </w:tc>
                              <w:tc>
                                <w:tcPr>
                                  <w:tcW w:w="0" w:type="dxa"/>
                                  <w:shd w:val="clear" w:color="auto" w:fill="auto"/>
                                </w:tcPr>
                                <w:p w14:paraId="44FB74F9" w14:textId="77777777" w:rsidR="004C0AA6" w:rsidRPr="007A4607" w:rsidRDefault="004C0AA6" w:rsidP="00B22401">
                                  <w:pPr>
                                    <w:spacing w:before="40" w:after="40" w:line="257" w:lineRule="auto"/>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334</w:t>
                                  </w:r>
                                </w:p>
                              </w:tc>
                              <w:tc>
                                <w:tcPr>
                                  <w:tcW w:w="0" w:type="dxa"/>
                                  <w:tcBorders>
                                    <w:right w:val="single" w:sz="4" w:space="0" w:color="auto"/>
                                  </w:tcBorders>
                                  <w:shd w:val="clear" w:color="auto" w:fill="auto"/>
                                </w:tcPr>
                                <w:p w14:paraId="7DC35616" w14:textId="77777777" w:rsidR="004C0AA6" w:rsidRPr="007A4607" w:rsidRDefault="004C0AA6" w:rsidP="00B22401">
                                  <w:pPr>
                                    <w:spacing w:before="40" w:after="40" w:line="257" w:lineRule="auto"/>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351</w:t>
                                  </w:r>
                                </w:p>
                              </w:tc>
                            </w:tr>
                            <w:tr w:rsidR="004C0AA6" w:rsidRPr="00A66B70" w14:paraId="2C7CCFC8" w14:textId="77777777" w:rsidTr="00B224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auto"/>
                                </w:tcPr>
                                <w:p w14:paraId="784A2752" w14:textId="77777777" w:rsidR="004C0AA6" w:rsidRPr="004C0AA6" w:rsidRDefault="004C0AA6" w:rsidP="00B22401">
                                  <w:pPr>
                                    <w:spacing w:before="40" w:after="40" w:line="257" w:lineRule="auto"/>
                                    <w:rPr>
                                      <w:rFonts w:ascii="Segoe UI" w:hAnsi="Segoe UI" w:cs="Segoe UI"/>
                                      <w:b w:val="0"/>
                                      <w:color w:val="000000"/>
                                      <w:sz w:val="16"/>
                                      <w:lang w:val="en-US"/>
                                    </w:rPr>
                                  </w:pPr>
                                  <w:r w:rsidRPr="004C0AA6">
                                    <w:rPr>
                                      <w:rFonts w:ascii="Segoe UI" w:hAnsi="Segoe UI" w:cs="Segoe UI"/>
                                      <w:b w:val="0"/>
                                      <w:color w:val="000000"/>
                                      <w:sz w:val="16"/>
                                      <w:lang w:val="en-US"/>
                                    </w:rPr>
                                    <w:t>Water management and regulation (incl. flood risk management)</w:t>
                                  </w:r>
                                </w:p>
                              </w:tc>
                              <w:tc>
                                <w:tcPr>
                                  <w:tcW w:w="0" w:type="dxa"/>
                                  <w:shd w:val="clear" w:color="auto" w:fill="auto"/>
                                </w:tcPr>
                                <w:p w14:paraId="4FD377EA" w14:textId="77777777" w:rsidR="004C0AA6" w:rsidRPr="00A66B70" w:rsidRDefault="004C0AA6" w:rsidP="00B22401">
                                  <w:pPr>
                                    <w:spacing w:before="40" w:after="40" w:line="257" w:lineRule="auto"/>
                                    <w:cnfStyle w:val="000000100000" w:firstRow="0" w:lastRow="0" w:firstColumn="0" w:lastColumn="0" w:oddVBand="0" w:evenVBand="0" w:oddHBand="1" w:evenHBand="0" w:firstRowFirstColumn="0" w:firstRowLastColumn="0" w:lastRowFirstColumn="0" w:lastRowLastColumn="0"/>
                                    <w:rPr>
                                      <w:rFonts w:ascii="Segoe UI" w:hAnsi="Segoe UI"/>
                                      <w:color w:val="000000"/>
                                      <w:sz w:val="16"/>
                                      <w:lang w:val="fr-BE"/>
                                    </w:rPr>
                                  </w:pPr>
                                  <w:r w:rsidRPr="00A66B70">
                                    <w:rPr>
                                      <w:rFonts w:ascii="Segoe UI" w:hAnsi="Segoe UI"/>
                                      <w:color w:val="000000"/>
                                      <w:sz w:val="16"/>
                                      <w:lang w:val="fr-BE"/>
                                    </w:rPr>
                                    <w:t>6</w:t>
                                  </w:r>
                                </w:p>
                              </w:tc>
                              <w:tc>
                                <w:tcPr>
                                  <w:tcW w:w="0" w:type="dxa"/>
                                  <w:tcBorders>
                                    <w:right w:val="single" w:sz="4" w:space="0" w:color="auto"/>
                                  </w:tcBorders>
                                  <w:shd w:val="clear" w:color="auto" w:fill="auto"/>
                                </w:tcPr>
                                <w:p w14:paraId="7EAC210C" w14:textId="77777777" w:rsidR="004C0AA6" w:rsidRPr="00A66B70" w:rsidRDefault="004C0AA6" w:rsidP="00B22401">
                                  <w:pPr>
                                    <w:spacing w:before="40" w:after="40" w:line="257" w:lineRule="auto"/>
                                    <w:cnfStyle w:val="000000100000" w:firstRow="0" w:lastRow="0" w:firstColumn="0" w:lastColumn="0" w:oddVBand="0" w:evenVBand="0" w:oddHBand="1" w:evenHBand="0" w:firstRowFirstColumn="0" w:firstRowLastColumn="0" w:lastRowFirstColumn="0" w:lastRowLastColumn="0"/>
                                    <w:rPr>
                                      <w:rFonts w:ascii="Segoe UI" w:hAnsi="Segoe UI"/>
                                      <w:color w:val="000000"/>
                                      <w:sz w:val="16"/>
                                      <w:lang w:val="fr-BE"/>
                                    </w:rPr>
                                  </w:pPr>
                                  <w:r w:rsidRPr="00A66B70">
                                    <w:rPr>
                                      <w:rFonts w:ascii="Segoe UI" w:hAnsi="Segoe UI"/>
                                      <w:color w:val="000000"/>
                                      <w:sz w:val="16"/>
                                      <w:lang w:val="fr-BE"/>
                                    </w:rPr>
                                    <w:t>7</w:t>
                                  </w:r>
                                </w:p>
                              </w:tc>
                            </w:tr>
                            <w:tr w:rsidR="004C0AA6" w:rsidRPr="00A66B70" w14:paraId="4E0C414B" w14:textId="77777777" w:rsidTr="00B2240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shd w:val="clear" w:color="auto" w:fill="auto"/>
                                </w:tcPr>
                                <w:p w14:paraId="4B3C0066" w14:textId="77777777" w:rsidR="004C0AA6" w:rsidRPr="00A66B70" w:rsidRDefault="004C0AA6" w:rsidP="00B22401">
                                  <w:pPr>
                                    <w:spacing w:before="40" w:after="40" w:line="257" w:lineRule="auto"/>
                                    <w:rPr>
                                      <w:rFonts w:ascii="Segoe UI" w:hAnsi="Segoe UI"/>
                                      <w:color w:val="000000"/>
                                      <w:sz w:val="16"/>
                                      <w:lang w:val="fr-BE"/>
                                    </w:rPr>
                                  </w:pPr>
                                  <w:r w:rsidRPr="00A66B70">
                                    <w:rPr>
                                      <w:rFonts w:ascii="Segoe UI" w:hAnsi="Segoe UI"/>
                                      <w:color w:val="000000"/>
                                      <w:sz w:val="16"/>
                                      <w:lang w:val="fr-BE"/>
                                    </w:rPr>
                                    <w:t>Total</w:t>
                                  </w:r>
                                </w:p>
                              </w:tc>
                              <w:tc>
                                <w:tcPr>
                                  <w:tcW w:w="0" w:type="dxa"/>
                                  <w:tcBorders>
                                    <w:bottom w:val="single" w:sz="4" w:space="0" w:color="auto"/>
                                  </w:tcBorders>
                                  <w:shd w:val="clear" w:color="auto" w:fill="auto"/>
                                </w:tcPr>
                                <w:p w14:paraId="57E8339A" w14:textId="77777777" w:rsidR="004C0AA6" w:rsidRPr="00A66B70" w:rsidRDefault="004C0AA6" w:rsidP="00B22401">
                                  <w:pPr>
                                    <w:spacing w:before="40" w:after="40" w:line="257" w:lineRule="auto"/>
                                    <w:cnfStyle w:val="000000010000" w:firstRow="0" w:lastRow="0" w:firstColumn="0" w:lastColumn="0" w:oddVBand="0" w:evenVBand="0" w:oddHBand="0" w:evenHBand="1" w:firstRowFirstColumn="0" w:firstRowLastColumn="0" w:lastRowFirstColumn="0" w:lastRowLastColumn="0"/>
                                    <w:rPr>
                                      <w:rFonts w:ascii="Segoe UI" w:hAnsi="Segoe UI"/>
                                      <w:color w:val="000000"/>
                                      <w:sz w:val="16"/>
                                      <w:lang w:val="fr-BE"/>
                                    </w:rPr>
                                  </w:pPr>
                                  <w:r w:rsidRPr="00A66B70">
                                    <w:rPr>
                                      <w:rFonts w:ascii="Segoe UI" w:hAnsi="Segoe UI"/>
                                      <w:color w:val="000000"/>
                                      <w:sz w:val="16"/>
                                      <w:lang w:val="fr-BE"/>
                                    </w:rPr>
                                    <w:t>583</w:t>
                                  </w:r>
                                </w:p>
                              </w:tc>
                              <w:tc>
                                <w:tcPr>
                                  <w:tcW w:w="0" w:type="dxa"/>
                                  <w:tcBorders>
                                    <w:bottom w:val="single" w:sz="4" w:space="0" w:color="auto"/>
                                    <w:right w:val="single" w:sz="4" w:space="0" w:color="auto"/>
                                  </w:tcBorders>
                                  <w:shd w:val="clear" w:color="auto" w:fill="auto"/>
                                </w:tcPr>
                                <w:p w14:paraId="02108007" w14:textId="77777777" w:rsidR="004C0AA6" w:rsidRPr="00A66B70" w:rsidRDefault="004C0AA6" w:rsidP="00B22401">
                                  <w:pPr>
                                    <w:spacing w:before="40" w:after="40" w:line="257" w:lineRule="auto"/>
                                    <w:cnfStyle w:val="000000010000" w:firstRow="0" w:lastRow="0" w:firstColumn="0" w:lastColumn="0" w:oddVBand="0" w:evenVBand="0" w:oddHBand="0" w:evenHBand="1" w:firstRowFirstColumn="0" w:firstRowLastColumn="0" w:lastRowFirstColumn="0" w:lastRowLastColumn="0"/>
                                    <w:rPr>
                                      <w:rFonts w:ascii="Segoe UI" w:hAnsi="Segoe UI"/>
                                      <w:color w:val="000000"/>
                                      <w:sz w:val="16"/>
                                      <w:lang w:val="fr-BE"/>
                                    </w:rPr>
                                  </w:pPr>
                                  <w:r w:rsidRPr="00A66B70">
                                    <w:rPr>
                                      <w:rFonts w:ascii="Segoe UI" w:hAnsi="Segoe UI"/>
                                      <w:color w:val="000000"/>
                                      <w:sz w:val="16"/>
                                      <w:lang w:val="fr-BE"/>
                                    </w:rPr>
                                    <w:t>653</w:t>
                                  </w:r>
                                </w:p>
                              </w:tc>
                            </w:tr>
                          </w:tbl>
                          <w:p w14:paraId="4731AF4B" w14:textId="77777777" w:rsidR="004C0AA6" w:rsidRPr="007A4607" w:rsidRDefault="004C0AA6" w:rsidP="004C0AA6">
                            <w:pPr>
                              <w:jc w:val="center"/>
                              <w:rPr>
                                <w:rFonts w:ascii="Segoe UI" w:hAnsi="Segoe UI" w:cs="Segoe UI"/>
                                <w:color w:val="000000"/>
                                <w:sz w:val="16"/>
                              </w:rPr>
                            </w:pPr>
                            <w:r w:rsidRPr="007A4607">
                              <w:rPr>
                                <w:rFonts w:ascii="Segoe UI" w:hAnsi="Segoe UI" w:cs="Segoe UI"/>
                                <w:color w:val="000000"/>
                                <w:sz w:val="16"/>
                              </w:rPr>
                              <w:t>Source: De Nocker en Broekx, 2017 ; De Nocker en Broekx, 2019</w:t>
                            </w:r>
                          </w:p>
                          <w:p w14:paraId="581EA0F1" w14:textId="77777777" w:rsidR="004C0AA6" w:rsidRPr="009579A7" w:rsidRDefault="004C0AA6" w:rsidP="009579A7">
                            <w:pPr>
                              <w:pStyle w:val="Body"/>
                              <w:ind w:left="142" w:right="182"/>
                              <w:rPr>
                                <w:sz w:val="16"/>
                                <w:szCs w:val="16"/>
                                <w:lang w:val="en-US"/>
                              </w:rPr>
                            </w:pPr>
                            <w:r w:rsidRPr="009579A7">
                              <w:rPr>
                                <w:sz w:val="16"/>
                                <w:szCs w:val="16"/>
                                <w:lang w:val="en-US"/>
                              </w:rPr>
                              <w:t>Note: private expenditures are roughly based on unit costs derived from interviews and literature, and the amount of different types of water consumed by the different sectors.</w:t>
                            </w:r>
                          </w:p>
                          <w:p w14:paraId="2A112F72" w14:textId="77777777" w:rsidR="004C0AA6" w:rsidRPr="004C0AA6" w:rsidRDefault="004C0AA6" w:rsidP="004C0AA6">
                            <w:pPr>
                              <w:pStyle w:val="Body"/>
                              <w:rPr>
                                <w:b/>
                                <w:bCs/>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0471597F" id="Rectangle 21" o:spid="_x0000_s1037" style="width:471.7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CCaQIAAOAEAAAOAAAAZHJzL2Uyb0RvYy54bWysVMFO3DAQvVfqP1i+l2y2gMqKLFqBqCoh&#10;QIWK86xjJ5Ec27W9m9Cv77OzuxTKqerFGdvjmXlv3uT8Yuw120ofOmsqXh7NOJNG2LozTcV/PF5/&#10;+sJZiGRq0tbIij/LwC+WHz+cD24h57a1upaeIYgJi8FVvI3RLYoiiFb2FI6skwaXyvqeIra+KWpP&#10;A6L3upjPZqfFYH3tvBUyBJxeTZd8meMrJUW8UyrIyHTFUVvMq8/rOq3F8pwWjSfXdmJXBv1DFT11&#10;BkkPoa4oEtv47q9QfSe8DVbFI2H7wirVCZkxAE05e4PmoSUnMxaQE9yBpvD/worb7b1nXV3xz8ec&#10;GerRo+9gjUyjJZuXiaDBhQX8Hty93+0CzIR2VL5PX+BgYyb1+UCqHCMTODw5Oyvn8xPOBO6OT0vA&#10;zLQXL8+dD/GrtD1LRsU98mcyaXsTIlLCde+SsgWru/q60zpvklLkpfZsS+jxuskl48UrL23YUPH5&#10;yTFyM0EQmtIUYfYO0INpOCPdQMEi+pz61eusxpccJIQ08d08qcwrCu1UTA6SGEQ52qRqZZbkDlXi&#10;dWIyWXFcj7kR5YH0ta2f0R1vJ9kGJ647JLihEO/JQ6cAg9mLd1iUtkBodxZnrfW/3jtP/pAPbjkb&#10;oHug/7khLznT3wyElYZkb/i9sd4bZtNfWtBcYqqdyCYe+Kj3pvK2f8JIrlIWXJERyFVxcD2Zl3Ga&#10;Poy0kKtVdsIoOIo35sGJFDoRlYh8HJ/Iu50oIvR0a/cTQYs32ph800tjV5toVZeFk4idWEQT0gZj&#10;lNuxG/k0p3/us9fLj2n5GwAA//8DAFBLAwQUAAYACAAAACEAEMhaOtwAAAAFAQAADwAAAGRycy9k&#10;b3ducmV2LnhtbEyPzU7DMBCE70i8g7VI3KhNCwVCNlVBKhx6QLRwd+PNjxKvI9tNw9tjuMBlpdGM&#10;Zr7NV5PtxUg+tI4RrmcKBHHpTMs1wsd+c3UPIkTNRveOCeGLAqyK87NcZ8ad+J3GXaxFKuGQaYQm&#10;xiGTMpQNWR1mbiBOXuW81TFJX0vj9SmV217OlVpKq1tOC40e6LmhstsdLcJn11Vhq6rF29N+fF1v&#10;Ny8+Got4eTGtH0FEmuJfGH7wEzoUiengjmyC6BHSI/H3Ju/hZnEL4oBwN18qkEUu/9MX3wAAAP//&#10;AwBQSwECLQAUAAYACAAAACEAtoM4kv4AAADhAQAAEwAAAAAAAAAAAAAAAAAAAAAAW0NvbnRlbnRf&#10;VHlwZXNdLnhtbFBLAQItABQABgAIAAAAIQA4/SH/1gAAAJQBAAALAAAAAAAAAAAAAAAAAC8BAABf&#10;cmVscy8ucmVsc1BLAQItABQABgAIAAAAIQA95LCCaQIAAOAEAAAOAAAAAAAAAAAAAAAAAC4CAABk&#10;cnMvZTJvRG9jLnhtbFBLAQItABQABgAIAAAAIQAQyFo63AAAAAUBAAAPAAAAAAAAAAAAAAAAAMME&#10;AABkcnMvZG93bnJldi54bWxQSwUGAAAAAAQABADzAAAAzAUAAAAA&#10;" fillcolor="white [3212]" strokecolor="#4f81bd [3204]" strokeweight="2pt">
                <v:textbox inset="0,0,0,0">
                  <w:txbxContent>
                    <w:p w14:paraId="5F2C7436" w14:textId="77777777" w:rsidR="004C0AA6" w:rsidRPr="000428A5" w:rsidRDefault="004C0AA6" w:rsidP="004C0AA6">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4C0AA6">
                        <w:rPr>
                          <w:rFonts w:asciiTheme="majorHAnsi" w:eastAsiaTheme="majorEastAsia" w:hAnsiTheme="majorHAnsi" w:cstheme="majorBidi"/>
                          <w:caps/>
                          <w:color w:val="4F81BD" w:themeColor="accent1"/>
                          <w:szCs w:val="24"/>
                          <w:lang w:val="en-US"/>
                        </w:rPr>
                        <w:t>Box 6.1 Use of private funding for flood risk management in Belgium</w:t>
                      </w:r>
                    </w:p>
                    <w:p w14:paraId="47732A10" w14:textId="77777777" w:rsidR="004C0AA6" w:rsidRPr="004C0AA6" w:rsidRDefault="004C0AA6" w:rsidP="009579A7">
                      <w:pPr>
                        <w:pStyle w:val="Body"/>
                        <w:ind w:left="142" w:right="324"/>
                        <w:rPr>
                          <w:lang w:val="en-US"/>
                        </w:rPr>
                      </w:pPr>
                      <w:r w:rsidRPr="004C0AA6">
                        <w:rPr>
                          <w:lang w:val="en-US"/>
                        </w:rPr>
                        <w:t>In Belgium, most of the measures are financed by the public sector. Specific information on private sector financing are not available and are not reported in the RBMPs. However, it is estimated that in Flanders in 2017 EUR 2.6 billion were spent on water (an increase from EUR 2.3 billion in 2014), of which 25% were private expenditures, mostly performed by industrial companies on water provision (pumping) and wastewater treatment and agriculture on manure management. In general, both public and private expenditures have increased during the last two decades.</w:t>
                      </w:r>
                    </w:p>
                    <w:tbl>
                      <w:tblPr>
                        <w:tblStyle w:val="WoodEISUKReportTable"/>
                        <w:tblW w:w="6662" w:type="dxa"/>
                        <w:jc w:val="center"/>
                        <w:tblLayout w:type="fixed"/>
                        <w:tblLook w:val="04A0" w:firstRow="1" w:lastRow="0" w:firstColumn="1" w:lastColumn="0" w:noHBand="0" w:noVBand="1"/>
                      </w:tblPr>
                      <w:tblGrid>
                        <w:gridCol w:w="2220"/>
                        <w:gridCol w:w="2221"/>
                        <w:gridCol w:w="2221"/>
                      </w:tblGrid>
                      <w:tr w:rsidR="004C0AA6" w:rsidRPr="007A4607" w14:paraId="40929B26" w14:textId="77777777" w:rsidTr="00B224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shd w:val="clear" w:color="auto" w:fill="auto"/>
                          </w:tcPr>
                          <w:p w14:paraId="2821779D" w14:textId="77777777" w:rsidR="004C0AA6" w:rsidRPr="007A4607" w:rsidRDefault="004C0AA6" w:rsidP="00B22401">
                            <w:pPr>
                              <w:spacing w:before="40" w:after="40" w:line="257" w:lineRule="auto"/>
                              <w:rPr>
                                <w:rFonts w:ascii="Segoe UI" w:hAnsi="Segoe UI" w:cs="Segoe UI"/>
                                <w:color w:val="000000"/>
                                <w:sz w:val="16"/>
                              </w:rPr>
                            </w:pPr>
                            <w:r w:rsidRPr="007A4607">
                              <w:rPr>
                                <w:rFonts w:ascii="Segoe UI" w:hAnsi="Segoe UI" w:cs="Segoe UI"/>
                                <w:color w:val="000000"/>
                                <w:sz w:val="16"/>
                              </w:rPr>
                              <w:t>Service</w:t>
                            </w:r>
                          </w:p>
                        </w:tc>
                        <w:tc>
                          <w:tcPr>
                            <w:tcW w:w="0" w:type="dxa"/>
                            <w:tcBorders>
                              <w:top w:val="single" w:sz="4" w:space="0" w:color="auto"/>
                            </w:tcBorders>
                            <w:shd w:val="clear" w:color="auto" w:fill="auto"/>
                          </w:tcPr>
                          <w:p w14:paraId="26F686AC" w14:textId="77777777" w:rsidR="004C0AA6" w:rsidRPr="007A4607" w:rsidRDefault="004C0AA6" w:rsidP="00B22401">
                            <w:pPr>
                              <w:spacing w:before="40" w:after="40" w:line="257"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Private expenditures</w:t>
                            </w:r>
                          </w:p>
                          <w:p w14:paraId="5A9936A5" w14:textId="77777777" w:rsidR="004C0AA6" w:rsidRPr="007A4607" w:rsidRDefault="004C0AA6" w:rsidP="00B22401">
                            <w:pPr>
                              <w:spacing w:before="40" w:after="40" w:line="257"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(million Euro, 2014)</w:t>
                            </w:r>
                          </w:p>
                        </w:tc>
                        <w:tc>
                          <w:tcPr>
                            <w:tcW w:w="0" w:type="dxa"/>
                            <w:tcBorders>
                              <w:top w:val="single" w:sz="4" w:space="0" w:color="auto"/>
                              <w:right w:val="single" w:sz="4" w:space="0" w:color="auto"/>
                            </w:tcBorders>
                            <w:shd w:val="clear" w:color="auto" w:fill="auto"/>
                          </w:tcPr>
                          <w:p w14:paraId="42D240B1" w14:textId="77777777" w:rsidR="004C0AA6" w:rsidRPr="007A4607" w:rsidRDefault="004C0AA6" w:rsidP="00B22401">
                            <w:pPr>
                              <w:spacing w:before="40" w:after="40" w:line="257"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Private expenditures</w:t>
                            </w:r>
                          </w:p>
                          <w:p w14:paraId="17089D98" w14:textId="77777777" w:rsidR="004C0AA6" w:rsidRPr="007A4607" w:rsidRDefault="004C0AA6" w:rsidP="00B22401">
                            <w:pPr>
                              <w:spacing w:before="40" w:after="40" w:line="257" w:lineRule="auto"/>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(million Euro, 2017)</w:t>
                            </w:r>
                          </w:p>
                        </w:tc>
                      </w:tr>
                      <w:tr w:rsidR="004C0AA6" w:rsidRPr="007A4607" w14:paraId="64D5C383" w14:textId="77777777" w:rsidTr="00B224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auto"/>
                          </w:tcPr>
                          <w:p w14:paraId="5356CCDB" w14:textId="77777777" w:rsidR="004C0AA6" w:rsidRPr="007A4607" w:rsidRDefault="004C0AA6" w:rsidP="00B22401">
                            <w:pPr>
                              <w:spacing w:before="40" w:after="40" w:line="257" w:lineRule="auto"/>
                              <w:rPr>
                                <w:rFonts w:ascii="Segoe UI" w:hAnsi="Segoe UI" w:cs="Segoe UI"/>
                                <w:b w:val="0"/>
                                <w:color w:val="000000"/>
                                <w:sz w:val="16"/>
                              </w:rPr>
                            </w:pPr>
                            <w:r w:rsidRPr="007A4607">
                              <w:rPr>
                                <w:rFonts w:ascii="Segoe UI" w:hAnsi="Segoe UI" w:cs="Segoe UI"/>
                                <w:b w:val="0"/>
                                <w:color w:val="000000"/>
                                <w:sz w:val="16"/>
                              </w:rPr>
                              <w:t>Water supply</w:t>
                            </w:r>
                          </w:p>
                        </w:tc>
                        <w:tc>
                          <w:tcPr>
                            <w:tcW w:w="0" w:type="dxa"/>
                            <w:shd w:val="clear" w:color="auto" w:fill="auto"/>
                          </w:tcPr>
                          <w:p w14:paraId="43FDD569" w14:textId="77777777" w:rsidR="004C0AA6" w:rsidRPr="007A4607" w:rsidRDefault="004C0AA6" w:rsidP="00B22401">
                            <w:pPr>
                              <w:spacing w:before="40" w:after="40" w:line="257"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243</w:t>
                            </w:r>
                          </w:p>
                        </w:tc>
                        <w:tc>
                          <w:tcPr>
                            <w:tcW w:w="0" w:type="dxa"/>
                            <w:tcBorders>
                              <w:right w:val="single" w:sz="4" w:space="0" w:color="auto"/>
                            </w:tcBorders>
                            <w:shd w:val="clear" w:color="auto" w:fill="auto"/>
                          </w:tcPr>
                          <w:p w14:paraId="7BF0ED8A" w14:textId="77777777" w:rsidR="004C0AA6" w:rsidRPr="007A4607" w:rsidRDefault="004C0AA6" w:rsidP="00B22401">
                            <w:pPr>
                              <w:spacing w:before="40" w:after="40" w:line="257"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296</w:t>
                            </w:r>
                          </w:p>
                        </w:tc>
                      </w:tr>
                      <w:tr w:rsidR="004C0AA6" w:rsidRPr="007A4607" w14:paraId="49CA7DD5" w14:textId="77777777" w:rsidTr="00B2240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auto"/>
                          </w:tcPr>
                          <w:p w14:paraId="77BA6682" w14:textId="77777777" w:rsidR="004C0AA6" w:rsidRPr="007A4607" w:rsidRDefault="004C0AA6" w:rsidP="00B22401">
                            <w:pPr>
                              <w:spacing w:before="40" w:after="40" w:line="257" w:lineRule="auto"/>
                              <w:rPr>
                                <w:rFonts w:ascii="Segoe UI" w:hAnsi="Segoe UI" w:cs="Segoe UI"/>
                                <w:b w:val="0"/>
                                <w:color w:val="000000"/>
                                <w:sz w:val="16"/>
                              </w:rPr>
                            </w:pPr>
                            <w:r w:rsidRPr="007A4607">
                              <w:rPr>
                                <w:rFonts w:ascii="Segoe UI" w:hAnsi="Segoe UI" w:cs="Segoe UI"/>
                                <w:b w:val="0"/>
                                <w:color w:val="000000"/>
                                <w:sz w:val="16"/>
                              </w:rPr>
                              <w:t>Water sanitation</w:t>
                            </w:r>
                          </w:p>
                        </w:tc>
                        <w:tc>
                          <w:tcPr>
                            <w:tcW w:w="0" w:type="dxa"/>
                            <w:shd w:val="clear" w:color="auto" w:fill="auto"/>
                          </w:tcPr>
                          <w:p w14:paraId="44FB74F9" w14:textId="77777777" w:rsidR="004C0AA6" w:rsidRPr="007A4607" w:rsidRDefault="004C0AA6" w:rsidP="00B22401">
                            <w:pPr>
                              <w:spacing w:before="40" w:after="40" w:line="257" w:lineRule="auto"/>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334</w:t>
                            </w:r>
                          </w:p>
                        </w:tc>
                        <w:tc>
                          <w:tcPr>
                            <w:tcW w:w="0" w:type="dxa"/>
                            <w:tcBorders>
                              <w:right w:val="single" w:sz="4" w:space="0" w:color="auto"/>
                            </w:tcBorders>
                            <w:shd w:val="clear" w:color="auto" w:fill="auto"/>
                          </w:tcPr>
                          <w:p w14:paraId="7DC35616" w14:textId="77777777" w:rsidR="004C0AA6" w:rsidRPr="007A4607" w:rsidRDefault="004C0AA6" w:rsidP="00B22401">
                            <w:pPr>
                              <w:spacing w:before="40" w:after="40" w:line="257" w:lineRule="auto"/>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rPr>
                            </w:pPr>
                            <w:r w:rsidRPr="007A4607">
                              <w:rPr>
                                <w:rFonts w:ascii="Segoe UI" w:hAnsi="Segoe UI" w:cs="Segoe UI"/>
                                <w:color w:val="000000"/>
                                <w:sz w:val="16"/>
                              </w:rPr>
                              <w:t>351</w:t>
                            </w:r>
                          </w:p>
                        </w:tc>
                      </w:tr>
                      <w:tr w:rsidR="004C0AA6" w:rsidRPr="00A66B70" w14:paraId="2C7CCFC8" w14:textId="77777777" w:rsidTr="00B224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shd w:val="clear" w:color="auto" w:fill="auto"/>
                          </w:tcPr>
                          <w:p w14:paraId="784A2752" w14:textId="77777777" w:rsidR="004C0AA6" w:rsidRPr="004C0AA6" w:rsidRDefault="004C0AA6" w:rsidP="00B22401">
                            <w:pPr>
                              <w:spacing w:before="40" w:after="40" w:line="257" w:lineRule="auto"/>
                              <w:rPr>
                                <w:rFonts w:ascii="Segoe UI" w:hAnsi="Segoe UI" w:cs="Segoe UI"/>
                                <w:b w:val="0"/>
                                <w:color w:val="000000"/>
                                <w:sz w:val="16"/>
                                <w:lang w:val="en-US"/>
                              </w:rPr>
                            </w:pPr>
                            <w:r w:rsidRPr="004C0AA6">
                              <w:rPr>
                                <w:rFonts w:ascii="Segoe UI" w:hAnsi="Segoe UI" w:cs="Segoe UI"/>
                                <w:b w:val="0"/>
                                <w:color w:val="000000"/>
                                <w:sz w:val="16"/>
                                <w:lang w:val="en-US"/>
                              </w:rPr>
                              <w:t>Water management and regulation (incl. flood risk management)</w:t>
                            </w:r>
                          </w:p>
                        </w:tc>
                        <w:tc>
                          <w:tcPr>
                            <w:tcW w:w="0" w:type="dxa"/>
                            <w:shd w:val="clear" w:color="auto" w:fill="auto"/>
                          </w:tcPr>
                          <w:p w14:paraId="4FD377EA" w14:textId="77777777" w:rsidR="004C0AA6" w:rsidRPr="00A66B70" w:rsidRDefault="004C0AA6" w:rsidP="00B22401">
                            <w:pPr>
                              <w:spacing w:before="40" w:after="40" w:line="257" w:lineRule="auto"/>
                              <w:cnfStyle w:val="000000100000" w:firstRow="0" w:lastRow="0" w:firstColumn="0" w:lastColumn="0" w:oddVBand="0" w:evenVBand="0" w:oddHBand="1" w:evenHBand="0" w:firstRowFirstColumn="0" w:firstRowLastColumn="0" w:lastRowFirstColumn="0" w:lastRowLastColumn="0"/>
                              <w:rPr>
                                <w:rFonts w:ascii="Segoe UI" w:hAnsi="Segoe UI"/>
                                <w:color w:val="000000"/>
                                <w:sz w:val="16"/>
                                <w:lang w:val="fr-BE"/>
                              </w:rPr>
                            </w:pPr>
                            <w:r w:rsidRPr="00A66B70">
                              <w:rPr>
                                <w:rFonts w:ascii="Segoe UI" w:hAnsi="Segoe UI"/>
                                <w:color w:val="000000"/>
                                <w:sz w:val="16"/>
                                <w:lang w:val="fr-BE"/>
                              </w:rPr>
                              <w:t>6</w:t>
                            </w:r>
                          </w:p>
                        </w:tc>
                        <w:tc>
                          <w:tcPr>
                            <w:tcW w:w="0" w:type="dxa"/>
                            <w:tcBorders>
                              <w:right w:val="single" w:sz="4" w:space="0" w:color="auto"/>
                            </w:tcBorders>
                            <w:shd w:val="clear" w:color="auto" w:fill="auto"/>
                          </w:tcPr>
                          <w:p w14:paraId="7EAC210C" w14:textId="77777777" w:rsidR="004C0AA6" w:rsidRPr="00A66B70" w:rsidRDefault="004C0AA6" w:rsidP="00B22401">
                            <w:pPr>
                              <w:spacing w:before="40" w:after="40" w:line="257" w:lineRule="auto"/>
                              <w:cnfStyle w:val="000000100000" w:firstRow="0" w:lastRow="0" w:firstColumn="0" w:lastColumn="0" w:oddVBand="0" w:evenVBand="0" w:oddHBand="1" w:evenHBand="0" w:firstRowFirstColumn="0" w:firstRowLastColumn="0" w:lastRowFirstColumn="0" w:lastRowLastColumn="0"/>
                              <w:rPr>
                                <w:rFonts w:ascii="Segoe UI" w:hAnsi="Segoe UI"/>
                                <w:color w:val="000000"/>
                                <w:sz w:val="16"/>
                                <w:lang w:val="fr-BE"/>
                              </w:rPr>
                            </w:pPr>
                            <w:r w:rsidRPr="00A66B70">
                              <w:rPr>
                                <w:rFonts w:ascii="Segoe UI" w:hAnsi="Segoe UI"/>
                                <w:color w:val="000000"/>
                                <w:sz w:val="16"/>
                                <w:lang w:val="fr-BE"/>
                              </w:rPr>
                              <w:t>7</w:t>
                            </w:r>
                          </w:p>
                        </w:tc>
                      </w:tr>
                      <w:tr w:rsidR="004C0AA6" w:rsidRPr="00A66B70" w14:paraId="4E0C414B" w14:textId="77777777" w:rsidTr="00B2240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shd w:val="clear" w:color="auto" w:fill="auto"/>
                          </w:tcPr>
                          <w:p w14:paraId="4B3C0066" w14:textId="77777777" w:rsidR="004C0AA6" w:rsidRPr="00A66B70" w:rsidRDefault="004C0AA6" w:rsidP="00B22401">
                            <w:pPr>
                              <w:spacing w:before="40" w:after="40" w:line="257" w:lineRule="auto"/>
                              <w:rPr>
                                <w:rFonts w:ascii="Segoe UI" w:hAnsi="Segoe UI"/>
                                <w:color w:val="000000"/>
                                <w:sz w:val="16"/>
                                <w:lang w:val="fr-BE"/>
                              </w:rPr>
                            </w:pPr>
                            <w:r w:rsidRPr="00A66B70">
                              <w:rPr>
                                <w:rFonts w:ascii="Segoe UI" w:hAnsi="Segoe UI"/>
                                <w:color w:val="000000"/>
                                <w:sz w:val="16"/>
                                <w:lang w:val="fr-BE"/>
                              </w:rPr>
                              <w:t>Total</w:t>
                            </w:r>
                          </w:p>
                        </w:tc>
                        <w:tc>
                          <w:tcPr>
                            <w:tcW w:w="0" w:type="dxa"/>
                            <w:tcBorders>
                              <w:bottom w:val="single" w:sz="4" w:space="0" w:color="auto"/>
                            </w:tcBorders>
                            <w:shd w:val="clear" w:color="auto" w:fill="auto"/>
                          </w:tcPr>
                          <w:p w14:paraId="57E8339A" w14:textId="77777777" w:rsidR="004C0AA6" w:rsidRPr="00A66B70" w:rsidRDefault="004C0AA6" w:rsidP="00B22401">
                            <w:pPr>
                              <w:spacing w:before="40" w:after="40" w:line="257" w:lineRule="auto"/>
                              <w:cnfStyle w:val="000000010000" w:firstRow="0" w:lastRow="0" w:firstColumn="0" w:lastColumn="0" w:oddVBand="0" w:evenVBand="0" w:oddHBand="0" w:evenHBand="1" w:firstRowFirstColumn="0" w:firstRowLastColumn="0" w:lastRowFirstColumn="0" w:lastRowLastColumn="0"/>
                              <w:rPr>
                                <w:rFonts w:ascii="Segoe UI" w:hAnsi="Segoe UI"/>
                                <w:color w:val="000000"/>
                                <w:sz w:val="16"/>
                                <w:lang w:val="fr-BE"/>
                              </w:rPr>
                            </w:pPr>
                            <w:r w:rsidRPr="00A66B70">
                              <w:rPr>
                                <w:rFonts w:ascii="Segoe UI" w:hAnsi="Segoe UI"/>
                                <w:color w:val="000000"/>
                                <w:sz w:val="16"/>
                                <w:lang w:val="fr-BE"/>
                              </w:rPr>
                              <w:t>583</w:t>
                            </w:r>
                          </w:p>
                        </w:tc>
                        <w:tc>
                          <w:tcPr>
                            <w:tcW w:w="0" w:type="dxa"/>
                            <w:tcBorders>
                              <w:bottom w:val="single" w:sz="4" w:space="0" w:color="auto"/>
                              <w:right w:val="single" w:sz="4" w:space="0" w:color="auto"/>
                            </w:tcBorders>
                            <w:shd w:val="clear" w:color="auto" w:fill="auto"/>
                          </w:tcPr>
                          <w:p w14:paraId="02108007" w14:textId="77777777" w:rsidR="004C0AA6" w:rsidRPr="00A66B70" w:rsidRDefault="004C0AA6" w:rsidP="00B22401">
                            <w:pPr>
                              <w:spacing w:before="40" w:after="40" w:line="257" w:lineRule="auto"/>
                              <w:cnfStyle w:val="000000010000" w:firstRow="0" w:lastRow="0" w:firstColumn="0" w:lastColumn="0" w:oddVBand="0" w:evenVBand="0" w:oddHBand="0" w:evenHBand="1" w:firstRowFirstColumn="0" w:firstRowLastColumn="0" w:lastRowFirstColumn="0" w:lastRowLastColumn="0"/>
                              <w:rPr>
                                <w:rFonts w:ascii="Segoe UI" w:hAnsi="Segoe UI"/>
                                <w:color w:val="000000"/>
                                <w:sz w:val="16"/>
                                <w:lang w:val="fr-BE"/>
                              </w:rPr>
                            </w:pPr>
                            <w:r w:rsidRPr="00A66B70">
                              <w:rPr>
                                <w:rFonts w:ascii="Segoe UI" w:hAnsi="Segoe UI"/>
                                <w:color w:val="000000"/>
                                <w:sz w:val="16"/>
                                <w:lang w:val="fr-BE"/>
                              </w:rPr>
                              <w:t>653</w:t>
                            </w:r>
                          </w:p>
                        </w:tc>
                      </w:tr>
                    </w:tbl>
                    <w:p w14:paraId="4731AF4B" w14:textId="77777777" w:rsidR="004C0AA6" w:rsidRPr="007A4607" w:rsidRDefault="004C0AA6" w:rsidP="004C0AA6">
                      <w:pPr>
                        <w:jc w:val="center"/>
                        <w:rPr>
                          <w:rFonts w:ascii="Segoe UI" w:hAnsi="Segoe UI" w:cs="Segoe UI"/>
                          <w:color w:val="000000"/>
                          <w:sz w:val="16"/>
                        </w:rPr>
                      </w:pPr>
                      <w:r w:rsidRPr="007A4607">
                        <w:rPr>
                          <w:rFonts w:ascii="Segoe UI" w:hAnsi="Segoe UI" w:cs="Segoe UI"/>
                          <w:color w:val="000000"/>
                          <w:sz w:val="16"/>
                        </w:rPr>
                        <w:t>Source: De Nocker en Broekx, 2017 ; De Nocker en Broekx, 2019</w:t>
                      </w:r>
                    </w:p>
                    <w:p w14:paraId="581EA0F1" w14:textId="77777777" w:rsidR="004C0AA6" w:rsidRPr="009579A7" w:rsidRDefault="004C0AA6" w:rsidP="009579A7">
                      <w:pPr>
                        <w:pStyle w:val="Body"/>
                        <w:ind w:left="142" w:right="182"/>
                        <w:rPr>
                          <w:sz w:val="16"/>
                          <w:szCs w:val="16"/>
                          <w:lang w:val="en-US"/>
                        </w:rPr>
                      </w:pPr>
                      <w:r w:rsidRPr="009579A7">
                        <w:rPr>
                          <w:sz w:val="16"/>
                          <w:szCs w:val="16"/>
                          <w:lang w:val="en-US"/>
                        </w:rPr>
                        <w:t>Note: private expenditures are roughly based on unit costs derived from interviews and literature, and the amount of different types of water consumed by the different sectors.</w:t>
                      </w:r>
                    </w:p>
                    <w:p w14:paraId="2A112F72" w14:textId="77777777" w:rsidR="004C0AA6" w:rsidRPr="004C0AA6" w:rsidRDefault="004C0AA6" w:rsidP="004C0AA6">
                      <w:pPr>
                        <w:pStyle w:val="Body"/>
                        <w:rPr>
                          <w:b/>
                          <w:bCs/>
                          <w:lang w:val="en-US"/>
                        </w:rPr>
                      </w:pPr>
                    </w:p>
                  </w:txbxContent>
                </v:textbox>
                <w10:anchorlock/>
              </v:rect>
            </w:pict>
          </mc:Fallback>
        </mc:AlternateContent>
      </w:r>
    </w:p>
    <w:p w14:paraId="65856119" w14:textId="77777777" w:rsidR="006E2BA2" w:rsidRDefault="006E2BA2" w:rsidP="004C0AA6">
      <w:pPr>
        <w:pStyle w:val="WDBullets"/>
        <w:numPr>
          <w:ilvl w:val="0"/>
          <w:numId w:val="0"/>
        </w:numPr>
        <w:jc w:val="both"/>
        <w:rPr>
          <w:rStyle w:val="BodyChar"/>
        </w:rPr>
      </w:pPr>
    </w:p>
    <w:p w14:paraId="1890A6C1" w14:textId="0D04116F" w:rsidR="004C0AA6" w:rsidRPr="009579A7" w:rsidRDefault="004C0AA6" w:rsidP="004C0AA6">
      <w:pPr>
        <w:pStyle w:val="WDBullets"/>
        <w:numPr>
          <w:ilvl w:val="0"/>
          <w:numId w:val="0"/>
        </w:numPr>
        <w:jc w:val="both"/>
        <w:rPr>
          <w:rStyle w:val="BodyChar"/>
          <w:lang w:val="en-US"/>
        </w:rPr>
      </w:pPr>
      <w:r w:rsidRPr="006E2BA2">
        <w:rPr>
          <w:rStyle w:val="BodyChar"/>
          <w:lang w:val="en-US"/>
        </w:rPr>
        <w:t>In addition to debt finance and commercial loans, the assessment of current MS financing practice shows that the situation is evolving with some new (innovative) funding arrangements being developed including with the involvement of private entities (see Box 6.</w:t>
      </w:r>
      <w:r w:rsidR="006E2BA2">
        <w:rPr>
          <w:rStyle w:val="BodyChar"/>
          <w:lang w:val="en-US"/>
        </w:rPr>
        <w:t>2</w:t>
      </w:r>
      <w:r w:rsidRPr="006E2BA2">
        <w:rPr>
          <w:rStyle w:val="BodyChar"/>
          <w:lang w:val="en-US"/>
        </w:rPr>
        <w:t xml:space="preserve">). </w:t>
      </w:r>
    </w:p>
    <w:p w14:paraId="701D7AB5" w14:textId="77777777" w:rsidR="009579A7" w:rsidRPr="006E2BA2" w:rsidRDefault="009579A7" w:rsidP="004C0AA6">
      <w:pPr>
        <w:pStyle w:val="WDBullets"/>
        <w:numPr>
          <w:ilvl w:val="0"/>
          <w:numId w:val="0"/>
        </w:numPr>
        <w:jc w:val="both"/>
        <w:rPr>
          <w:rStyle w:val="BodyChar"/>
          <w:lang w:val="en-US"/>
        </w:rPr>
      </w:pPr>
    </w:p>
    <w:p w14:paraId="0059FDDA" w14:textId="77777777" w:rsidR="004C0AA6" w:rsidRPr="00736A50" w:rsidRDefault="004C0AA6" w:rsidP="004679C7">
      <w:pPr>
        <w:pStyle w:val="Body"/>
        <w:ind w:left="-284"/>
      </w:pPr>
      <w:r w:rsidRPr="00D8338D">
        <w:rPr>
          <w:rFonts w:ascii="Calibri" w:hAnsi="Calibri"/>
          <w:noProof/>
          <w:sz w:val="22"/>
          <w:lang w:val="en-US"/>
        </w:rPr>
        <mc:AlternateContent>
          <mc:Choice Requires="wps">
            <w:drawing>
              <wp:inline distT="0" distB="0" distL="0" distR="0" wp14:anchorId="3ED9206E" wp14:editId="10DE8AFE">
                <wp:extent cx="6179820" cy="8176260"/>
                <wp:effectExtent l="0" t="0" r="11430" b="15240"/>
                <wp:docPr id="50" name="Rectangle 50"/>
                <wp:cNvGraphicFramePr/>
                <a:graphic xmlns:a="http://schemas.openxmlformats.org/drawingml/2006/main">
                  <a:graphicData uri="http://schemas.microsoft.com/office/word/2010/wordprocessingShape">
                    <wps:wsp>
                      <wps:cNvSpPr/>
                      <wps:spPr>
                        <a:xfrm>
                          <a:off x="0" y="0"/>
                          <a:ext cx="6179820" cy="8176260"/>
                        </a:xfrm>
                        <a:prstGeom prst="rect">
                          <a:avLst/>
                        </a:prstGeom>
                        <a:solidFill>
                          <a:schemeClr val="bg1"/>
                        </a:solidFill>
                        <a:ln w="25400" cap="flat" cmpd="sng" algn="ctr">
                          <a:solidFill>
                            <a:schemeClr val="accent1"/>
                          </a:solidFill>
                          <a:prstDash val="solid"/>
                        </a:ln>
                        <a:effectLst/>
                      </wps:spPr>
                      <wps:txbx>
                        <w:txbxContent>
                          <w:p w14:paraId="296B854B" w14:textId="77777777" w:rsidR="004C0AA6" w:rsidRPr="000428A5" w:rsidRDefault="004C0AA6" w:rsidP="004C0AA6">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4C0AA6">
                              <w:rPr>
                                <w:rFonts w:asciiTheme="majorHAnsi" w:eastAsiaTheme="majorEastAsia" w:hAnsiTheme="majorHAnsi" w:cstheme="majorBidi"/>
                                <w:caps/>
                                <w:color w:val="4F81BD" w:themeColor="accent1"/>
                                <w:szCs w:val="24"/>
                                <w:lang w:val="en-US"/>
                              </w:rPr>
                              <w:t>Box 6.2 Innovative funding arrangements in eu ms</w:t>
                            </w:r>
                          </w:p>
                          <w:p w14:paraId="1CE561CB" w14:textId="77777777" w:rsidR="004C0AA6" w:rsidRPr="004C0AA6" w:rsidRDefault="004C0AA6" w:rsidP="004C0AA6">
                            <w:pPr>
                              <w:pStyle w:val="Body"/>
                              <w:ind w:left="142" w:right="198"/>
                              <w:rPr>
                                <w:b/>
                                <w:bCs/>
                                <w:lang w:val="en-US"/>
                              </w:rPr>
                            </w:pPr>
                            <w:r w:rsidRPr="004C0AA6">
                              <w:rPr>
                                <w:b/>
                                <w:bCs/>
                                <w:lang w:val="en-US"/>
                              </w:rPr>
                              <w:t>PES schemes in France</w:t>
                            </w:r>
                          </w:p>
                          <w:p w14:paraId="26E57087" w14:textId="77777777" w:rsidR="004C0AA6" w:rsidRPr="004C0AA6" w:rsidRDefault="004C0AA6" w:rsidP="004C0AA6">
                            <w:pPr>
                              <w:pStyle w:val="Body"/>
                              <w:ind w:left="142" w:right="198"/>
                              <w:rPr>
                                <w:lang w:val="en-US"/>
                              </w:rPr>
                            </w:pPr>
                            <w:r w:rsidRPr="004C0AA6">
                              <w:rPr>
                                <w:lang w:val="en-US"/>
                              </w:rPr>
                              <w:t>In accordance to the national Biodiversity Plan (measure 24), Water Agencies can provide financial support to test the interest for Payments for Ecosystem Services (PES) on pilot sites, through a dedicated funding of 150 million EUR (total for all Water Agencies) over three years (2019-2021). The schemes must target the agricultural sector. This measure aims at supporting aggro-ecological transition, address biodiversity losses and water quality issues. Several entities can apply to Water Agencies’ tenders and implement a PES project, including for example local communities and municipalities, drinking water and river basin syndicates, groups of economic and environmental interest, cooperatives of collective interests, Natural Regional Parcs, Conservatories des Espaces Naturels.</w:t>
                            </w:r>
                          </w:p>
                          <w:p w14:paraId="4B1AC555" w14:textId="77777777" w:rsidR="004C0AA6" w:rsidRPr="004C0AA6" w:rsidRDefault="004C0AA6" w:rsidP="004C0AA6">
                            <w:pPr>
                              <w:pStyle w:val="Body"/>
                              <w:ind w:left="142" w:right="198"/>
                              <w:rPr>
                                <w:lang w:val="en-US"/>
                              </w:rPr>
                            </w:pPr>
                            <w:r w:rsidRPr="004C0AA6">
                              <w:rPr>
                                <w:lang w:val="en-US"/>
                              </w:rPr>
                              <w:t>In 2019, Water Agencies launched tenders for setting up PES studies and schemes (such as for example the Artois-Picardie and the Seine-Normandie Water Agencies); as of June 2020, about 100 PES schemes were at the project stage. The setting up of pilot PES scheme in the different RBDs is supported by the development of a national methodology, which includes the definition of national guide-values for environmental services.</w:t>
                            </w:r>
                          </w:p>
                          <w:p w14:paraId="5D1122FF" w14:textId="77777777" w:rsidR="004C0AA6" w:rsidRPr="004C0AA6" w:rsidRDefault="004C0AA6" w:rsidP="004C0AA6">
                            <w:pPr>
                              <w:pStyle w:val="Body"/>
                              <w:ind w:left="142" w:right="198"/>
                              <w:rPr>
                                <w:b/>
                                <w:bCs/>
                                <w:lang w:val="en-US"/>
                              </w:rPr>
                            </w:pPr>
                            <w:r w:rsidRPr="004C0AA6">
                              <w:rPr>
                                <w:b/>
                                <w:bCs/>
                                <w:lang w:val="en-US"/>
                              </w:rPr>
                              <w:t>Targeted Agricultural Modernisation Schemes (TAGS) in Ireland</w:t>
                            </w:r>
                          </w:p>
                          <w:p w14:paraId="757877A9" w14:textId="77777777" w:rsidR="004C0AA6" w:rsidRPr="004C0AA6" w:rsidRDefault="004C0AA6" w:rsidP="004C0AA6">
                            <w:pPr>
                              <w:pStyle w:val="Body"/>
                              <w:ind w:left="142" w:right="198"/>
                              <w:rPr>
                                <w:lang w:val="en-US"/>
                              </w:rPr>
                            </w:pPr>
                            <w:r w:rsidRPr="004C0AA6">
                              <w:rPr>
                                <w:lang w:val="en-US"/>
                              </w:rPr>
                              <w:t xml:space="preserve">The Targeted Agricultural Modernisation Schemes (TAMS) provide grant assistance to farmers for investments related to the pig and poultry sectors, dairy equipment and the storage of slurry, wastewater and other farmyard manures. Funding of EUR 395 million has been allocated to these investments, which will leverage a further EUR 500–600 million in investment by farmers. Of the EUR 395 million, EUR 190 million is specifically targeted at two schemes which form part of the TAMS: the Animal Welfare, Safety and Nutrient Storage Scheme and the Low Emission Slurry Spreading Scheme. Over the period of the next river basin planning cycle, these will lead to a significant investment by farmers in nutrient storage, and to improved nutrient utilisation. </w:t>
                            </w:r>
                          </w:p>
                          <w:p w14:paraId="2993853C" w14:textId="77777777" w:rsidR="004C0AA6" w:rsidRPr="004F34F6" w:rsidRDefault="004C0AA6" w:rsidP="004C0AA6">
                            <w:pPr>
                              <w:ind w:left="142" w:right="198"/>
                              <w:rPr>
                                <w:rFonts w:ascii="Segoe UI" w:eastAsiaTheme="minorHAnsi" w:hAnsi="Segoe UI" w:cstheme="minorBidi"/>
                                <w:b/>
                                <w:bCs/>
                                <w:color w:val="000000"/>
                                <w:sz w:val="20"/>
                              </w:rPr>
                            </w:pPr>
                            <w:r w:rsidRPr="004F34F6">
                              <w:rPr>
                                <w:rFonts w:ascii="Segoe UI" w:eastAsiaTheme="minorHAnsi" w:hAnsi="Segoe UI" w:cstheme="minorBidi"/>
                                <w:b/>
                                <w:bCs/>
                                <w:color w:val="000000"/>
                                <w:sz w:val="20"/>
                              </w:rPr>
                              <w:t xml:space="preserve">Sweden: two “electric” initiatives </w:t>
                            </w:r>
                          </w:p>
                          <w:p w14:paraId="1B6B0592" w14:textId="77777777" w:rsidR="004C0AA6" w:rsidRPr="009579A7" w:rsidRDefault="004C0AA6" w:rsidP="004C0AA6">
                            <w:pPr>
                              <w:pStyle w:val="WDBullets"/>
                              <w:ind w:left="567" w:right="198"/>
                              <w:jc w:val="both"/>
                              <w:rPr>
                                <w:rFonts w:ascii="Verdana" w:hAnsi="Verdana"/>
                              </w:rPr>
                            </w:pPr>
                            <w:r w:rsidRPr="009579A7">
                              <w:rPr>
                                <w:rFonts w:ascii="Verdana" w:hAnsi="Verdana"/>
                              </w:rPr>
                              <w:t>The eight largest hydropower companies in Sweden have agreed to establish a Hydropower</w:t>
                            </w:r>
                            <w:r w:rsidRPr="004F34F6">
                              <w:t xml:space="preserve"> </w:t>
                            </w:r>
                            <w:r w:rsidRPr="009579A7">
                              <w:rPr>
                                <w:rFonts w:ascii="Verdana" w:hAnsi="Verdana"/>
                              </w:rPr>
                              <w:t>Environmental Fund, and to invest SEK 10 billion over 20 years to achieve improved environmental quality in the Swedish hydropower industry, via a national plan (NAP). The background of the Sweden Hydropower Environment Fund is the holistic Energy Agreement*. It included several energy policy objectives and guidelines, including hydropower. Simultaneously, Sweden decided to gradually lower the real estate tax of hydropower from 2,8% to 0,5% of the taxation value. Following that agreement, hydropower companies founded the fund. In 2020, Sweden government decided about the national hydropower plan that i.e. notes the importance of the hydropower production and prioritizes the rivers according to the ecological potential and production flexibility. Now, the fund is starting its operation.</w:t>
                            </w:r>
                          </w:p>
                          <w:p w14:paraId="73C18369" w14:textId="77777777" w:rsidR="004C0AA6" w:rsidRPr="009579A7" w:rsidRDefault="004C0AA6" w:rsidP="004C0AA6">
                            <w:pPr>
                              <w:pStyle w:val="WDBullets"/>
                              <w:ind w:left="567" w:right="198"/>
                              <w:jc w:val="both"/>
                              <w:rPr>
                                <w:rFonts w:ascii="Verdana" w:hAnsi="Verdana"/>
                                <w:color w:val="auto"/>
                              </w:rPr>
                            </w:pPr>
                            <w:r w:rsidRPr="009579A7">
                              <w:rPr>
                                <w:rFonts w:ascii="Verdana" w:hAnsi="Verdana"/>
                              </w:rPr>
                              <w:t xml:space="preserve">Good environmental choice electricity: There are voluntary initiatives such as the eco label “good environmental choice”, where customers pay extra for electricity with this label. An amount per kWh renewable electricity bought finance restoration measures and/or </w:t>
                            </w:r>
                            <w:r w:rsidRPr="009579A7">
                              <w:rPr>
                                <w:rFonts w:ascii="Verdana" w:hAnsi="Verdana"/>
                                <w:color w:val="auto"/>
                              </w:rPr>
                              <w:t>energy efficiency measures.</w:t>
                            </w:r>
                          </w:p>
                          <w:p w14:paraId="61DB3706" w14:textId="77777777" w:rsidR="004C0AA6" w:rsidRDefault="004C0AA6" w:rsidP="004C0AA6">
                            <w:pPr>
                              <w:pStyle w:val="WDBullets"/>
                              <w:numPr>
                                <w:ilvl w:val="0"/>
                                <w:numId w:val="0"/>
                              </w:numPr>
                              <w:ind w:right="198"/>
                              <w:jc w:val="both"/>
                              <w:rPr>
                                <w:color w:val="auto"/>
                              </w:rPr>
                            </w:pPr>
                          </w:p>
                          <w:p w14:paraId="31DABFF7" w14:textId="77777777" w:rsidR="004C0AA6" w:rsidRDefault="004C0AA6" w:rsidP="004C0AA6">
                            <w:pPr>
                              <w:pStyle w:val="WDBullets"/>
                              <w:spacing w:after="0"/>
                              <w:ind w:left="142" w:right="198" w:firstLine="0"/>
                            </w:pPr>
                            <w:r>
                              <w:rPr>
                                <w:color w:val="auto"/>
                              </w:rPr>
                              <w:t>*</w:t>
                            </w:r>
                            <w:r w:rsidRPr="0047543C">
                              <w:t xml:space="preserve"> </w:t>
                            </w:r>
                            <w:r w:rsidRPr="00D8338D">
                              <w:rPr>
                                <w:i/>
                                <w:iCs/>
                                <w:sz w:val="16"/>
                                <w:szCs w:val="16"/>
                              </w:rPr>
                              <w:t xml:space="preserve">Energiöversekommelsen 11.6.2016, </w:t>
                            </w:r>
                            <w:hyperlink r:id="rId71" w:history="1">
                              <w:r w:rsidRPr="00D8338D">
                                <w:rPr>
                                  <w:rStyle w:val="Hyperlink"/>
                                  <w:i/>
                                  <w:iCs/>
                                  <w:sz w:val="16"/>
                                  <w:szCs w:val="16"/>
                                </w:rPr>
                                <w:t>https://www.government.se/articles/2016/06/agreement-on-swedish-energy-policy/</w:t>
                              </w:r>
                            </w:hyperlink>
                            <w:r>
                              <w:t xml:space="preserve"> </w:t>
                            </w:r>
                          </w:p>
                          <w:p w14:paraId="300337F4" w14:textId="77777777" w:rsidR="004C0AA6" w:rsidRPr="00D8338D" w:rsidRDefault="004C0AA6" w:rsidP="004C0AA6">
                            <w:pPr>
                              <w:pStyle w:val="WDBullets"/>
                              <w:spacing w:after="0"/>
                              <w:ind w:left="142" w:right="198" w:firstLine="0"/>
                              <w:rPr>
                                <w:i/>
                                <w:iCs/>
                                <w:sz w:val="16"/>
                                <w:szCs w:val="16"/>
                              </w:rPr>
                            </w:pPr>
                            <w:r w:rsidRPr="00D8338D">
                              <w:rPr>
                                <w:sz w:val="16"/>
                                <w:szCs w:val="16"/>
                              </w:rPr>
                              <w:t xml:space="preserve">** </w:t>
                            </w:r>
                            <w:r w:rsidRPr="00D8338D">
                              <w:rPr>
                                <w:i/>
                                <w:iCs/>
                                <w:sz w:val="16"/>
                                <w:szCs w:val="16"/>
                              </w:rPr>
                              <w:t xml:space="preserve">More information on the fund </w:t>
                            </w:r>
                            <w:hyperlink r:id="rId72" w:history="1">
                              <w:r w:rsidRPr="00D8338D">
                                <w:rPr>
                                  <w:rStyle w:val="Hyperlink"/>
                                  <w:i/>
                                  <w:iCs/>
                                  <w:sz w:val="16"/>
                                  <w:szCs w:val="16"/>
                                </w:rPr>
                                <w:t>https://vattenkraftensmiljofond.se/</w:t>
                              </w:r>
                            </w:hyperlink>
                            <w:r>
                              <w:rPr>
                                <w:i/>
                                <w:iCs/>
                                <w:sz w:val="16"/>
                                <w:szCs w:val="16"/>
                              </w:rPr>
                              <w:t xml:space="preserve"> </w:t>
                            </w:r>
                            <w:r w:rsidRPr="00D8338D">
                              <w:rPr>
                                <w:i/>
                                <w:iCs/>
                                <w:sz w:val="16"/>
                                <w:szCs w:val="16"/>
                              </w:rPr>
                              <w:t xml:space="preserve"> (in Swedish)</w:t>
                            </w:r>
                          </w:p>
                          <w:p w14:paraId="06866196" w14:textId="77777777" w:rsidR="004C0AA6" w:rsidRPr="004F34F6" w:rsidRDefault="004C0AA6" w:rsidP="004C0AA6">
                            <w:pPr>
                              <w:pStyle w:val="WDBullets"/>
                              <w:ind w:left="0" w:right="198" w:firstLine="0"/>
                              <w:rPr>
                                <w:color w:val="auto"/>
                              </w:rPr>
                            </w:pPr>
                          </w:p>
                          <w:p w14:paraId="6C5A7814" w14:textId="77777777" w:rsidR="004C0AA6" w:rsidRPr="004C0AA6" w:rsidRDefault="004C0AA6" w:rsidP="004C0AA6">
                            <w:pPr>
                              <w:pStyle w:val="Body"/>
                              <w:ind w:left="-218" w:right="198"/>
                              <w:rPr>
                                <w:b/>
                                <w:bCs/>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3ED9206E" id="Rectangle 50" o:spid="_x0000_s1038" style="width:486.6pt;height:6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3aAIAAOAEAAAOAAAAZHJzL2Uyb0RvYy54bWysVE1P3DAQvVfqf7B8L9msykJXZNEKRFUJ&#10;ASpUnGcd50NybNf2bkJ/fZ+dBArlVPXivLHH8/H8JmfnQ6fYQTrfGl3w/GjBmdTClK2uC/7j4erT&#10;KWc+kC5JGS0L/iQ9P998/HDW27VcmsaoUjqGINqve1vwJgS7zjIvGtmRPzJWahxWxnUUYLo6Kx31&#10;iN6pbLlYrLLeuNI6I6T32L0cD/kmxa8qKcJtVXkZmCo4agtpdWndxTXbnNG6dmSbVkxl0D9U0VGr&#10;kfQ51CUFYnvX/hWqa4Uz3lThSJguM1XVCpl6QDf54k039w1ZmXoBOd4+0+T/X1hxc7hzrC0Lfgx6&#10;NHV4o+9gjXStJMMeCOqtX8Pv3t65yfKAsduhcl38og82JFKfnkmVQ2ACm6v85MvpEsEFzk7zk9Vy&#10;laJmL9et8+GrNB2LoOAO+ROZdLj2ASnhOrvEbN6otrxqlUpGVIq8UI4dCG+8q/NYMm688lKa9QVf&#10;Hn9exEIIQqsUBcDOonWva85I1VCwCC6lfnU7qfElBwkhdXg3TyzzknwzFpOCTOUoHauVSZJTV5HX&#10;kcmIwrAb0kPky5n0nSmf8DrOjLL1Vly1SHBNPtyRg07RDGYv3GKplEGHZkKcNcb9em8/+kM+OOWs&#10;h+7R/c89OcmZ+qYhLIQMM3Az2M1A77sLA5pzTLUVCeKCC2qGlTPdI0ZyG7PgiLRAroKD6xFehHH6&#10;MNJCbrfJCaNgKVzreyti6EhUJPJheCRnJ1EE6OnGzBNB6zfaGH3jTW22+2CqNgknEjuyCE1EA2OU&#10;1DGNfJzTP+3k9fJj2vwGAAD//wMAUEsDBBQABgAIAAAAIQCqWwGm3AAAAAYBAAAPAAAAZHJzL2Rv&#10;d25yZXYueG1sTI/NTsMwEITvSLyDtUjcqEMqtSXEqQpS4dADooW7G29+lHgd2W4a3p5tL3AZaTWj&#10;mW/z9WR7MaIPrSMFj7MEBFLpTEu1gq/D9mEFIkRNRveOUMEPBlgXtze5zow70yeO+1gLLqGQaQVN&#10;jEMmZSgbtDrM3IDEXuW81ZFPX0vj9ZnLbS/TJFlIq1vihUYP+Npg2e1PVsF311Vhl1Tzj5fD+L7Z&#10;bd98NFap+7tp8wwi4hT/wnDBZ3QomOnoTmSC6BXwI/Gq7D0t5ymII4fS1XIBssjlf/ziFwAA//8D&#10;AFBLAQItABQABgAIAAAAIQC2gziS/gAAAOEBAAATAAAAAAAAAAAAAAAAAAAAAABbQ29udGVudF9U&#10;eXBlc10ueG1sUEsBAi0AFAAGAAgAAAAhADj9If/WAAAAlAEAAAsAAAAAAAAAAAAAAAAALwEAAF9y&#10;ZWxzLy5yZWxzUEsBAi0AFAAGAAgAAAAhABsdj/doAgAA4AQAAA4AAAAAAAAAAAAAAAAALgIAAGRy&#10;cy9lMm9Eb2MueG1sUEsBAi0AFAAGAAgAAAAhAKpbAabcAAAABgEAAA8AAAAAAAAAAAAAAAAAwgQA&#10;AGRycy9kb3ducmV2LnhtbFBLBQYAAAAABAAEAPMAAADLBQAAAAA=&#10;" fillcolor="white [3212]" strokecolor="#4f81bd [3204]" strokeweight="2pt">
                <v:textbox inset="0,0,0,0">
                  <w:txbxContent>
                    <w:p w14:paraId="296B854B" w14:textId="77777777" w:rsidR="004C0AA6" w:rsidRPr="000428A5" w:rsidRDefault="004C0AA6" w:rsidP="004C0AA6">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4C0AA6">
                        <w:rPr>
                          <w:rFonts w:asciiTheme="majorHAnsi" w:eastAsiaTheme="majorEastAsia" w:hAnsiTheme="majorHAnsi" w:cstheme="majorBidi"/>
                          <w:caps/>
                          <w:color w:val="4F81BD" w:themeColor="accent1"/>
                          <w:szCs w:val="24"/>
                          <w:lang w:val="en-US"/>
                        </w:rPr>
                        <w:t>Box 6.2 Innovative funding arrangements in eu ms</w:t>
                      </w:r>
                    </w:p>
                    <w:p w14:paraId="1CE561CB" w14:textId="77777777" w:rsidR="004C0AA6" w:rsidRPr="004C0AA6" w:rsidRDefault="004C0AA6" w:rsidP="004C0AA6">
                      <w:pPr>
                        <w:pStyle w:val="Body"/>
                        <w:ind w:left="142" w:right="198"/>
                        <w:rPr>
                          <w:b/>
                          <w:bCs/>
                          <w:lang w:val="en-US"/>
                        </w:rPr>
                      </w:pPr>
                      <w:r w:rsidRPr="004C0AA6">
                        <w:rPr>
                          <w:b/>
                          <w:bCs/>
                          <w:lang w:val="en-US"/>
                        </w:rPr>
                        <w:t>PES schemes in France</w:t>
                      </w:r>
                    </w:p>
                    <w:p w14:paraId="26E57087" w14:textId="77777777" w:rsidR="004C0AA6" w:rsidRPr="004C0AA6" w:rsidRDefault="004C0AA6" w:rsidP="004C0AA6">
                      <w:pPr>
                        <w:pStyle w:val="Body"/>
                        <w:ind w:left="142" w:right="198"/>
                        <w:rPr>
                          <w:lang w:val="en-US"/>
                        </w:rPr>
                      </w:pPr>
                      <w:r w:rsidRPr="004C0AA6">
                        <w:rPr>
                          <w:lang w:val="en-US"/>
                        </w:rPr>
                        <w:t>In accordance to the national Biodiversity Plan (measure 24), Water Agencies can provide financial support to test the interest for Payments for Ecosystem Services (PES) on pilot sites, through a dedicated funding of 150 million EUR (total for all Water Agencies) over three years (2019-2021). The schemes must target the agricultural sector. This measure aims at supporting aggro-ecological transition, address biodiversity losses and water quality issues. Several entities can apply to Water Agencies’ tenders and implement a PES project, including for example local communities and municipalities, drinking water and river basin syndicates, groups of economic and environmental interest, cooperatives of collective interests, Natural Regional Parcs, Conservatories des Espaces Naturels.</w:t>
                      </w:r>
                    </w:p>
                    <w:p w14:paraId="4B1AC555" w14:textId="77777777" w:rsidR="004C0AA6" w:rsidRPr="004C0AA6" w:rsidRDefault="004C0AA6" w:rsidP="004C0AA6">
                      <w:pPr>
                        <w:pStyle w:val="Body"/>
                        <w:ind w:left="142" w:right="198"/>
                        <w:rPr>
                          <w:lang w:val="en-US"/>
                        </w:rPr>
                      </w:pPr>
                      <w:r w:rsidRPr="004C0AA6">
                        <w:rPr>
                          <w:lang w:val="en-US"/>
                        </w:rPr>
                        <w:t>In 2019, Water Agencies launched tenders for setting up PES studies and schemes (such as for example the Artois-Picardie and the Seine-Normandie Water Agencies); as of June 2020, about 100 PES schemes were at the project stage. The setting up of pilot PES scheme in the different RBDs is supported by the development of a national methodology, which includes the definition of national guide-values for environmental services.</w:t>
                      </w:r>
                    </w:p>
                    <w:p w14:paraId="5D1122FF" w14:textId="77777777" w:rsidR="004C0AA6" w:rsidRPr="004C0AA6" w:rsidRDefault="004C0AA6" w:rsidP="004C0AA6">
                      <w:pPr>
                        <w:pStyle w:val="Body"/>
                        <w:ind w:left="142" w:right="198"/>
                        <w:rPr>
                          <w:b/>
                          <w:bCs/>
                          <w:lang w:val="en-US"/>
                        </w:rPr>
                      </w:pPr>
                      <w:r w:rsidRPr="004C0AA6">
                        <w:rPr>
                          <w:b/>
                          <w:bCs/>
                          <w:lang w:val="en-US"/>
                        </w:rPr>
                        <w:t>Targeted Agricultural Modernisation Schemes (TAGS) in Ireland</w:t>
                      </w:r>
                    </w:p>
                    <w:p w14:paraId="757877A9" w14:textId="77777777" w:rsidR="004C0AA6" w:rsidRPr="004C0AA6" w:rsidRDefault="004C0AA6" w:rsidP="004C0AA6">
                      <w:pPr>
                        <w:pStyle w:val="Body"/>
                        <w:ind w:left="142" w:right="198"/>
                        <w:rPr>
                          <w:lang w:val="en-US"/>
                        </w:rPr>
                      </w:pPr>
                      <w:r w:rsidRPr="004C0AA6">
                        <w:rPr>
                          <w:lang w:val="en-US"/>
                        </w:rPr>
                        <w:t xml:space="preserve">The Targeted Agricultural Modernisation Schemes (TAMS) provide grant assistance to farmers for investments related to the pig and poultry sectors, dairy equipment and the storage of slurry, wastewater and other farmyard manures. Funding of EUR 395 million has been allocated to these investments, which will leverage a further EUR 500–600 million in investment by farmers. Of the EUR 395 million, EUR 190 million is specifically targeted at two schemes which form part of the TAMS: the Animal Welfare, Safety and Nutrient Storage Scheme and the Low Emission Slurry Spreading Scheme. Over the period of the next river basin planning cycle, these will lead to a significant investment by farmers in nutrient storage, and to improved nutrient utilisation. </w:t>
                      </w:r>
                    </w:p>
                    <w:p w14:paraId="2993853C" w14:textId="77777777" w:rsidR="004C0AA6" w:rsidRPr="004F34F6" w:rsidRDefault="004C0AA6" w:rsidP="004C0AA6">
                      <w:pPr>
                        <w:ind w:left="142" w:right="198"/>
                        <w:rPr>
                          <w:rFonts w:ascii="Segoe UI" w:eastAsiaTheme="minorHAnsi" w:hAnsi="Segoe UI" w:cstheme="minorBidi"/>
                          <w:b/>
                          <w:bCs/>
                          <w:color w:val="000000"/>
                          <w:sz w:val="20"/>
                        </w:rPr>
                      </w:pPr>
                      <w:r w:rsidRPr="004F34F6">
                        <w:rPr>
                          <w:rFonts w:ascii="Segoe UI" w:eastAsiaTheme="minorHAnsi" w:hAnsi="Segoe UI" w:cstheme="minorBidi"/>
                          <w:b/>
                          <w:bCs/>
                          <w:color w:val="000000"/>
                          <w:sz w:val="20"/>
                        </w:rPr>
                        <w:t xml:space="preserve">Sweden: two “electric” initiatives </w:t>
                      </w:r>
                    </w:p>
                    <w:p w14:paraId="1B6B0592" w14:textId="77777777" w:rsidR="004C0AA6" w:rsidRPr="009579A7" w:rsidRDefault="004C0AA6" w:rsidP="004C0AA6">
                      <w:pPr>
                        <w:pStyle w:val="WDBullets"/>
                        <w:ind w:left="567" w:right="198"/>
                        <w:jc w:val="both"/>
                        <w:rPr>
                          <w:rFonts w:ascii="Verdana" w:hAnsi="Verdana"/>
                        </w:rPr>
                      </w:pPr>
                      <w:r w:rsidRPr="009579A7">
                        <w:rPr>
                          <w:rFonts w:ascii="Verdana" w:hAnsi="Verdana"/>
                        </w:rPr>
                        <w:t>The eight largest hydropower companies in Sweden have agreed to establish a Hydropower</w:t>
                      </w:r>
                      <w:r w:rsidRPr="004F34F6">
                        <w:t xml:space="preserve"> </w:t>
                      </w:r>
                      <w:r w:rsidRPr="009579A7">
                        <w:rPr>
                          <w:rFonts w:ascii="Verdana" w:hAnsi="Verdana"/>
                        </w:rPr>
                        <w:t>Environmental Fund, and to invest SEK 10 billion over 20 years to achieve improved environmental quality in the Swedish hydropower industry, via a national plan (NAP). The background of the Sweden Hydropower Environment Fund is the holistic Energy Agreement*. It included several energy policy objectives and guidelines, including hydropower. Simultaneously, Sweden decided to gradually lower the real estate tax of hydropower from 2,8% to 0,5% of the taxation value. Following that agreement, hydropower companies founded the fund. In 2020, Sweden government decided about the national hydropower plan that i.e. notes the importance of the hydropower production and prioritizes the rivers according to the ecological potential and production flexibility. Now, the fund is starting its operation.</w:t>
                      </w:r>
                    </w:p>
                    <w:p w14:paraId="73C18369" w14:textId="77777777" w:rsidR="004C0AA6" w:rsidRPr="009579A7" w:rsidRDefault="004C0AA6" w:rsidP="004C0AA6">
                      <w:pPr>
                        <w:pStyle w:val="WDBullets"/>
                        <w:ind w:left="567" w:right="198"/>
                        <w:jc w:val="both"/>
                        <w:rPr>
                          <w:rFonts w:ascii="Verdana" w:hAnsi="Verdana"/>
                          <w:color w:val="auto"/>
                        </w:rPr>
                      </w:pPr>
                      <w:r w:rsidRPr="009579A7">
                        <w:rPr>
                          <w:rFonts w:ascii="Verdana" w:hAnsi="Verdana"/>
                        </w:rPr>
                        <w:t xml:space="preserve">Good environmental choice electricity: There are voluntary initiatives such as the eco label “good environmental choice”, where customers pay extra for electricity with this label. An amount per kWh renewable electricity bought finance restoration measures and/or </w:t>
                      </w:r>
                      <w:r w:rsidRPr="009579A7">
                        <w:rPr>
                          <w:rFonts w:ascii="Verdana" w:hAnsi="Verdana"/>
                          <w:color w:val="auto"/>
                        </w:rPr>
                        <w:t>energy efficiency measures.</w:t>
                      </w:r>
                    </w:p>
                    <w:p w14:paraId="61DB3706" w14:textId="77777777" w:rsidR="004C0AA6" w:rsidRDefault="004C0AA6" w:rsidP="004C0AA6">
                      <w:pPr>
                        <w:pStyle w:val="WDBullets"/>
                        <w:numPr>
                          <w:ilvl w:val="0"/>
                          <w:numId w:val="0"/>
                        </w:numPr>
                        <w:ind w:right="198"/>
                        <w:jc w:val="both"/>
                        <w:rPr>
                          <w:color w:val="auto"/>
                        </w:rPr>
                      </w:pPr>
                    </w:p>
                    <w:p w14:paraId="31DABFF7" w14:textId="77777777" w:rsidR="004C0AA6" w:rsidRDefault="004C0AA6" w:rsidP="004C0AA6">
                      <w:pPr>
                        <w:pStyle w:val="WDBullets"/>
                        <w:spacing w:after="0"/>
                        <w:ind w:left="142" w:right="198" w:firstLine="0"/>
                      </w:pPr>
                      <w:r>
                        <w:rPr>
                          <w:color w:val="auto"/>
                        </w:rPr>
                        <w:t>*</w:t>
                      </w:r>
                      <w:r w:rsidRPr="0047543C">
                        <w:t xml:space="preserve"> </w:t>
                      </w:r>
                      <w:r w:rsidRPr="00D8338D">
                        <w:rPr>
                          <w:i/>
                          <w:iCs/>
                          <w:sz w:val="16"/>
                          <w:szCs w:val="16"/>
                        </w:rPr>
                        <w:t xml:space="preserve">Energiöversekommelsen 11.6.2016, </w:t>
                      </w:r>
                      <w:hyperlink r:id="rId73" w:history="1">
                        <w:r w:rsidRPr="00D8338D">
                          <w:rPr>
                            <w:rStyle w:val="Hyperlink"/>
                            <w:i/>
                            <w:iCs/>
                            <w:sz w:val="16"/>
                            <w:szCs w:val="16"/>
                          </w:rPr>
                          <w:t>https://www.government.se/articles/2016/06/agreement-on-swedish-energy-policy/</w:t>
                        </w:r>
                      </w:hyperlink>
                      <w:r>
                        <w:t xml:space="preserve"> </w:t>
                      </w:r>
                    </w:p>
                    <w:p w14:paraId="300337F4" w14:textId="77777777" w:rsidR="004C0AA6" w:rsidRPr="00D8338D" w:rsidRDefault="004C0AA6" w:rsidP="004C0AA6">
                      <w:pPr>
                        <w:pStyle w:val="WDBullets"/>
                        <w:spacing w:after="0"/>
                        <w:ind w:left="142" w:right="198" w:firstLine="0"/>
                        <w:rPr>
                          <w:i/>
                          <w:iCs/>
                          <w:sz w:val="16"/>
                          <w:szCs w:val="16"/>
                        </w:rPr>
                      </w:pPr>
                      <w:r w:rsidRPr="00D8338D">
                        <w:rPr>
                          <w:sz w:val="16"/>
                          <w:szCs w:val="16"/>
                        </w:rPr>
                        <w:t xml:space="preserve">** </w:t>
                      </w:r>
                      <w:r w:rsidRPr="00D8338D">
                        <w:rPr>
                          <w:i/>
                          <w:iCs/>
                          <w:sz w:val="16"/>
                          <w:szCs w:val="16"/>
                        </w:rPr>
                        <w:t xml:space="preserve">More information on the fund </w:t>
                      </w:r>
                      <w:hyperlink r:id="rId74" w:history="1">
                        <w:r w:rsidRPr="00D8338D">
                          <w:rPr>
                            <w:rStyle w:val="Hyperlink"/>
                            <w:i/>
                            <w:iCs/>
                            <w:sz w:val="16"/>
                            <w:szCs w:val="16"/>
                          </w:rPr>
                          <w:t>https://vattenkraftensmiljofond.se/</w:t>
                        </w:r>
                      </w:hyperlink>
                      <w:r>
                        <w:rPr>
                          <w:i/>
                          <w:iCs/>
                          <w:sz w:val="16"/>
                          <w:szCs w:val="16"/>
                        </w:rPr>
                        <w:t xml:space="preserve"> </w:t>
                      </w:r>
                      <w:r w:rsidRPr="00D8338D">
                        <w:rPr>
                          <w:i/>
                          <w:iCs/>
                          <w:sz w:val="16"/>
                          <w:szCs w:val="16"/>
                        </w:rPr>
                        <w:t xml:space="preserve"> (in Swedish)</w:t>
                      </w:r>
                    </w:p>
                    <w:p w14:paraId="06866196" w14:textId="77777777" w:rsidR="004C0AA6" w:rsidRPr="004F34F6" w:rsidRDefault="004C0AA6" w:rsidP="004C0AA6">
                      <w:pPr>
                        <w:pStyle w:val="WDBullets"/>
                        <w:ind w:left="0" w:right="198" w:firstLine="0"/>
                        <w:rPr>
                          <w:color w:val="auto"/>
                        </w:rPr>
                      </w:pPr>
                    </w:p>
                    <w:p w14:paraId="6C5A7814" w14:textId="77777777" w:rsidR="004C0AA6" w:rsidRPr="004C0AA6" w:rsidRDefault="004C0AA6" w:rsidP="004C0AA6">
                      <w:pPr>
                        <w:pStyle w:val="Body"/>
                        <w:ind w:left="-218" w:right="198"/>
                        <w:rPr>
                          <w:b/>
                          <w:bCs/>
                          <w:lang w:val="en-US"/>
                        </w:rPr>
                      </w:pPr>
                    </w:p>
                  </w:txbxContent>
                </v:textbox>
                <w10:anchorlock/>
              </v:rect>
            </w:pict>
          </mc:Fallback>
        </mc:AlternateContent>
      </w:r>
    </w:p>
    <w:p w14:paraId="176C4F77" w14:textId="77777777" w:rsidR="004C0AA6" w:rsidRDefault="004C0AA6" w:rsidP="004C0AA6">
      <w:pPr>
        <w:pStyle w:val="Body"/>
      </w:pPr>
    </w:p>
    <w:p w14:paraId="4CB1E1EB" w14:textId="77777777" w:rsidR="004C0AA6" w:rsidRPr="004C0AA6" w:rsidRDefault="004C0AA6" w:rsidP="004C0AA6">
      <w:pPr>
        <w:pStyle w:val="Body"/>
        <w:rPr>
          <w:lang w:val="en-US"/>
        </w:rPr>
      </w:pPr>
      <w:r w:rsidRPr="004C0AA6">
        <w:rPr>
          <w:lang w:val="en-US"/>
        </w:rPr>
        <w:t xml:space="preserve">In times of budget constraints, </w:t>
      </w:r>
      <w:r w:rsidRPr="004C0AA6">
        <w:rPr>
          <w:b/>
          <w:bCs/>
          <w:lang w:val="en-US"/>
        </w:rPr>
        <w:t>charges on significant water uses</w:t>
      </w:r>
      <w:r w:rsidRPr="004C0AA6">
        <w:rPr>
          <w:lang w:val="en-US"/>
        </w:rPr>
        <w:t xml:space="preserve"> – other than water abstraction and polluting discharges – could offer a solution to raising revenues and to strengthening the application of the polluter- or user-pays principles. As noted above, such charges are in place in less than half of the MS. The picture emerging from the review of all instruments in place in the different countries is that of a diverse galaxy of different instruments, including for example:</w:t>
      </w:r>
    </w:p>
    <w:p w14:paraId="5F34C644" w14:textId="77777777" w:rsidR="004C0AA6" w:rsidRPr="009579A7" w:rsidRDefault="004C0AA6" w:rsidP="004C0AA6">
      <w:pPr>
        <w:pStyle w:val="WDBullets"/>
        <w:jc w:val="both"/>
        <w:rPr>
          <w:rFonts w:ascii="Verdana" w:hAnsi="Verdana"/>
        </w:rPr>
      </w:pPr>
      <w:r w:rsidRPr="009579A7">
        <w:rPr>
          <w:rFonts w:ascii="Verdana" w:hAnsi="Verdana"/>
        </w:rPr>
        <w:t>Taxes on pesticides and/or nitrates, in place in three MS in slightly different formats. As this tax addresses a commonly found water management issue in Europe, existing instruments are described in more detail in the Box below;</w:t>
      </w:r>
    </w:p>
    <w:p w14:paraId="06A70D00" w14:textId="77777777" w:rsidR="004C0AA6" w:rsidRPr="009579A7" w:rsidRDefault="004C0AA6" w:rsidP="004C0AA6">
      <w:pPr>
        <w:pStyle w:val="WDBullets"/>
        <w:jc w:val="both"/>
        <w:rPr>
          <w:rFonts w:ascii="Verdana" w:hAnsi="Verdana"/>
        </w:rPr>
      </w:pPr>
      <w:r w:rsidRPr="009579A7">
        <w:rPr>
          <w:rFonts w:ascii="Verdana" w:hAnsi="Verdana"/>
        </w:rPr>
        <w:t>Water metering fees;</w:t>
      </w:r>
    </w:p>
    <w:p w14:paraId="51AA7ADC" w14:textId="77777777" w:rsidR="004C0AA6" w:rsidRPr="009579A7" w:rsidRDefault="004C0AA6" w:rsidP="004C0AA6">
      <w:pPr>
        <w:pStyle w:val="WDBullets"/>
        <w:jc w:val="both"/>
        <w:rPr>
          <w:rFonts w:ascii="Verdana" w:hAnsi="Verdana"/>
        </w:rPr>
      </w:pPr>
      <w:r w:rsidRPr="009579A7">
        <w:rPr>
          <w:rFonts w:ascii="Verdana" w:hAnsi="Verdana"/>
        </w:rPr>
        <w:t>A charge on obstacles in water bodies or, according to another name, on flow continuity disruption;</w:t>
      </w:r>
    </w:p>
    <w:p w14:paraId="14383D2A" w14:textId="77777777" w:rsidR="004C0AA6" w:rsidRPr="009579A7" w:rsidRDefault="004C0AA6" w:rsidP="004C0AA6">
      <w:pPr>
        <w:pStyle w:val="WDBullets"/>
        <w:jc w:val="both"/>
        <w:rPr>
          <w:rFonts w:ascii="Verdana" w:hAnsi="Verdana"/>
        </w:rPr>
      </w:pPr>
      <w:r w:rsidRPr="009579A7">
        <w:rPr>
          <w:rFonts w:ascii="Verdana" w:hAnsi="Verdana"/>
        </w:rPr>
        <w:t>A charge on alluvial sediment extraction; and</w:t>
      </w:r>
    </w:p>
    <w:p w14:paraId="4C8F35AB" w14:textId="77777777" w:rsidR="004C0AA6" w:rsidRPr="009579A7" w:rsidRDefault="004C0AA6" w:rsidP="004C0AA6">
      <w:pPr>
        <w:pStyle w:val="WDBullets"/>
        <w:jc w:val="both"/>
        <w:rPr>
          <w:rFonts w:ascii="Verdana" w:hAnsi="Verdana"/>
        </w:rPr>
      </w:pPr>
      <w:r w:rsidRPr="009579A7">
        <w:rPr>
          <w:rFonts w:ascii="Verdana" w:hAnsi="Verdana"/>
        </w:rPr>
        <w:t>Several other different instruments, such as a hydraulic tax, a charge on aquaculture, navigation fees, etc.</w:t>
      </w:r>
    </w:p>
    <w:p w14:paraId="2D0AD0EA" w14:textId="48D12FC9" w:rsidR="004C0AA6" w:rsidRDefault="004C0AA6" w:rsidP="009579A7">
      <w:pPr>
        <w:pStyle w:val="Body"/>
        <w:rPr>
          <w:lang w:val="en-US"/>
        </w:rPr>
      </w:pPr>
      <w:r w:rsidRPr="009579A7">
        <w:rPr>
          <w:lang w:val="en-US"/>
        </w:rPr>
        <w:t>This variety of instruments is illustrated in the figure below</w:t>
      </w:r>
      <w:r w:rsidR="00AF2E91">
        <w:rPr>
          <w:lang w:val="en-US"/>
        </w:rPr>
        <w:t xml:space="preserve">; Box 6.3 provides an insight on existing </w:t>
      </w:r>
      <w:r w:rsidR="00761ED4">
        <w:rPr>
          <w:lang w:val="en-US"/>
        </w:rPr>
        <w:t>taxes and charges on nitrates and pesticides.</w:t>
      </w:r>
    </w:p>
    <w:p w14:paraId="04B6F439" w14:textId="77777777" w:rsidR="009579A7" w:rsidRPr="009579A7" w:rsidRDefault="009579A7" w:rsidP="009579A7">
      <w:pPr>
        <w:pStyle w:val="Body"/>
        <w:rPr>
          <w:lang w:val="en-US"/>
        </w:rPr>
      </w:pPr>
    </w:p>
    <w:p w14:paraId="12FD7B26" w14:textId="33FA2D65" w:rsidR="004C0AA6" w:rsidRPr="009579A7" w:rsidRDefault="009579A7" w:rsidP="009579A7">
      <w:pPr>
        <w:pStyle w:val="Caption"/>
        <w:rPr>
          <w:rFonts w:ascii="Verdana" w:hAnsi="Verdana"/>
          <w:color w:val="548DD4" w:themeColor="text2" w:themeTint="99"/>
          <w:sz w:val="18"/>
          <w:szCs w:val="18"/>
          <w:lang w:val="en-US"/>
        </w:rPr>
      </w:pPr>
      <w:bookmarkStart w:id="98" w:name="_Toc59181830"/>
      <w:r w:rsidRPr="009579A7">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Pr="009579A7">
        <w:rPr>
          <w:rFonts w:ascii="Verdana" w:hAnsi="Verdana"/>
          <w:color w:val="548DD4" w:themeColor="text2" w:themeTint="99"/>
          <w:sz w:val="18"/>
          <w:szCs w:val="18"/>
          <w:lang w:val="en-US"/>
        </w:rPr>
        <w:t xml:space="preserve"> </w:t>
      </w:r>
      <w:r w:rsidR="004C0AA6" w:rsidRPr="009579A7">
        <w:rPr>
          <w:rFonts w:ascii="Verdana" w:hAnsi="Verdana"/>
          <w:color w:val="548DD4" w:themeColor="text2" w:themeTint="99"/>
          <w:sz w:val="18"/>
          <w:szCs w:val="18"/>
          <w:lang w:val="en-US"/>
        </w:rPr>
        <w:t>Other charges on significant water uses in pace in the different MS</w:t>
      </w:r>
      <w:bookmarkEnd w:id="98"/>
    </w:p>
    <w:p w14:paraId="216A27FD" w14:textId="77777777" w:rsidR="004C0AA6" w:rsidRPr="00B22401" w:rsidRDefault="004C0AA6" w:rsidP="004C0AA6">
      <w:pPr>
        <w:pStyle w:val="WDBullets"/>
        <w:numPr>
          <w:ilvl w:val="0"/>
          <w:numId w:val="0"/>
        </w:numPr>
      </w:pPr>
      <w:r w:rsidRPr="00D8338D">
        <w:rPr>
          <w:noProof/>
          <w:lang w:val="en-US"/>
        </w:rPr>
        <w:drawing>
          <wp:inline distT="0" distB="0" distL="0" distR="0" wp14:anchorId="553243A5" wp14:editId="0459E17E">
            <wp:extent cx="4869180" cy="3807246"/>
            <wp:effectExtent l="0" t="0" r="7620" b="3175"/>
            <wp:docPr id="7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2282" cy="3809671"/>
                    </a:xfrm>
                    <a:prstGeom prst="rect">
                      <a:avLst/>
                    </a:prstGeom>
                    <a:noFill/>
                  </pic:spPr>
                </pic:pic>
              </a:graphicData>
            </a:graphic>
          </wp:inline>
        </w:drawing>
      </w:r>
    </w:p>
    <w:p w14:paraId="008CDDD2" w14:textId="77777777" w:rsidR="004C0AA6" w:rsidRPr="00B22401" w:rsidRDefault="004C0AA6" w:rsidP="004C0AA6">
      <w:pPr>
        <w:pStyle w:val="WDBullets"/>
        <w:numPr>
          <w:ilvl w:val="0"/>
          <w:numId w:val="0"/>
        </w:numPr>
      </w:pPr>
    </w:p>
    <w:p w14:paraId="37266AA6" w14:textId="77777777" w:rsidR="004C0AA6" w:rsidRPr="00B22401" w:rsidRDefault="004C0AA6" w:rsidP="004C0AA6">
      <w:pPr>
        <w:pStyle w:val="WDBullets"/>
        <w:numPr>
          <w:ilvl w:val="0"/>
          <w:numId w:val="0"/>
        </w:numPr>
      </w:pPr>
    </w:p>
    <w:p w14:paraId="57D64656" w14:textId="77777777" w:rsidR="004C0AA6" w:rsidRPr="00B22401" w:rsidRDefault="004C0AA6" w:rsidP="004C0AA6">
      <w:pPr>
        <w:pStyle w:val="WDBullets"/>
        <w:numPr>
          <w:ilvl w:val="0"/>
          <w:numId w:val="0"/>
        </w:numPr>
      </w:pPr>
    </w:p>
    <w:p w14:paraId="525522FD" w14:textId="77777777" w:rsidR="004C0AA6" w:rsidRPr="00B22401" w:rsidRDefault="004C0AA6" w:rsidP="004C0AA6">
      <w:pPr>
        <w:pStyle w:val="WDBullets"/>
        <w:numPr>
          <w:ilvl w:val="0"/>
          <w:numId w:val="0"/>
        </w:numPr>
      </w:pPr>
    </w:p>
    <w:p w14:paraId="272C2445" w14:textId="77777777" w:rsidR="004C0AA6" w:rsidRPr="00B22401" w:rsidRDefault="004C0AA6" w:rsidP="004C0AA6">
      <w:pPr>
        <w:pStyle w:val="WDBullets"/>
        <w:numPr>
          <w:ilvl w:val="0"/>
          <w:numId w:val="0"/>
        </w:numPr>
      </w:pPr>
    </w:p>
    <w:p w14:paraId="6378352B" w14:textId="77777777" w:rsidR="004C0AA6" w:rsidRPr="00736A50" w:rsidRDefault="004C0AA6" w:rsidP="004679C7">
      <w:pPr>
        <w:pStyle w:val="Body"/>
        <w:ind w:left="-567"/>
      </w:pPr>
      <w:r w:rsidRPr="00D8338D">
        <w:rPr>
          <w:rFonts w:ascii="Calibri" w:hAnsi="Calibri"/>
          <w:noProof/>
          <w:sz w:val="22"/>
          <w:lang w:val="en-US"/>
        </w:rPr>
        <mc:AlternateContent>
          <mc:Choice Requires="wps">
            <w:drawing>
              <wp:inline distT="0" distB="0" distL="0" distR="0" wp14:anchorId="072C5C5E" wp14:editId="5883A70F">
                <wp:extent cx="6446520" cy="5646420"/>
                <wp:effectExtent l="0" t="0" r="11430" b="11430"/>
                <wp:docPr id="55" name="Rectangle 55"/>
                <wp:cNvGraphicFramePr/>
                <a:graphic xmlns:a="http://schemas.openxmlformats.org/drawingml/2006/main">
                  <a:graphicData uri="http://schemas.microsoft.com/office/word/2010/wordprocessingShape">
                    <wps:wsp>
                      <wps:cNvSpPr/>
                      <wps:spPr>
                        <a:xfrm>
                          <a:off x="0" y="0"/>
                          <a:ext cx="6446520" cy="5646420"/>
                        </a:xfrm>
                        <a:prstGeom prst="rect">
                          <a:avLst/>
                        </a:prstGeom>
                        <a:solidFill>
                          <a:schemeClr val="bg1"/>
                        </a:solidFill>
                        <a:ln w="25400" cap="flat" cmpd="sng" algn="ctr">
                          <a:solidFill>
                            <a:schemeClr val="accent1"/>
                          </a:solidFill>
                          <a:prstDash val="solid"/>
                        </a:ln>
                        <a:effectLst/>
                      </wps:spPr>
                      <wps:txbx>
                        <w:txbxContent>
                          <w:p w14:paraId="32F60489" w14:textId="77777777" w:rsidR="004C0AA6" w:rsidRPr="00A71BB3" w:rsidRDefault="004C0AA6" w:rsidP="004C0AA6">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4C0AA6">
                              <w:rPr>
                                <w:rFonts w:asciiTheme="majorHAnsi" w:eastAsiaTheme="majorEastAsia" w:hAnsiTheme="majorHAnsi" w:cstheme="majorBidi"/>
                                <w:caps/>
                                <w:color w:val="4F81BD" w:themeColor="accent1"/>
                                <w:szCs w:val="24"/>
                                <w:lang w:val="en-US"/>
                              </w:rPr>
                              <w:t>box 6.3 Taxes on nitrates and/or pesticides</w:t>
                            </w:r>
                          </w:p>
                          <w:p w14:paraId="2318C5CD" w14:textId="77777777" w:rsidR="004C0AA6" w:rsidRPr="004C0AA6" w:rsidRDefault="004C0AA6" w:rsidP="004C0AA6">
                            <w:pPr>
                              <w:pStyle w:val="Body"/>
                              <w:ind w:left="142" w:right="193"/>
                              <w:rPr>
                                <w:lang w:val="en-US"/>
                              </w:rPr>
                            </w:pPr>
                            <w:r w:rsidRPr="004C0AA6">
                              <w:rPr>
                                <w:lang w:val="en-US"/>
                              </w:rPr>
                              <w:t>Taxes on nitrates and/or pesticides exist in Denmark, France and Sweden, and these are aimed at reducing pesticides and/or nitrates use – thus, raising revenues is not the main objective of these instruments, although it is a positive “collateral” effect. The fee is charged on the quantity of phytosanitary products used (rates per kilogram); it can be charged either on producers/ importers or on final consumers (farmers), but in both cases the charge is reflected in the final retail price of products – thus providing an incentive for a reduced product use.</w:t>
                            </w:r>
                          </w:p>
                          <w:p w14:paraId="08690EA3" w14:textId="77777777" w:rsidR="004C0AA6" w:rsidRPr="004C0AA6" w:rsidRDefault="004C0AA6" w:rsidP="004C0AA6">
                            <w:pPr>
                              <w:pStyle w:val="Body"/>
                              <w:ind w:left="142" w:right="193"/>
                              <w:rPr>
                                <w:lang w:val="en-US"/>
                              </w:rPr>
                            </w:pPr>
                            <w:r w:rsidRPr="004C0AA6">
                              <w:rPr>
                                <w:lang w:val="en-US"/>
                              </w:rPr>
                              <w:t xml:space="preserve">In </w:t>
                            </w:r>
                            <w:r w:rsidRPr="004C0AA6">
                              <w:rPr>
                                <w:b/>
                                <w:bCs/>
                                <w:lang w:val="en-US"/>
                              </w:rPr>
                              <w:t>Denmark</w:t>
                            </w:r>
                            <w:r w:rsidRPr="004C0AA6">
                              <w:rPr>
                                <w:lang w:val="en-US"/>
                              </w:rPr>
                              <w:t>, the pesticide tax is part of the Danish Pesticides Strategy adopted for 2017-2021. The strategy is focused on four pillars: an approval system for pesticides, the control of substances, the increase of knowledge through research and information and guidance to be provided. Following the introduction of the Danish pesticide tax, sales of pesticides in Denmark have decreased by 31% between 2011 and 2018. In addition to the pesticide tax, the Danish Pesticides Strategy aims to support research on unintended and undesirable effects of pesticides on the environment and human health, and on the promotion of the development and use of alternatives to chemical pesticides. Finally, the Danish Pesticides Strategy supports specific regulations for greenhouses, sites for filling and washing of spraying equipment, and well vicinity protection zones in order to further minimize the risk of water contamination.</w:t>
                            </w:r>
                          </w:p>
                          <w:p w14:paraId="4163296E" w14:textId="77777777" w:rsidR="004C0AA6" w:rsidRPr="004C0AA6" w:rsidRDefault="004C0AA6" w:rsidP="004C0AA6">
                            <w:pPr>
                              <w:pStyle w:val="Body"/>
                              <w:ind w:left="142" w:right="193"/>
                              <w:rPr>
                                <w:lang w:val="en-US"/>
                              </w:rPr>
                            </w:pPr>
                            <w:r w:rsidRPr="004C0AA6">
                              <w:rPr>
                                <w:lang w:val="en-US"/>
                              </w:rPr>
                              <w:t xml:space="preserve">In </w:t>
                            </w:r>
                            <w:r w:rsidRPr="004C0AA6">
                              <w:rPr>
                                <w:b/>
                                <w:bCs/>
                                <w:lang w:val="en-US"/>
                              </w:rPr>
                              <w:t>France</w:t>
                            </w:r>
                            <w:r w:rsidRPr="004C0AA6">
                              <w:rPr>
                                <w:lang w:val="en-US"/>
                              </w:rPr>
                              <w:t>, the fee is charged on both pesticides and nitrates. It is managed and collected by Water Agencies. Different rates are set based on the risk level of phytosanitary products, with higher rates for riskier products. As for 2017, around 70% of the revenues collected entered in the Water Agencies’ budget (financing of measures to preserve and protect water resources), and 30% were directed to the French Office for Biodiversity (OFB) to fund the Ecophyto Plan (this plan goes 100% to the agricultural sphere, directly or indirectly, although around 1M € is intended for amateur gardeners)</w:t>
                            </w:r>
                          </w:p>
                          <w:p w14:paraId="14392CDE" w14:textId="77777777" w:rsidR="004C0AA6" w:rsidRPr="004C0AA6" w:rsidRDefault="004C0AA6" w:rsidP="004C0AA6">
                            <w:pPr>
                              <w:pStyle w:val="Body"/>
                              <w:ind w:left="142" w:right="193"/>
                              <w:rPr>
                                <w:lang w:val="en-US"/>
                              </w:rPr>
                            </w:pPr>
                            <w:r w:rsidRPr="004C0AA6">
                              <w:rPr>
                                <w:lang w:val="en-US"/>
                              </w:rPr>
                              <w:t xml:space="preserve">In </w:t>
                            </w:r>
                            <w:r w:rsidRPr="004C0AA6">
                              <w:rPr>
                                <w:b/>
                                <w:bCs/>
                                <w:lang w:val="en-US"/>
                              </w:rPr>
                              <w:t>Sweden</w:t>
                            </w:r>
                            <w:r w:rsidRPr="004C0AA6">
                              <w:rPr>
                                <w:lang w:val="en-US"/>
                              </w:rPr>
                              <w:t>, the pesticide tax is also based on the weight of the product. In this case, revenues from the tax go to the general State budget and are not earmarked for specific uses.</w:t>
                            </w:r>
                          </w:p>
                          <w:p w14:paraId="707AF432" w14:textId="77777777" w:rsidR="004C0AA6" w:rsidRPr="004C0AA6" w:rsidRDefault="004C0AA6" w:rsidP="004C0AA6">
                            <w:pPr>
                              <w:pStyle w:val="Body"/>
                              <w:ind w:left="142" w:right="193"/>
                              <w:rPr>
                                <w:b/>
                                <w:bCs/>
                                <w:lang w:val="en-US"/>
                              </w:rPr>
                            </w:pPr>
                            <w:r w:rsidRPr="004C0AA6">
                              <w:rPr>
                                <w:lang w:val="en-US"/>
                              </w:rPr>
                              <w:t xml:space="preserve">Although not yet in place, a fee for diffuse pollution from agricultural sources has been proposed by the Minister of Agriculture and Food in </w:t>
                            </w:r>
                            <w:r w:rsidRPr="004C0AA6">
                              <w:rPr>
                                <w:b/>
                                <w:bCs/>
                                <w:lang w:val="en-US"/>
                              </w:rPr>
                              <w:t>Bulgaria</w:t>
                            </w:r>
                            <w:r w:rsidRPr="004C0AA6">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072C5C5E" id="Rectangle 55" o:spid="_x0000_s1039" style="width:507.6pt;height:4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EZgIAAOAEAAAOAAAAZHJzL2Uyb0RvYy54bWysVE1v2zAMvQ/YfxB0X51kSTAEdYqgQYYB&#10;RVusHXpmZMk2oK9RSuzu14+SnWbtehp2kUmJIvmeHn151RvNjhJD62zJpxcTzqQVrmptXfIfj7tP&#10;XzgLEWwF2llZ8mcZ+NX644fLzq/kzDVOVxIZJbFh1fmSNzH6VVEE0UgD4cJ5aelQOTQQycW6qBA6&#10;ym50MZtMlkXnsPLohAyBdrfDIV/n/EpJEe+UCjIyXXLqLeYV87pPa7G+hFWN4JtWjG3AP3RhoLVU&#10;9CXVFiKwA7Z/pTKtQBecihfCmcIp1QqZMRCa6eQNmocGvMxYiJzgX2gK/y+tuD3eI2urki8WnFkw&#10;9EbfiTWwtZaM9oigzocVxT34exy9QGZC2ys06Us4WJ9JfX4hVfaRCdpczufLxYy4F3S2WM6Xc3Io&#10;T3G+7jHEr9IZloySI9XPZMLxJsQh9BSSqgWn22rXap2dpBR5rZEdgd54X0/H5K+itGVdyWeL+SQ1&#10;AiQ0pSGSaTxBD7bmDHRNChYRc+lXt7MazzVACGnju3VSm1sIzdBMTjK2o23qVmZJjqgSrwOTyYr9&#10;vs8PMf2crqStvaue6XXQDbINXuxaKnADId4Dkk4JDM1evKNFaUcI3Whx1jj89d5+iif50ClnHeme&#10;0P88AErO9DdLwkpDcjLwZOxPhj2Ya0c0T2mqvcgmXcCoT6ZCZ55oJDepCh2BFVSr5MT1YF7HYfpo&#10;pIXcbHIQjYKHeGMfvEipE1GJyMf+CdCPooikp1t3mghYvdHGEJtuWrc5RKfaLJwziyS45NAYZemN&#10;I5/m9E8/R51/TOvfAAAA//8DAFBLAwQUAAYACAAAACEAckDZfdwAAAAGAQAADwAAAGRycy9kb3du&#10;cmV2LnhtbEyPzU7DMBCE70i8g7VIvVG7QaAQ4lQFqe2hB0QLdzfe/CjxOrLdNH17XC70stJoRjPf&#10;5svJ9GxE51tLEhZzAQyptLqlWsL3Yf2YAvNBkVa9JZRwQQ/L4v4uV5m2Z/rCcR9qFkvIZ0pCE8KQ&#10;ce7LBo3yczsgRa+yzqgQpau5duocy03PEyFeuFEtxYVGDfjRYNntT0bCT9dVfieqp8/3w7hd7dYb&#10;F7SRcvYwrd6ABZzCfxiu+BEdish0tCfSnvUS4iPh7149sXhOgB0lpOlrArzI+S1+8QsAAP//AwBQ&#10;SwECLQAUAAYACAAAACEAtoM4kv4AAADhAQAAEwAAAAAAAAAAAAAAAAAAAAAAW0NvbnRlbnRfVHlw&#10;ZXNdLnhtbFBLAQItABQABgAIAAAAIQA4/SH/1gAAAJQBAAALAAAAAAAAAAAAAAAAAC8BAABfcmVs&#10;cy8ucmVsc1BLAQItABQABgAIAAAAIQDJk+SEZgIAAOAEAAAOAAAAAAAAAAAAAAAAAC4CAABkcnMv&#10;ZTJvRG9jLnhtbFBLAQItABQABgAIAAAAIQByQNl93AAAAAYBAAAPAAAAAAAAAAAAAAAAAMAEAABk&#10;cnMvZG93bnJldi54bWxQSwUGAAAAAAQABADzAAAAyQUAAAAA&#10;" fillcolor="white [3212]" strokecolor="#4f81bd [3204]" strokeweight="2pt">
                <v:textbox inset="0,0,0,0">
                  <w:txbxContent>
                    <w:p w14:paraId="32F60489" w14:textId="77777777" w:rsidR="004C0AA6" w:rsidRPr="00A71BB3" w:rsidRDefault="004C0AA6" w:rsidP="004C0AA6">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4C0AA6">
                        <w:rPr>
                          <w:rFonts w:asciiTheme="majorHAnsi" w:eastAsiaTheme="majorEastAsia" w:hAnsiTheme="majorHAnsi" w:cstheme="majorBidi"/>
                          <w:caps/>
                          <w:color w:val="4F81BD" w:themeColor="accent1"/>
                          <w:szCs w:val="24"/>
                          <w:lang w:val="en-US"/>
                        </w:rPr>
                        <w:t>box 6.3 Taxes on nitrates and/or pesticides</w:t>
                      </w:r>
                    </w:p>
                    <w:p w14:paraId="2318C5CD" w14:textId="77777777" w:rsidR="004C0AA6" w:rsidRPr="004C0AA6" w:rsidRDefault="004C0AA6" w:rsidP="004C0AA6">
                      <w:pPr>
                        <w:pStyle w:val="Body"/>
                        <w:ind w:left="142" w:right="193"/>
                        <w:rPr>
                          <w:lang w:val="en-US"/>
                        </w:rPr>
                      </w:pPr>
                      <w:r w:rsidRPr="004C0AA6">
                        <w:rPr>
                          <w:lang w:val="en-US"/>
                        </w:rPr>
                        <w:t>Taxes on nitrates and/or pesticides exist in Denmark, France and Sweden, and these are aimed at reducing pesticides and/or nitrates use – thus, raising revenues is not the main objective of these instruments, although it is a positive “collateral” effect. The fee is charged on the quantity of phytosanitary products used (rates per kilogram); it can be charged either on producers/ importers or on final consumers (farmers), but in both cases the charge is reflected in the final retail price of products – thus providing an incentive for a reduced product use.</w:t>
                      </w:r>
                    </w:p>
                    <w:p w14:paraId="08690EA3" w14:textId="77777777" w:rsidR="004C0AA6" w:rsidRPr="004C0AA6" w:rsidRDefault="004C0AA6" w:rsidP="004C0AA6">
                      <w:pPr>
                        <w:pStyle w:val="Body"/>
                        <w:ind w:left="142" w:right="193"/>
                        <w:rPr>
                          <w:lang w:val="en-US"/>
                        </w:rPr>
                      </w:pPr>
                      <w:r w:rsidRPr="004C0AA6">
                        <w:rPr>
                          <w:lang w:val="en-US"/>
                        </w:rPr>
                        <w:t xml:space="preserve">In </w:t>
                      </w:r>
                      <w:r w:rsidRPr="004C0AA6">
                        <w:rPr>
                          <w:b/>
                          <w:bCs/>
                          <w:lang w:val="en-US"/>
                        </w:rPr>
                        <w:t>Denmark</w:t>
                      </w:r>
                      <w:r w:rsidRPr="004C0AA6">
                        <w:rPr>
                          <w:lang w:val="en-US"/>
                        </w:rPr>
                        <w:t>, the pesticide tax is part of the Danish Pesticides Strategy adopted for 2017-2021. The strategy is focused on four pillars: an approval system for pesticides, the control of substances, the increase of knowledge through research and information and guidance to be provided. Following the introduction of the Danish pesticide tax, sales of pesticides in Denmark have decreased by 31% between 2011 and 2018. In addition to the pesticide tax, the Danish Pesticides Strategy aims to support research on unintended and undesirable effects of pesticides on the environment and human health, and on the promotion of the development and use of alternatives to chemical pesticides. Finally, the Danish Pesticides Strategy supports specific regulations for greenhouses, sites for filling and washing of spraying equipment, and well vicinity protection zones in order to further minimize the risk of water contamination.</w:t>
                      </w:r>
                    </w:p>
                    <w:p w14:paraId="4163296E" w14:textId="77777777" w:rsidR="004C0AA6" w:rsidRPr="004C0AA6" w:rsidRDefault="004C0AA6" w:rsidP="004C0AA6">
                      <w:pPr>
                        <w:pStyle w:val="Body"/>
                        <w:ind w:left="142" w:right="193"/>
                        <w:rPr>
                          <w:lang w:val="en-US"/>
                        </w:rPr>
                      </w:pPr>
                      <w:r w:rsidRPr="004C0AA6">
                        <w:rPr>
                          <w:lang w:val="en-US"/>
                        </w:rPr>
                        <w:t xml:space="preserve">In </w:t>
                      </w:r>
                      <w:r w:rsidRPr="004C0AA6">
                        <w:rPr>
                          <w:b/>
                          <w:bCs/>
                          <w:lang w:val="en-US"/>
                        </w:rPr>
                        <w:t>France</w:t>
                      </w:r>
                      <w:r w:rsidRPr="004C0AA6">
                        <w:rPr>
                          <w:lang w:val="en-US"/>
                        </w:rPr>
                        <w:t>, the fee is charged on both pesticides and nitrates. It is managed and collected by Water Agencies. Different rates are set based on the risk level of phytosanitary products, with higher rates for riskier products. As for 2017, around 70% of the revenues collected entered in the Water Agencies’ budget (financing of measures to preserve and protect water resources), and 30% were directed to the French Office for Biodiversity (OFB) to fund the Ecophyto Plan (this plan goes 100% to the agricultural sphere, directly or indirectly, although around 1M € is intended for amateur gardeners)</w:t>
                      </w:r>
                    </w:p>
                    <w:p w14:paraId="14392CDE" w14:textId="77777777" w:rsidR="004C0AA6" w:rsidRPr="004C0AA6" w:rsidRDefault="004C0AA6" w:rsidP="004C0AA6">
                      <w:pPr>
                        <w:pStyle w:val="Body"/>
                        <w:ind w:left="142" w:right="193"/>
                        <w:rPr>
                          <w:lang w:val="en-US"/>
                        </w:rPr>
                      </w:pPr>
                      <w:r w:rsidRPr="004C0AA6">
                        <w:rPr>
                          <w:lang w:val="en-US"/>
                        </w:rPr>
                        <w:t xml:space="preserve">In </w:t>
                      </w:r>
                      <w:r w:rsidRPr="004C0AA6">
                        <w:rPr>
                          <w:b/>
                          <w:bCs/>
                          <w:lang w:val="en-US"/>
                        </w:rPr>
                        <w:t>Sweden</w:t>
                      </w:r>
                      <w:r w:rsidRPr="004C0AA6">
                        <w:rPr>
                          <w:lang w:val="en-US"/>
                        </w:rPr>
                        <w:t>, the pesticide tax is also based on the weight of the product. In this case, revenues from the tax go to the general State budget and are not earmarked for specific uses.</w:t>
                      </w:r>
                    </w:p>
                    <w:p w14:paraId="707AF432" w14:textId="77777777" w:rsidR="004C0AA6" w:rsidRPr="004C0AA6" w:rsidRDefault="004C0AA6" w:rsidP="004C0AA6">
                      <w:pPr>
                        <w:pStyle w:val="Body"/>
                        <w:ind w:left="142" w:right="193"/>
                        <w:rPr>
                          <w:b/>
                          <w:bCs/>
                          <w:lang w:val="en-US"/>
                        </w:rPr>
                      </w:pPr>
                      <w:r w:rsidRPr="004C0AA6">
                        <w:rPr>
                          <w:lang w:val="en-US"/>
                        </w:rPr>
                        <w:t xml:space="preserve">Although not yet in place, a fee for diffuse pollution from agricultural sources has been proposed by the Minister of Agriculture and Food in </w:t>
                      </w:r>
                      <w:r w:rsidRPr="004C0AA6">
                        <w:rPr>
                          <w:b/>
                          <w:bCs/>
                          <w:lang w:val="en-US"/>
                        </w:rPr>
                        <w:t>Bulgaria</w:t>
                      </w:r>
                      <w:r w:rsidRPr="004C0AA6">
                        <w:rPr>
                          <w:lang w:val="en-US"/>
                        </w:rPr>
                        <w:t>.</w:t>
                      </w:r>
                    </w:p>
                  </w:txbxContent>
                </v:textbox>
                <w10:anchorlock/>
              </v:rect>
            </w:pict>
          </mc:Fallback>
        </mc:AlternateContent>
      </w:r>
    </w:p>
    <w:p w14:paraId="159CA51D" w14:textId="77777777" w:rsidR="004C0AA6" w:rsidRDefault="004C0AA6" w:rsidP="004C0AA6">
      <w:pPr>
        <w:pStyle w:val="WDBullets"/>
        <w:numPr>
          <w:ilvl w:val="0"/>
          <w:numId w:val="0"/>
        </w:numPr>
      </w:pPr>
    </w:p>
    <w:p w14:paraId="357711FE" w14:textId="77777777" w:rsidR="004C0AA6" w:rsidRPr="001A7166" w:rsidRDefault="004C0AA6" w:rsidP="00761ED4">
      <w:pPr>
        <w:pStyle w:val="Body"/>
        <w:rPr>
          <w:lang w:val="en-US"/>
        </w:rPr>
      </w:pPr>
      <w:r w:rsidRPr="001A7166">
        <w:rPr>
          <w:lang w:val="en-US"/>
        </w:rPr>
        <w:t xml:space="preserve">Although nitrates and pesticides are one of the main water management issues in the EU, only three countries have a specific charge in place to address the problem, and another one is planning to implement it: this reveals </w:t>
      </w:r>
      <w:r w:rsidRPr="001A7166">
        <w:rPr>
          <w:b/>
          <w:bCs/>
          <w:lang w:val="en-US"/>
        </w:rPr>
        <w:t>weaknesses in the implementation of the polluter-pays principle</w:t>
      </w:r>
      <w:r w:rsidRPr="001A7166">
        <w:rPr>
          <w:lang w:val="en-US"/>
        </w:rPr>
        <w:t xml:space="preserve"> in the EU – in the absence of specific charges, the environmental costs of using nitrates and pesticides are born by the society as a whole, or by other users’ groups.</w:t>
      </w:r>
    </w:p>
    <w:p w14:paraId="33FA098D" w14:textId="77777777" w:rsidR="004C0AA6" w:rsidRPr="00736A50" w:rsidRDefault="004C0AA6" w:rsidP="004C0AA6">
      <w:pPr>
        <w:pStyle w:val="WDBullets"/>
        <w:numPr>
          <w:ilvl w:val="0"/>
          <w:numId w:val="0"/>
        </w:numPr>
      </w:pPr>
      <w:r w:rsidRPr="00D8338D">
        <w:rPr>
          <w:rFonts w:ascii="Calibri" w:hAnsi="Calibri"/>
          <w:noProof/>
          <w:color w:val="auto"/>
          <w:sz w:val="22"/>
          <w:lang w:val="en-US"/>
        </w:rPr>
        <mc:AlternateContent>
          <mc:Choice Requires="wps">
            <w:drawing>
              <wp:inline distT="0" distB="0" distL="0" distR="0" wp14:anchorId="753C385C" wp14:editId="598626A6">
                <wp:extent cx="5833533" cy="3268980"/>
                <wp:effectExtent l="0" t="0" r="15240" b="26670"/>
                <wp:docPr id="66" name="Rectangle 30"/>
                <wp:cNvGraphicFramePr/>
                <a:graphic xmlns:a="http://schemas.openxmlformats.org/drawingml/2006/main">
                  <a:graphicData uri="http://schemas.microsoft.com/office/word/2010/wordprocessingShape">
                    <wps:wsp>
                      <wps:cNvSpPr/>
                      <wps:spPr>
                        <a:xfrm>
                          <a:off x="0" y="0"/>
                          <a:ext cx="5833533" cy="3268980"/>
                        </a:xfrm>
                        <a:prstGeom prst="rect">
                          <a:avLst/>
                        </a:prstGeom>
                        <a:solidFill>
                          <a:schemeClr val="bg1"/>
                        </a:solidFill>
                        <a:ln w="25400" cap="flat" cmpd="sng" algn="ctr">
                          <a:solidFill>
                            <a:schemeClr val="accent1"/>
                          </a:solidFill>
                          <a:prstDash val="solid"/>
                        </a:ln>
                        <a:effectLst/>
                      </wps:spPr>
                      <wps:txbx>
                        <w:txbxContent>
                          <w:p w14:paraId="1EC043F7" w14:textId="77777777" w:rsidR="004C0AA6" w:rsidRPr="00A71BB3" w:rsidRDefault="004C0AA6" w:rsidP="004C0AA6">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4C0AA6">
                              <w:rPr>
                                <w:rFonts w:asciiTheme="majorHAnsi" w:eastAsiaTheme="majorEastAsia" w:hAnsiTheme="majorHAnsi" w:cstheme="majorBidi"/>
                                <w:caps/>
                                <w:color w:val="4F81BD" w:themeColor="accent1"/>
                                <w:szCs w:val="24"/>
                                <w:lang w:val="en-US"/>
                              </w:rPr>
                              <w:t>box 6.4 economic instruments on other significant water uses in the Netherlands</w:t>
                            </w:r>
                          </w:p>
                          <w:p w14:paraId="50FC304C" w14:textId="77777777" w:rsidR="004C0AA6" w:rsidRPr="004C0AA6" w:rsidRDefault="004C0AA6" w:rsidP="004679C7">
                            <w:pPr>
                              <w:pStyle w:val="Body"/>
                              <w:ind w:left="142" w:right="213"/>
                              <w:rPr>
                                <w:lang w:val="en-US"/>
                              </w:rPr>
                            </w:pPr>
                            <w:r w:rsidRPr="004C0AA6">
                              <w:rPr>
                                <w:lang w:val="en-US"/>
                              </w:rPr>
                              <w:t xml:space="preserve">As mentioned earlier, the Netherlands derive 14% of total funding for water management from taxes and charges on significant water uses other than abstraction and pollution charges, and namely from the </w:t>
                            </w:r>
                            <w:r w:rsidRPr="004C0AA6">
                              <w:rPr>
                                <w:b/>
                                <w:bCs/>
                                <w:lang w:val="en-US"/>
                              </w:rPr>
                              <w:t>water system management charge</w:t>
                            </w:r>
                            <w:r w:rsidRPr="004C0AA6">
                              <w:rPr>
                                <w:lang w:val="en-US"/>
                              </w:rPr>
                              <w:t>. The charge is levied by Water Authorities on households, industry, agricultural land and nature areas. Revenues are used by Water Authorities for water quantity, flood protection, surface water quality measures. Households pay a levy depending on the value of the houses. Industry pays a levy depending on the value of the real estate. Agriculture pays a levy depending on the value of the agricultural land. Owners of natural areas pay a levy depending on the size of the natural land.</w:t>
                            </w:r>
                          </w:p>
                          <w:p w14:paraId="75D5BE14" w14:textId="77777777" w:rsidR="004C0AA6" w:rsidRPr="004C0AA6" w:rsidRDefault="004C0AA6" w:rsidP="004679C7">
                            <w:pPr>
                              <w:pStyle w:val="Body"/>
                              <w:ind w:left="142" w:right="213"/>
                              <w:rPr>
                                <w:lang w:val="en-US"/>
                              </w:rPr>
                            </w:pPr>
                            <w:r w:rsidRPr="004C0AA6">
                              <w:rPr>
                                <w:lang w:val="en-US"/>
                              </w:rPr>
                              <w:t xml:space="preserve">The Netherlands are also the only EU country where a </w:t>
                            </w:r>
                            <w:r w:rsidRPr="004C0AA6">
                              <w:rPr>
                                <w:b/>
                                <w:bCs/>
                                <w:lang w:val="en-US"/>
                              </w:rPr>
                              <w:t>tradable phosphate rights</w:t>
                            </w:r>
                            <w:r w:rsidRPr="004C0AA6">
                              <w:rPr>
                                <w:lang w:val="en-US"/>
                              </w:rPr>
                              <w:t xml:space="preserve"> system is in place, to ensure that phosphate production from the agricultural sector is and remains below the phosphate ceiling. It is not a levy or a charge, and thus it is not a revenue-raising instrument – however, it is worth mentioning as an innovative economic instrument to cap and reduce diffuse pollution from agriculture.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753C385C" id="Rectangle 30" o:spid="_x0000_s1040" style="width:459.35pt;height:2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1OaQIAAOAEAAAOAAAAZHJzL2Uyb0RvYy54bWysVFtP2zAUfp+0/2D5faQXqLqqKapATJMQ&#10;IGDi+dSxk0i+7dht0v36HbspHYynaS/OsX2un78vy8veaLaTGFpnSz4+G3EmrXBVa+uS/3i++TLn&#10;LESwFWhnZcn3MvDL1edPy84v5MQ1TlcSGSWxYdH5kjcx+kVRBNFIA+HMeWnpUjk0EGmLdVEhdJTd&#10;6GIyGs2KzmHl0QkZAp1eHy75KudXSop4r1SQkemSU28xr5jXTVqL1RIWNYJvWjG0Af/QhYHWUtHX&#10;VNcQgW2x/SuVaQW64FQ8E84UTqlWyDwDTTMevZvmqQEv8ywETvCvMIX/l1bc7R6QtVXJZzPOLBh6&#10;o0dCDWytJZtmgDofFuT35B+Q4Eq7QGaatldo0pfmYH0Gdf8KquwjE3R4MZ9OL6ZTzgTdTSez+dd5&#10;zlqcwj2G+E06w5JRcqT6GUzY3YZIJcn16JKqBafb6qbVOm8SU+SVRrYDeuNNPU5vShFvvLRlXckn&#10;F+cjIoEAIprSEMk0nkYPtuYMdE0MFhFz6TfRmY2nGiCEtPHDOqnNawjNoZmcZGhH29StzJQcpjoh&#10;mazYb/r8EOPzFJKONq7a0+ugO9A2eHHTUoFbCPEBkHhKw5D24j0tSjua0A0WZ43DXx+dJ3+iD91y&#10;1hHvafqfW0DJmf5uiVhJJEcDj8bmaNituXIE85hU7UU2KQCjPpoKnXkhSa5TFboCK6hWyQnrg3kV&#10;D+ojSQu5XmcnkoKHeGufvEipE1AJyOf+BdAPpIjEpzt3VAQs3nHj4JsirVtvo1NtJs4JReJE2pCM&#10;MjsGySed/rnPXqcf0+o3AAAA//8DAFBLAwQUAAYACAAAACEAptMnadwAAAAFAQAADwAAAGRycy9k&#10;b3ducmV2LnhtbEyPS0/DMBCE70j8B2uRuFEnPEOIUxWkwqEHRAt3N948lHgd2ds0/HtML3BZaTSj&#10;mW+L5WwHMaEPnSMF6SIBgVQ501Gj4HO3vspABNZk9OAIFXxjgGV5flbo3LgjfeC05UbEEgq5VtAy&#10;j7mUoWrR6rBwI1L0auet5ih9I43Xx1huB3mdJPfS6o7iQqtHfGmx6rcHq+Cr7+uwSeqb9+fd9Lba&#10;rF89G6vU5cW8egLBOPNfGH7xIzqUkWnvDmSCGBTER/h0o/eYZg8g9gru0tsMZFnI//TlDwAAAP//&#10;AwBQSwECLQAUAAYACAAAACEAtoM4kv4AAADhAQAAEwAAAAAAAAAAAAAAAAAAAAAAW0NvbnRlbnRf&#10;VHlwZXNdLnhtbFBLAQItABQABgAIAAAAIQA4/SH/1gAAAJQBAAALAAAAAAAAAAAAAAAAAC8BAABf&#10;cmVscy8ucmVsc1BLAQItABQABgAIAAAAIQBgok1OaQIAAOAEAAAOAAAAAAAAAAAAAAAAAC4CAABk&#10;cnMvZTJvRG9jLnhtbFBLAQItABQABgAIAAAAIQCm0ydp3AAAAAUBAAAPAAAAAAAAAAAAAAAAAMME&#10;AABkcnMvZG93bnJldi54bWxQSwUGAAAAAAQABADzAAAAzAUAAAAA&#10;" fillcolor="white [3212]" strokecolor="#4f81bd [3204]" strokeweight="2pt">
                <v:textbox inset="0,0,0,0">
                  <w:txbxContent>
                    <w:p w14:paraId="1EC043F7" w14:textId="77777777" w:rsidR="004C0AA6" w:rsidRPr="00A71BB3" w:rsidRDefault="004C0AA6" w:rsidP="004C0AA6">
                      <w:pPr>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Cs w:val="24"/>
                          <w:lang w:val="en-US"/>
                        </w:rPr>
                      </w:pPr>
                      <w:r w:rsidRPr="004C0AA6">
                        <w:rPr>
                          <w:rFonts w:asciiTheme="majorHAnsi" w:eastAsiaTheme="majorEastAsia" w:hAnsiTheme="majorHAnsi" w:cstheme="majorBidi"/>
                          <w:caps/>
                          <w:color w:val="4F81BD" w:themeColor="accent1"/>
                          <w:szCs w:val="24"/>
                          <w:lang w:val="en-US"/>
                        </w:rPr>
                        <w:t>box 6.4 economic instruments on other significant water uses in the Netherlands</w:t>
                      </w:r>
                    </w:p>
                    <w:p w14:paraId="50FC304C" w14:textId="77777777" w:rsidR="004C0AA6" w:rsidRPr="004C0AA6" w:rsidRDefault="004C0AA6" w:rsidP="004679C7">
                      <w:pPr>
                        <w:pStyle w:val="Body"/>
                        <w:ind w:left="142" w:right="213"/>
                        <w:rPr>
                          <w:lang w:val="en-US"/>
                        </w:rPr>
                      </w:pPr>
                      <w:r w:rsidRPr="004C0AA6">
                        <w:rPr>
                          <w:lang w:val="en-US"/>
                        </w:rPr>
                        <w:t xml:space="preserve">As mentioned earlier, the Netherlands derive 14% of total funding for water management from taxes and charges on significant water uses other than abstraction and pollution charges, and namely from the </w:t>
                      </w:r>
                      <w:r w:rsidRPr="004C0AA6">
                        <w:rPr>
                          <w:b/>
                          <w:bCs/>
                          <w:lang w:val="en-US"/>
                        </w:rPr>
                        <w:t>water system management charge</w:t>
                      </w:r>
                      <w:r w:rsidRPr="004C0AA6">
                        <w:rPr>
                          <w:lang w:val="en-US"/>
                        </w:rPr>
                        <w:t>. The charge is levied by Water Authorities on households, industry, agricultural land and nature areas. Revenues are used by Water Authorities for water quantity, flood protection, surface water quality measures. Households pay a levy depending on the value of the houses. Industry pays a levy depending on the value of the real estate. Agriculture pays a levy depending on the value of the agricultural land. Owners of natural areas pay a levy depending on the size of the natural land.</w:t>
                      </w:r>
                    </w:p>
                    <w:p w14:paraId="75D5BE14" w14:textId="77777777" w:rsidR="004C0AA6" w:rsidRPr="004C0AA6" w:rsidRDefault="004C0AA6" w:rsidP="004679C7">
                      <w:pPr>
                        <w:pStyle w:val="Body"/>
                        <w:ind w:left="142" w:right="213"/>
                        <w:rPr>
                          <w:lang w:val="en-US"/>
                        </w:rPr>
                      </w:pPr>
                      <w:r w:rsidRPr="004C0AA6">
                        <w:rPr>
                          <w:lang w:val="en-US"/>
                        </w:rPr>
                        <w:t xml:space="preserve">The Netherlands are also the only EU country where a </w:t>
                      </w:r>
                      <w:r w:rsidRPr="004C0AA6">
                        <w:rPr>
                          <w:b/>
                          <w:bCs/>
                          <w:lang w:val="en-US"/>
                        </w:rPr>
                        <w:t>tradable phosphate rights</w:t>
                      </w:r>
                      <w:r w:rsidRPr="004C0AA6">
                        <w:rPr>
                          <w:lang w:val="en-US"/>
                        </w:rPr>
                        <w:t xml:space="preserve"> system is in place, to ensure that phosphate production from the agricultural sector is and remains below the phosphate ceiling. It is not a levy or a charge, and thus it is not a revenue-raising instrument – however, it is worth mentioning as an innovative economic instrument to cap and reduce diffuse pollution from agriculture. </w:t>
                      </w:r>
                    </w:p>
                  </w:txbxContent>
                </v:textbox>
                <w10:anchorlock/>
              </v:rect>
            </w:pict>
          </mc:Fallback>
        </mc:AlternateContent>
      </w:r>
    </w:p>
    <w:p w14:paraId="1A4D3C9E" w14:textId="77777777" w:rsidR="004C0AA6" w:rsidRPr="00736A50" w:rsidRDefault="004C0AA6" w:rsidP="004C0AA6">
      <w:pPr>
        <w:pStyle w:val="WDBullets"/>
        <w:numPr>
          <w:ilvl w:val="0"/>
          <w:numId w:val="0"/>
        </w:numPr>
      </w:pPr>
    </w:p>
    <w:p w14:paraId="201B3D70" w14:textId="4D58ADF5" w:rsidR="004C0AA6" w:rsidRPr="001A7166" w:rsidRDefault="004C0AA6" w:rsidP="00761ED4">
      <w:pPr>
        <w:pStyle w:val="Body"/>
        <w:rPr>
          <w:lang w:val="en-US"/>
        </w:rPr>
      </w:pPr>
      <w:r w:rsidRPr="00761ED4">
        <w:rPr>
          <w:lang w:val="en-US"/>
        </w:rPr>
        <w:t xml:space="preserve">Revenue figures alone do not say much about </w:t>
      </w:r>
      <w:r w:rsidRPr="00761ED4">
        <w:rPr>
          <w:b/>
          <w:bCs/>
          <w:lang w:val="en-US"/>
        </w:rPr>
        <w:t xml:space="preserve">revenues actually allocated to improvements in water management contributing to the achievement of current water policy goals. </w:t>
      </w:r>
      <w:r w:rsidRPr="001A7166">
        <w:rPr>
          <w:lang w:val="en-US"/>
        </w:rPr>
        <w:t xml:space="preserve">As shown in the table below, revenues from water abstraction and pollution charges are used mainly to fund water management, with a variety of arrangements in place. </w:t>
      </w:r>
    </w:p>
    <w:p w14:paraId="5010A277" w14:textId="77777777" w:rsidR="004C0AA6" w:rsidRPr="001A7166" w:rsidRDefault="004C0AA6" w:rsidP="00761ED4">
      <w:pPr>
        <w:pStyle w:val="Body"/>
        <w:rPr>
          <w:lang w:val="en-US"/>
        </w:rPr>
      </w:pPr>
      <w:r w:rsidRPr="001A7166">
        <w:rPr>
          <w:lang w:val="en-US"/>
        </w:rPr>
        <w:t>In France, for example, water abstraction and pollution charges are the main source of financing for Water Agencies, which directly levy and collect payments. In Bulgaria, revenues from abstraction and pollution charges are received by the Enterprise for Management of Environmental Protection Activities (EMEPA) and used for water management. Similarly, in Croatia revenues from abstraction and pollution charges (the latter is called water protection fee) are levied and collected by Croatian Waters and used for financing of the RBMP measures and related operational costs of Croatian Waters.</w:t>
      </w:r>
    </w:p>
    <w:p w14:paraId="29359296" w14:textId="77777777" w:rsidR="004C0AA6" w:rsidRPr="001A7166" w:rsidRDefault="004C0AA6" w:rsidP="00761ED4">
      <w:pPr>
        <w:pStyle w:val="Body"/>
        <w:rPr>
          <w:lang w:val="en-US"/>
        </w:rPr>
      </w:pPr>
      <w:r w:rsidRPr="001A7166">
        <w:rPr>
          <w:lang w:val="en-US"/>
        </w:rPr>
        <w:t>In other cases, revenues are partly re-allocated to water management and partly to the general state budget. In the Czech Republic, fees are set for groundwater abstraction. The revenue from the fee for the amount of groundwater abstracted is 50 % of the revenue of the budget of the region in whose territory the abstraction of groundwater takes place and 50 % of the revenue of the budget of the State Environmental Fund of the Czech Republic</w:t>
      </w:r>
      <w:r>
        <w:rPr>
          <w:rStyle w:val="FootnoteReference"/>
        </w:rPr>
        <w:footnoteReference w:id="54"/>
      </w:r>
      <w:r w:rsidRPr="001A7166">
        <w:rPr>
          <w:lang w:val="en-US"/>
        </w:rPr>
        <w:t>. In the Czech Republic, there are also fees for abstraction of surface water, which are used to pay for the management of watercourses and river basin management</w:t>
      </w:r>
      <w:r>
        <w:rPr>
          <w:rStyle w:val="FootnoteReference"/>
        </w:rPr>
        <w:footnoteReference w:id="55"/>
      </w:r>
      <w:r w:rsidRPr="001A7166">
        <w:rPr>
          <w:lang w:val="en-US"/>
        </w:rPr>
        <w:t>.. Revenues from the fee for the discharge of wastewater into surface waters may be used to support the intensification and construction of water management infrastructure and to cover the costs of the authorised laboratory selected by the State Environmental Fund of Czechia and professionally qualified persons to conduct measurements; revenues from the fee for the permitted discharge of wastewater into groundwater go to the budget of the municipality in whose territory the discharge takes place, with no specific requirements on how the fee must be used.</w:t>
      </w:r>
    </w:p>
    <w:p w14:paraId="074558CA" w14:textId="77777777" w:rsidR="004C0AA6" w:rsidRPr="001A7166" w:rsidRDefault="004C0AA6" w:rsidP="00761ED4">
      <w:pPr>
        <w:pStyle w:val="Body"/>
        <w:rPr>
          <w:lang w:val="en-US"/>
        </w:rPr>
      </w:pPr>
      <w:r w:rsidRPr="001A7166">
        <w:rPr>
          <w:lang w:val="en-US"/>
        </w:rPr>
        <w:t xml:space="preserve">In some cases, however, revenues are directed to the general State, regional, local or municipal budgets without being earmarked for water management purposes. </w:t>
      </w:r>
    </w:p>
    <w:p w14:paraId="0A6BFE20" w14:textId="4431E36B" w:rsidR="004C0AA6" w:rsidRPr="00F05DB1" w:rsidRDefault="00F05DB1" w:rsidP="00F05DB1">
      <w:pPr>
        <w:pStyle w:val="Caption"/>
        <w:rPr>
          <w:rFonts w:ascii="Verdana" w:hAnsi="Verdana"/>
          <w:color w:val="548DD4" w:themeColor="text2" w:themeTint="99"/>
          <w:sz w:val="18"/>
          <w:szCs w:val="18"/>
          <w:lang w:val="en-US"/>
        </w:rPr>
      </w:pPr>
      <w:bookmarkStart w:id="99" w:name="_Toc59181831"/>
      <w:r w:rsidRPr="00F05DB1">
        <w:rPr>
          <w:rFonts w:ascii="Verdana" w:hAnsi="Verdana"/>
          <w:color w:val="548DD4" w:themeColor="text2" w:themeTint="99"/>
          <w:sz w:val="18"/>
          <w:szCs w:val="18"/>
          <w:lang w:val="en-US"/>
        </w:rPr>
        <w:t xml:space="preserve">Table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Table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1</w:t>
      </w:r>
      <w:r w:rsidR="00E14072">
        <w:rPr>
          <w:rFonts w:ascii="Verdana" w:hAnsi="Verdana"/>
          <w:color w:val="548DD4" w:themeColor="text2" w:themeTint="99"/>
          <w:sz w:val="18"/>
          <w:szCs w:val="18"/>
          <w:lang w:val="en-US"/>
        </w:rPr>
        <w:fldChar w:fldCharType="end"/>
      </w:r>
      <w:r w:rsidRPr="00F05DB1">
        <w:rPr>
          <w:rFonts w:ascii="Verdana" w:hAnsi="Verdana"/>
          <w:color w:val="548DD4" w:themeColor="text2" w:themeTint="99"/>
          <w:sz w:val="18"/>
          <w:szCs w:val="18"/>
          <w:lang w:val="en-US"/>
        </w:rPr>
        <w:t xml:space="preserve"> </w:t>
      </w:r>
      <w:r w:rsidR="004C0AA6" w:rsidRPr="00F05DB1">
        <w:rPr>
          <w:rFonts w:ascii="Verdana" w:hAnsi="Verdana"/>
          <w:color w:val="548DD4" w:themeColor="text2" w:themeTint="99"/>
          <w:sz w:val="18"/>
          <w:szCs w:val="18"/>
          <w:lang w:val="en-US"/>
        </w:rPr>
        <w:t>Reallocation of revenues from water abstraction charges in those EU MS where the charge is in place</w:t>
      </w:r>
      <w:bookmarkEnd w:id="99"/>
    </w:p>
    <w:tbl>
      <w:tblPr>
        <w:tblStyle w:val="TableGrid"/>
        <w:tblW w:w="0" w:type="auto"/>
        <w:jc w:val="center"/>
        <w:tblLook w:val="04A0" w:firstRow="1" w:lastRow="0" w:firstColumn="1" w:lastColumn="0" w:noHBand="0" w:noVBand="1"/>
      </w:tblPr>
      <w:tblGrid>
        <w:gridCol w:w="3085"/>
        <w:gridCol w:w="950"/>
        <w:gridCol w:w="450"/>
        <w:gridCol w:w="425"/>
        <w:gridCol w:w="452"/>
        <w:gridCol w:w="469"/>
        <w:gridCol w:w="427"/>
        <w:gridCol w:w="425"/>
        <w:gridCol w:w="460"/>
        <w:gridCol w:w="456"/>
        <w:gridCol w:w="419"/>
        <w:gridCol w:w="425"/>
        <w:gridCol w:w="431"/>
        <w:gridCol w:w="413"/>
      </w:tblGrid>
      <w:tr w:rsidR="00F05DB1" w:rsidRPr="00F05DB1" w14:paraId="7B8C43EF" w14:textId="77777777" w:rsidTr="00F05DB1">
        <w:trPr>
          <w:cnfStyle w:val="100000000000" w:firstRow="1" w:lastRow="0" w:firstColumn="0" w:lastColumn="0" w:oddVBand="0" w:evenVBand="0" w:oddHBand="0" w:evenHBand="0" w:firstRowFirstColumn="0" w:firstRowLastColumn="0" w:lastRowFirstColumn="0" w:lastRowLastColumn="0"/>
          <w:jc w:val="center"/>
        </w:trPr>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14:paraId="6C00C2B3" w14:textId="77777777" w:rsidR="004C0AA6" w:rsidRPr="00F05DB1" w:rsidRDefault="004C0AA6" w:rsidP="00D8338D">
            <w:pPr>
              <w:spacing w:before="20" w:after="20"/>
              <w:rPr>
                <w:rFonts w:ascii="Segoe UI" w:hAnsi="Segoe UI" w:cs="Segoe UI"/>
                <w:b/>
                <w:bCs/>
                <w:color w:val="auto"/>
                <w:sz w:val="18"/>
                <w:szCs w:val="18"/>
              </w:rPr>
            </w:pPr>
            <w:r w:rsidRPr="00F05DB1">
              <w:rPr>
                <w:rFonts w:ascii="Segoe UI" w:hAnsi="Segoe UI" w:cs="Segoe UI"/>
                <w:b/>
                <w:bCs/>
                <w:color w:val="auto"/>
                <w:sz w:val="18"/>
                <w:szCs w:val="18"/>
              </w:rPr>
              <w:t>Revenues go to…</w:t>
            </w:r>
          </w:p>
        </w:tc>
        <w:tc>
          <w:tcPr>
            <w:tcW w:w="5286" w:type="dxa"/>
            <w:gridSpan w:val="12"/>
            <w:tcBorders>
              <w:top w:val="single" w:sz="4" w:space="0" w:color="auto"/>
              <w:left w:val="single" w:sz="4" w:space="0" w:color="auto"/>
              <w:bottom w:val="single" w:sz="4" w:space="0" w:color="auto"/>
              <w:right w:val="single" w:sz="4" w:space="0" w:color="auto"/>
            </w:tcBorders>
            <w:shd w:val="clear" w:color="auto" w:fill="auto"/>
          </w:tcPr>
          <w:p w14:paraId="743A4C41" w14:textId="77777777" w:rsidR="004C0AA6" w:rsidRPr="00F05DB1" w:rsidRDefault="004C0AA6" w:rsidP="00D8338D">
            <w:pPr>
              <w:spacing w:before="20" w:after="20"/>
              <w:jc w:val="center"/>
              <w:rPr>
                <w:rFonts w:ascii="Segoe UI" w:hAnsi="Segoe UI" w:cs="Segoe UI"/>
                <w:b/>
                <w:bCs/>
                <w:color w:val="auto"/>
                <w:sz w:val="18"/>
                <w:szCs w:val="18"/>
              </w:rPr>
            </w:pPr>
            <w:r w:rsidRPr="00F05DB1">
              <w:rPr>
                <w:rFonts w:ascii="Segoe UI" w:hAnsi="Segoe UI" w:cs="Segoe UI"/>
                <w:b/>
                <w:bCs/>
                <w:color w:val="auto"/>
                <w:sz w:val="18"/>
                <w:szCs w:val="18"/>
              </w:rPr>
              <w:t>EU Member States</w:t>
            </w:r>
          </w:p>
        </w:tc>
      </w:tr>
      <w:tr w:rsidR="009A1671" w:rsidRPr="00736A50" w14:paraId="703F0BB2" w14:textId="77777777" w:rsidTr="00F05DB1">
        <w:trPr>
          <w:jc w:val="center"/>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4F171E6F"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Financing water management (or environment)</w:t>
            </w:r>
          </w:p>
        </w:tc>
        <w:tc>
          <w:tcPr>
            <w:tcW w:w="992" w:type="dxa"/>
            <w:tcBorders>
              <w:top w:val="single" w:sz="4" w:space="0" w:color="auto"/>
              <w:left w:val="single" w:sz="4" w:space="0" w:color="auto"/>
              <w:bottom w:val="nil"/>
              <w:right w:val="single" w:sz="4" w:space="0" w:color="auto"/>
            </w:tcBorders>
            <w:shd w:val="clear" w:color="auto" w:fill="auto"/>
          </w:tcPr>
          <w:p w14:paraId="44F776D8"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SW</w:t>
            </w:r>
          </w:p>
        </w:tc>
        <w:tc>
          <w:tcPr>
            <w:tcW w:w="451" w:type="dxa"/>
            <w:vMerge w:val="restart"/>
            <w:tcBorders>
              <w:top w:val="single" w:sz="4" w:space="0" w:color="auto"/>
              <w:left w:val="single" w:sz="4" w:space="0" w:color="auto"/>
              <w:bottom w:val="single" w:sz="4" w:space="0" w:color="auto"/>
              <w:right w:val="nil"/>
            </w:tcBorders>
            <w:shd w:val="clear" w:color="auto" w:fill="F2DBDB" w:themeFill="accent2" w:themeFillTint="33"/>
            <w:vAlign w:val="center"/>
          </w:tcPr>
          <w:p w14:paraId="6497133C"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BG</w:t>
            </w:r>
          </w:p>
        </w:tc>
        <w:tc>
          <w:tcPr>
            <w:tcW w:w="426" w:type="dxa"/>
            <w:vMerge w:val="restart"/>
            <w:tcBorders>
              <w:top w:val="single" w:sz="4" w:space="0" w:color="auto"/>
              <w:left w:val="nil"/>
              <w:bottom w:val="single" w:sz="4" w:space="0" w:color="auto"/>
              <w:right w:val="nil"/>
            </w:tcBorders>
            <w:shd w:val="clear" w:color="auto" w:fill="F2DBDB" w:themeFill="accent2" w:themeFillTint="33"/>
            <w:vAlign w:val="center"/>
          </w:tcPr>
          <w:p w14:paraId="12C9CBAD"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FR</w:t>
            </w:r>
          </w:p>
        </w:tc>
        <w:tc>
          <w:tcPr>
            <w:tcW w:w="452" w:type="dxa"/>
            <w:vMerge w:val="restart"/>
            <w:tcBorders>
              <w:top w:val="single" w:sz="4" w:space="0" w:color="auto"/>
              <w:left w:val="nil"/>
              <w:bottom w:val="single" w:sz="4" w:space="0" w:color="auto"/>
              <w:right w:val="nil"/>
            </w:tcBorders>
            <w:shd w:val="clear" w:color="auto" w:fill="E5B8B7" w:themeFill="accent2" w:themeFillTint="66"/>
            <w:vAlign w:val="center"/>
          </w:tcPr>
          <w:p w14:paraId="62976E62"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HR</w:t>
            </w:r>
          </w:p>
        </w:tc>
        <w:tc>
          <w:tcPr>
            <w:tcW w:w="469" w:type="dxa"/>
            <w:vMerge w:val="restart"/>
            <w:tcBorders>
              <w:top w:val="single" w:sz="4" w:space="0" w:color="auto"/>
              <w:left w:val="nil"/>
              <w:bottom w:val="single" w:sz="4" w:space="0" w:color="auto"/>
              <w:right w:val="nil"/>
            </w:tcBorders>
            <w:shd w:val="clear" w:color="auto" w:fill="E5B8B7" w:themeFill="accent2" w:themeFillTint="66"/>
            <w:vAlign w:val="center"/>
          </w:tcPr>
          <w:p w14:paraId="66728AD4" w14:textId="77777777" w:rsidR="004C0AA6" w:rsidRPr="00B22401" w:rsidRDefault="004C0AA6" w:rsidP="00D8338D">
            <w:pPr>
              <w:spacing w:before="20" w:after="20"/>
              <w:jc w:val="center"/>
              <w:rPr>
                <w:rFonts w:ascii="Segoe UI" w:hAnsi="Segoe UI" w:cs="Segoe UI"/>
                <w:sz w:val="18"/>
                <w:szCs w:val="18"/>
              </w:rPr>
            </w:pPr>
            <w:r>
              <w:rPr>
                <w:rFonts w:ascii="Segoe UI" w:hAnsi="Segoe UI" w:cs="Segoe UI"/>
                <w:sz w:val="18"/>
                <w:szCs w:val="18"/>
              </w:rPr>
              <w:t>L</w:t>
            </w:r>
            <w:r w:rsidRPr="00B22401">
              <w:rPr>
                <w:rFonts w:ascii="Segoe UI" w:hAnsi="Segoe UI" w:cs="Segoe UI"/>
                <w:sz w:val="18"/>
                <w:szCs w:val="18"/>
              </w:rPr>
              <w:t>U</w:t>
            </w:r>
          </w:p>
        </w:tc>
        <w:tc>
          <w:tcPr>
            <w:tcW w:w="429" w:type="dxa"/>
            <w:vMerge w:val="restart"/>
            <w:tcBorders>
              <w:top w:val="single" w:sz="4" w:space="0" w:color="auto"/>
              <w:left w:val="nil"/>
              <w:bottom w:val="single" w:sz="4" w:space="0" w:color="auto"/>
              <w:right w:val="nil"/>
            </w:tcBorders>
            <w:shd w:val="clear" w:color="auto" w:fill="D99594" w:themeFill="accent2" w:themeFillTint="99"/>
            <w:vAlign w:val="center"/>
          </w:tcPr>
          <w:p w14:paraId="5344D010" w14:textId="77777777" w:rsidR="004C0AA6" w:rsidRPr="00B22401" w:rsidRDefault="004C0AA6" w:rsidP="00D8338D">
            <w:pPr>
              <w:spacing w:before="20" w:after="20"/>
              <w:jc w:val="center"/>
              <w:rPr>
                <w:rFonts w:ascii="Segoe UI" w:hAnsi="Segoe UI" w:cs="Segoe UI"/>
                <w:sz w:val="18"/>
                <w:szCs w:val="18"/>
              </w:rPr>
            </w:pPr>
            <w:r>
              <w:rPr>
                <w:rFonts w:ascii="Segoe UI" w:hAnsi="Segoe UI" w:cs="Segoe UI"/>
                <w:sz w:val="18"/>
                <w:szCs w:val="18"/>
              </w:rPr>
              <w:t>PL</w:t>
            </w:r>
          </w:p>
        </w:tc>
        <w:tc>
          <w:tcPr>
            <w:tcW w:w="426" w:type="dxa"/>
            <w:vMerge w:val="restart"/>
            <w:tcBorders>
              <w:top w:val="single" w:sz="4" w:space="0" w:color="auto"/>
              <w:left w:val="nil"/>
              <w:bottom w:val="single" w:sz="4" w:space="0" w:color="auto"/>
              <w:right w:val="nil"/>
            </w:tcBorders>
            <w:shd w:val="clear" w:color="auto" w:fill="D99594" w:themeFill="accent2" w:themeFillTint="99"/>
            <w:vAlign w:val="center"/>
          </w:tcPr>
          <w:p w14:paraId="11EEE8FB"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P</w:t>
            </w:r>
            <w:r>
              <w:rPr>
                <w:rFonts w:ascii="Segoe UI" w:hAnsi="Segoe UI" w:cs="Segoe UI"/>
                <w:sz w:val="18"/>
                <w:szCs w:val="18"/>
              </w:rPr>
              <w:t>T</w:t>
            </w:r>
          </w:p>
        </w:tc>
        <w:tc>
          <w:tcPr>
            <w:tcW w:w="460" w:type="dxa"/>
            <w:vMerge w:val="restart"/>
            <w:tcBorders>
              <w:top w:val="single" w:sz="4" w:space="0" w:color="auto"/>
              <w:left w:val="nil"/>
              <w:bottom w:val="single" w:sz="4" w:space="0" w:color="auto"/>
              <w:right w:val="nil"/>
            </w:tcBorders>
            <w:shd w:val="clear" w:color="auto" w:fill="C0504D" w:themeFill="accent2"/>
            <w:vAlign w:val="center"/>
          </w:tcPr>
          <w:p w14:paraId="156C9FA1" w14:textId="77777777" w:rsidR="004C0AA6" w:rsidRPr="00B22401" w:rsidRDefault="004C0AA6" w:rsidP="00D8338D">
            <w:pPr>
              <w:spacing w:before="20" w:after="20"/>
              <w:jc w:val="center"/>
              <w:rPr>
                <w:rFonts w:ascii="Segoe UI" w:hAnsi="Segoe UI" w:cs="Segoe UI"/>
                <w:sz w:val="18"/>
                <w:szCs w:val="18"/>
              </w:rPr>
            </w:pPr>
            <w:r>
              <w:rPr>
                <w:rFonts w:ascii="Segoe UI" w:hAnsi="Segoe UI" w:cs="Segoe UI"/>
                <w:sz w:val="18"/>
                <w:szCs w:val="18"/>
              </w:rPr>
              <w:t>RO</w:t>
            </w:r>
          </w:p>
        </w:tc>
        <w:tc>
          <w:tcPr>
            <w:tcW w:w="460" w:type="dxa"/>
            <w:vMerge w:val="restart"/>
            <w:tcBorders>
              <w:top w:val="single" w:sz="4" w:space="0" w:color="auto"/>
              <w:left w:val="nil"/>
              <w:bottom w:val="single" w:sz="4" w:space="0" w:color="auto"/>
              <w:right w:val="nil"/>
            </w:tcBorders>
            <w:shd w:val="clear" w:color="auto" w:fill="C0504D" w:themeFill="accent2"/>
            <w:vAlign w:val="center"/>
          </w:tcPr>
          <w:p w14:paraId="0334B10B" w14:textId="77777777" w:rsidR="004C0AA6" w:rsidRPr="00B22401" w:rsidRDefault="004C0AA6" w:rsidP="00D8338D">
            <w:pPr>
              <w:spacing w:before="20" w:after="20"/>
              <w:jc w:val="center"/>
              <w:rPr>
                <w:rFonts w:ascii="Segoe UI" w:hAnsi="Segoe UI" w:cs="Segoe UI"/>
                <w:sz w:val="18"/>
                <w:szCs w:val="18"/>
              </w:rPr>
            </w:pPr>
            <w:r>
              <w:rPr>
                <w:rFonts w:ascii="Segoe UI" w:hAnsi="Segoe UI" w:cs="Segoe UI"/>
                <w:sz w:val="18"/>
                <w:szCs w:val="18"/>
              </w:rPr>
              <w:t>SK</w:t>
            </w:r>
          </w:p>
        </w:tc>
        <w:tc>
          <w:tcPr>
            <w:tcW w:w="425" w:type="dxa"/>
            <w:vMerge w:val="restart"/>
            <w:tcBorders>
              <w:top w:val="single" w:sz="4" w:space="0" w:color="auto"/>
              <w:left w:val="nil"/>
              <w:bottom w:val="single" w:sz="4" w:space="0" w:color="auto"/>
              <w:right w:val="nil"/>
            </w:tcBorders>
            <w:shd w:val="clear" w:color="auto" w:fill="943634" w:themeFill="accent2" w:themeFillShade="BF"/>
            <w:vAlign w:val="center"/>
          </w:tcPr>
          <w:p w14:paraId="1778A666" w14:textId="77777777" w:rsidR="004C0AA6" w:rsidRPr="00B22401" w:rsidRDefault="004C0AA6" w:rsidP="00D8338D">
            <w:pPr>
              <w:spacing w:before="20" w:after="20"/>
              <w:jc w:val="center"/>
              <w:rPr>
                <w:rFonts w:ascii="Segoe UI" w:hAnsi="Segoe UI" w:cs="Segoe UI"/>
                <w:color w:val="FFFFFF" w:themeColor="background1"/>
                <w:sz w:val="18"/>
                <w:szCs w:val="18"/>
              </w:rPr>
            </w:pPr>
            <w:r w:rsidRPr="00B22401">
              <w:rPr>
                <w:rFonts w:ascii="Segoe UI" w:hAnsi="Segoe UI" w:cs="Segoe UI"/>
                <w:color w:val="FFFFFF" w:themeColor="background1"/>
                <w:sz w:val="18"/>
                <w:szCs w:val="18"/>
              </w:rPr>
              <w:t>S</w:t>
            </w:r>
            <w:r>
              <w:rPr>
                <w:rFonts w:ascii="Segoe UI" w:hAnsi="Segoe UI" w:cs="Segoe UI"/>
                <w:color w:val="FFFFFF" w:themeColor="background1"/>
                <w:sz w:val="18"/>
                <w:szCs w:val="18"/>
              </w:rPr>
              <w:t>I</w:t>
            </w:r>
          </w:p>
        </w:tc>
        <w:tc>
          <w:tcPr>
            <w:tcW w:w="426" w:type="dxa"/>
            <w:vMerge w:val="restart"/>
            <w:tcBorders>
              <w:top w:val="single" w:sz="4" w:space="0" w:color="auto"/>
              <w:left w:val="nil"/>
              <w:bottom w:val="single" w:sz="4" w:space="0" w:color="auto"/>
              <w:right w:val="nil"/>
            </w:tcBorders>
            <w:shd w:val="clear" w:color="auto" w:fill="943634" w:themeFill="accent2" w:themeFillShade="BF"/>
            <w:vAlign w:val="center"/>
          </w:tcPr>
          <w:p w14:paraId="0A9461C4" w14:textId="77777777" w:rsidR="004C0AA6" w:rsidRPr="00B22401" w:rsidRDefault="004C0AA6" w:rsidP="00D8338D">
            <w:pPr>
              <w:spacing w:before="20" w:after="20"/>
              <w:jc w:val="center"/>
              <w:rPr>
                <w:rFonts w:ascii="Segoe UI" w:hAnsi="Segoe UI" w:cs="Segoe UI"/>
                <w:color w:val="FFFFFF" w:themeColor="background1"/>
                <w:sz w:val="18"/>
                <w:szCs w:val="18"/>
              </w:rPr>
            </w:pPr>
            <w:r>
              <w:rPr>
                <w:rFonts w:ascii="Segoe UI" w:hAnsi="Segoe UI" w:cs="Segoe UI"/>
                <w:color w:val="FFFFFF" w:themeColor="background1"/>
                <w:sz w:val="18"/>
                <w:szCs w:val="18"/>
              </w:rPr>
              <w:t>BE</w:t>
            </w:r>
          </w:p>
        </w:tc>
        <w:tc>
          <w:tcPr>
            <w:tcW w:w="431" w:type="dxa"/>
            <w:vMerge w:val="restart"/>
            <w:tcBorders>
              <w:top w:val="single" w:sz="4" w:space="0" w:color="auto"/>
              <w:left w:val="nil"/>
              <w:bottom w:val="single" w:sz="4" w:space="0" w:color="auto"/>
              <w:right w:val="nil"/>
            </w:tcBorders>
            <w:shd w:val="clear" w:color="auto" w:fill="632423" w:themeFill="accent2" w:themeFillShade="80"/>
            <w:vAlign w:val="center"/>
          </w:tcPr>
          <w:p w14:paraId="797743FD" w14:textId="77777777" w:rsidR="004C0AA6" w:rsidRPr="00B22401" w:rsidRDefault="004C0AA6" w:rsidP="00D8338D">
            <w:pPr>
              <w:spacing w:before="20" w:after="20"/>
              <w:jc w:val="center"/>
              <w:rPr>
                <w:rFonts w:ascii="Segoe UI" w:hAnsi="Segoe UI" w:cs="Segoe UI"/>
                <w:color w:val="FFFFFF" w:themeColor="background1"/>
                <w:sz w:val="18"/>
                <w:szCs w:val="18"/>
              </w:rPr>
            </w:pPr>
            <w:r>
              <w:rPr>
                <w:rFonts w:ascii="Segoe UI" w:hAnsi="Segoe UI" w:cs="Segoe UI"/>
                <w:color w:val="FFFFFF" w:themeColor="background1"/>
                <w:sz w:val="18"/>
                <w:szCs w:val="18"/>
              </w:rPr>
              <w:t>CZ</w:t>
            </w:r>
          </w:p>
        </w:tc>
        <w:tc>
          <w:tcPr>
            <w:tcW w:w="431" w:type="dxa"/>
            <w:vMerge w:val="restart"/>
            <w:tcBorders>
              <w:top w:val="single" w:sz="4" w:space="0" w:color="auto"/>
              <w:left w:val="nil"/>
              <w:bottom w:val="single" w:sz="4" w:space="0" w:color="auto"/>
              <w:right w:val="single" w:sz="4" w:space="0" w:color="auto"/>
            </w:tcBorders>
            <w:shd w:val="clear" w:color="auto" w:fill="auto"/>
            <w:vAlign w:val="center"/>
          </w:tcPr>
          <w:p w14:paraId="6F782C0E" w14:textId="77777777" w:rsidR="004C0AA6" w:rsidRPr="00B22401" w:rsidRDefault="004C0AA6" w:rsidP="00D8338D">
            <w:pPr>
              <w:spacing w:before="20" w:after="20"/>
              <w:jc w:val="center"/>
              <w:rPr>
                <w:rFonts w:ascii="Segoe UI" w:hAnsi="Segoe UI" w:cs="Segoe UI"/>
                <w:color w:val="FFFFFF" w:themeColor="background1"/>
                <w:sz w:val="18"/>
                <w:szCs w:val="18"/>
              </w:rPr>
            </w:pPr>
          </w:p>
        </w:tc>
      </w:tr>
      <w:tr w:rsidR="009E2CF8" w:rsidRPr="00736A50" w14:paraId="3BA73E32" w14:textId="77777777" w:rsidTr="00F05DB1">
        <w:trPr>
          <w:jc w:val="center"/>
        </w:trPr>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3DB09A2F" w14:textId="77777777" w:rsidR="004C0AA6" w:rsidRPr="00B22401" w:rsidRDefault="004C0AA6" w:rsidP="00D8338D">
            <w:pPr>
              <w:spacing w:before="20" w:after="20"/>
              <w:rPr>
                <w:rFonts w:ascii="Segoe UI" w:hAnsi="Segoe UI" w:cs="Segoe UI"/>
                <w:sz w:val="18"/>
                <w:szCs w:val="18"/>
              </w:rPr>
            </w:pPr>
          </w:p>
        </w:tc>
        <w:tc>
          <w:tcPr>
            <w:tcW w:w="992" w:type="dxa"/>
            <w:tcBorders>
              <w:top w:val="nil"/>
              <w:left w:val="single" w:sz="4" w:space="0" w:color="auto"/>
              <w:bottom w:val="single" w:sz="4" w:space="0" w:color="auto"/>
              <w:right w:val="single" w:sz="4" w:space="0" w:color="auto"/>
            </w:tcBorders>
            <w:shd w:val="clear" w:color="auto" w:fill="auto"/>
          </w:tcPr>
          <w:p w14:paraId="3B17D3EB"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GW</w:t>
            </w:r>
          </w:p>
        </w:tc>
        <w:tc>
          <w:tcPr>
            <w:tcW w:w="451" w:type="dxa"/>
            <w:vMerge/>
            <w:tcBorders>
              <w:top w:val="single" w:sz="4" w:space="0" w:color="auto"/>
              <w:left w:val="single" w:sz="4" w:space="0" w:color="auto"/>
              <w:bottom w:val="single" w:sz="4" w:space="0" w:color="auto"/>
              <w:right w:val="nil"/>
            </w:tcBorders>
            <w:shd w:val="clear" w:color="auto" w:fill="F2DBDB" w:themeFill="accent2" w:themeFillTint="33"/>
            <w:vAlign w:val="center"/>
          </w:tcPr>
          <w:p w14:paraId="1C29A5DB" w14:textId="77777777" w:rsidR="004C0AA6" w:rsidRPr="00B22401" w:rsidRDefault="004C0AA6" w:rsidP="00D8338D">
            <w:pPr>
              <w:spacing w:before="20" w:after="20"/>
              <w:jc w:val="center"/>
              <w:rPr>
                <w:rFonts w:ascii="Segoe UI" w:hAnsi="Segoe UI" w:cs="Segoe UI"/>
                <w:sz w:val="18"/>
                <w:szCs w:val="18"/>
              </w:rPr>
            </w:pPr>
          </w:p>
        </w:tc>
        <w:tc>
          <w:tcPr>
            <w:tcW w:w="426" w:type="dxa"/>
            <w:vMerge/>
            <w:tcBorders>
              <w:top w:val="single" w:sz="4" w:space="0" w:color="auto"/>
              <w:left w:val="nil"/>
              <w:bottom w:val="single" w:sz="4" w:space="0" w:color="auto"/>
              <w:right w:val="nil"/>
            </w:tcBorders>
            <w:shd w:val="clear" w:color="auto" w:fill="F2DBDB" w:themeFill="accent2" w:themeFillTint="33"/>
            <w:vAlign w:val="center"/>
          </w:tcPr>
          <w:p w14:paraId="04CC80FA" w14:textId="77777777" w:rsidR="004C0AA6" w:rsidRPr="00B22401" w:rsidRDefault="004C0AA6" w:rsidP="00D8338D">
            <w:pPr>
              <w:spacing w:before="20" w:after="20"/>
              <w:jc w:val="center"/>
              <w:rPr>
                <w:rFonts w:ascii="Segoe UI" w:hAnsi="Segoe UI" w:cs="Segoe UI"/>
                <w:sz w:val="18"/>
                <w:szCs w:val="18"/>
              </w:rPr>
            </w:pPr>
          </w:p>
        </w:tc>
        <w:tc>
          <w:tcPr>
            <w:tcW w:w="452" w:type="dxa"/>
            <w:vMerge/>
            <w:tcBorders>
              <w:top w:val="single" w:sz="4" w:space="0" w:color="auto"/>
              <w:left w:val="nil"/>
              <w:bottom w:val="single" w:sz="4" w:space="0" w:color="auto"/>
              <w:right w:val="nil"/>
            </w:tcBorders>
            <w:shd w:val="clear" w:color="auto" w:fill="E5B8B7" w:themeFill="accent2" w:themeFillTint="66"/>
            <w:vAlign w:val="center"/>
          </w:tcPr>
          <w:p w14:paraId="347CB610" w14:textId="77777777" w:rsidR="004C0AA6" w:rsidRPr="00B22401" w:rsidRDefault="004C0AA6" w:rsidP="00D8338D">
            <w:pPr>
              <w:spacing w:before="20" w:after="20"/>
              <w:jc w:val="center"/>
              <w:rPr>
                <w:rFonts w:ascii="Segoe UI" w:hAnsi="Segoe UI" w:cs="Segoe UI"/>
                <w:sz w:val="18"/>
                <w:szCs w:val="18"/>
              </w:rPr>
            </w:pPr>
          </w:p>
        </w:tc>
        <w:tc>
          <w:tcPr>
            <w:tcW w:w="469" w:type="dxa"/>
            <w:vMerge/>
            <w:tcBorders>
              <w:top w:val="single" w:sz="4" w:space="0" w:color="auto"/>
              <w:left w:val="nil"/>
              <w:bottom w:val="single" w:sz="4" w:space="0" w:color="auto"/>
              <w:right w:val="nil"/>
            </w:tcBorders>
            <w:shd w:val="clear" w:color="auto" w:fill="E5B8B7" w:themeFill="accent2" w:themeFillTint="66"/>
            <w:vAlign w:val="center"/>
          </w:tcPr>
          <w:p w14:paraId="2F6142FA" w14:textId="77777777" w:rsidR="004C0AA6" w:rsidRPr="00B22401" w:rsidRDefault="004C0AA6" w:rsidP="00D8338D">
            <w:pPr>
              <w:spacing w:before="20" w:after="20"/>
              <w:jc w:val="center"/>
              <w:rPr>
                <w:rFonts w:ascii="Segoe UI" w:hAnsi="Segoe UI" w:cs="Segoe UI"/>
                <w:sz w:val="18"/>
                <w:szCs w:val="18"/>
              </w:rPr>
            </w:pPr>
          </w:p>
        </w:tc>
        <w:tc>
          <w:tcPr>
            <w:tcW w:w="429" w:type="dxa"/>
            <w:vMerge/>
            <w:tcBorders>
              <w:top w:val="single" w:sz="4" w:space="0" w:color="auto"/>
              <w:left w:val="nil"/>
              <w:bottom w:val="single" w:sz="4" w:space="0" w:color="auto"/>
              <w:right w:val="nil"/>
            </w:tcBorders>
            <w:shd w:val="clear" w:color="auto" w:fill="D99594" w:themeFill="accent2" w:themeFillTint="99"/>
            <w:vAlign w:val="center"/>
          </w:tcPr>
          <w:p w14:paraId="41534F61" w14:textId="77777777" w:rsidR="004C0AA6" w:rsidRPr="00B22401" w:rsidRDefault="004C0AA6" w:rsidP="00D8338D">
            <w:pPr>
              <w:spacing w:before="20" w:after="20"/>
              <w:jc w:val="center"/>
              <w:rPr>
                <w:rFonts w:ascii="Segoe UI" w:hAnsi="Segoe UI" w:cs="Segoe UI"/>
                <w:sz w:val="18"/>
                <w:szCs w:val="18"/>
              </w:rPr>
            </w:pPr>
          </w:p>
        </w:tc>
        <w:tc>
          <w:tcPr>
            <w:tcW w:w="426" w:type="dxa"/>
            <w:vMerge/>
            <w:tcBorders>
              <w:top w:val="single" w:sz="4" w:space="0" w:color="auto"/>
              <w:left w:val="nil"/>
              <w:bottom w:val="single" w:sz="4" w:space="0" w:color="auto"/>
              <w:right w:val="nil"/>
            </w:tcBorders>
            <w:shd w:val="clear" w:color="auto" w:fill="D99594" w:themeFill="accent2" w:themeFillTint="99"/>
            <w:vAlign w:val="center"/>
          </w:tcPr>
          <w:p w14:paraId="34191EEB" w14:textId="77777777" w:rsidR="004C0AA6" w:rsidRPr="00B22401" w:rsidRDefault="004C0AA6" w:rsidP="00D8338D">
            <w:pPr>
              <w:spacing w:before="20" w:after="20"/>
              <w:jc w:val="center"/>
              <w:rPr>
                <w:rFonts w:ascii="Segoe UI" w:hAnsi="Segoe UI" w:cs="Segoe UI"/>
                <w:sz w:val="18"/>
                <w:szCs w:val="18"/>
              </w:rPr>
            </w:pPr>
          </w:p>
        </w:tc>
        <w:tc>
          <w:tcPr>
            <w:tcW w:w="460" w:type="dxa"/>
            <w:vMerge/>
            <w:tcBorders>
              <w:top w:val="single" w:sz="4" w:space="0" w:color="auto"/>
              <w:left w:val="nil"/>
              <w:bottom w:val="single" w:sz="4" w:space="0" w:color="auto"/>
              <w:right w:val="nil"/>
            </w:tcBorders>
            <w:shd w:val="clear" w:color="auto" w:fill="C0504D" w:themeFill="accent2"/>
            <w:vAlign w:val="center"/>
          </w:tcPr>
          <w:p w14:paraId="42C3FFAD" w14:textId="77777777" w:rsidR="004C0AA6" w:rsidRPr="00B22401" w:rsidRDefault="004C0AA6" w:rsidP="00D8338D">
            <w:pPr>
              <w:spacing w:before="20" w:after="20"/>
              <w:jc w:val="center"/>
              <w:rPr>
                <w:rFonts w:ascii="Segoe UI" w:hAnsi="Segoe UI" w:cs="Segoe UI"/>
                <w:sz w:val="18"/>
                <w:szCs w:val="18"/>
              </w:rPr>
            </w:pPr>
          </w:p>
        </w:tc>
        <w:tc>
          <w:tcPr>
            <w:tcW w:w="460" w:type="dxa"/>
            <w:vMerge/>
            <w:tcBorders>
              <w:top w:val="single" w:sz="4" w:space="0" w:color="auto"/>
              <w:left w:val="nil"/>
              <w:bottom w:val="single" w:sz="4" w:space="0" w:color="auto"/>
              <w:right w:val="nil"/>
            </w:tcBorders>
            <w:shd w:val="clear" w:color="auto" w:fill="C0504D" w:themeFill="accent2"/>
            <w:vAlign w:val="center"/>
          </w:tcPr>
          <w:p w14:paraId="743475AC" w14:textId="77777777" w:rsidR="004C0AA6" w:rsidRPr="00B22401" w:rsidRDefault="004C0AA6" w:rsidP="00D8338D">
            <w:pPr>
              <w:spacing w:before="20" w:after="20"/>
              <w:jc w:val="center"/>
              <w:rPr>
                <w:rFonts w:ascii="Segoe UI" w:hAnsi="Segoe UI" w:cs="Segoe UI"/>
                <w:sz w:val="18"/>
                <w:szCs w:val="18"/>
              </w:rPr>
            </w:pPr>
          </w:p>
        </w:tc>
        <w:tc>
          <w:tcPr>
            <w:tcW w:w="425" w:type="dxa"/>
            <w:vMerge/>
            <w:tcBorders>
              <w:top w:val="single" w:sz="4" w:space="0" w:color="auto"/>
              <w:left w:val="nil"/>
              <w:bottom w:val="single" w:sz="4" w:space="0" w:color="auto"/>
              <w:right w:val="nil"/>
            </w:tcBorders>
            <w:shd w:val="clear" w:color="auto" w:fill="943634" w:themeFill="accent2" w:themeFillShade="BF"/>
            <w:vAlign w:val="center"/>
          </w:tcPr>
          <w:p w14:paraId="1B9341EB" w14:textId="77777777" w:rsidR="004C0AA6" w:rsidRPr="00B22401" w:rsidRDefault="004C0AA6" w:rsidP="00D8338D">
            <w:pPr>
              <w:spacing w:before="20" w:after="20"/>
              <w:jc w:val="center"/>
              <w:rPr>
                <w:rFonts w:ascii="Segoe UI" w:hAnsi="Segoe UI" w:cs="Segoe UI"/>
                <w:sz w:val="18"/>
                <w:szCs w:val="18"/>
              </w:rPr>
            </w:pPr>
          </w:p>
        </w:tc>
        <w:tc>
          <w:tcPr>
            <w:tcW w:w="426" w:type="dxa"/>
            <w:vMerge/>
            <w:tcBorders>
              <w:top w:val="single" w:sz="4" w:space="0" w:color="auto"/>
              <w:left w:val="nil"/>
              <w:bottom w:val="single" w:sz="4" w:space="0" w:color="auto"/>
              <w:right w:val="nil"/>
            </w:tcBorders>
            <w:shd w:val="clear" w:color="auto" w:fill="943634" w:themeFill="accent2" w:themeFillShade="BF"/>
            <w:vAlign w:val="center"/>
          </w:tcPr>
          <w:p w14:paraId="7B54A6B7" w14:textId="77777777" w:rsidR="004C0AA6" w:rsidRPr="00B22401" w:rsidRDefault="004C0AA6" w:rsidP="00D8338D">
            <w:pPr>
              <w:spacing w:before="20" w:after="20"/>
              <w:jc w:val="center"/>
              <w:rPr>
                <w:rFonts w:ascii="Segoe UI" w:hAnsi="Segoe UI" w:cs="Segoe UI"/>
                <w:sz w:val="18"/>
                <w:szCs w:val="18"/>
              </w:rPr>
            </w:pPr>
          </w:p>
        </w:tc>
        <w:tc>
          <w:tcPr>
            <w:tcW w:w="431" w:type="dxa"/>
            <w:vMerge/>
            <w:tcBorders>
              <w:top w:val="single" w:sz="4" w:space="0" w:color="auto"/>
              <w:left w:val="nil"/>
              <w:bottom w:val="single" w:sz="4" w:space="0" w:color="auto"/>
              <w:right w:val="nil"/>
            </w:tcBorders>
            <w:shd w:val="clear" w:color="auto" w:fill="auto"/>
            <w:vAlign w:val="center"/>
          </w:tcPr>
          <w:p w14:paraId="798CAC38" w14:textId="77777777" w:rsidR="004C0AA6" w:rsidRPr="00B22401" w:rsidRDefault="004C0AA6" w:rsidP="00D8338D">
            <w:pPr>
              <w:spacing w:before="20" w:after="20"/>
              <w:jc w:val="center"/>
              <w:rPr>
                <w:rFonts w:ascii="Segoe UI" w:hAnsi="Segoe UI" w:cs="Segoe UI"/>
                <w:sz w:val="18"/>
                <w:szCs w:val="18"/>
              </w:rPr>
            </w:pPr>
          </w:p>
        </w:tc>
        <w:tc>
          <w:tcPr>
            <w:tcW w:w="431" w:type="dxa"/>
            <w:vMerge/>
            <w:tcBorders>
              <w:top w:val="single" w:sz="4" w:space="0" w:color="auto"/>
              <w:left w:val="nil"/>
              <w:bottom w:val="single" w:sz="4" w:space="0" w:color="auto"/>
              <w:right w:val="single" w:sz="4" w:space="0" w:color="auto"/>
            </w:tcBorders>
            <w:shd w:val="clear" w:color="auto" w:fill="auto"/>
          </w:tcPr>
          <w:p w14:paraId="24B7D65C" w14:textId="77777777" w:rsidR="004C0AA6" w:rsidRPr="00B22401" w:rsidRDefault="004C0AA6" w:rsidP="00D8338D">
            <w:pPr>
              <w:spacing w:before="20" w:after="20"/>
              <w:jc w:val="center"/>
              <w:rPr>
                <w:rFonts w:ascii="Segoe UI" w:hAnsi="Segoe UI" w:cs="Segoe UI"/>
                <w:sz w:val="18"/>
                <w:szCs w:val="18"/>
              </w:rPr>
            </w:pPr>
          </w:p>
        </w:tc>
      </w:tr>
      <w:tr w:rsidR="009E2CF8" w:rsidRPr="00736A50" w14:paraId="7CC0F745" w14:textId="77777777" w:rsidTr="00F05DB1">
        <w:trPr>
          <w:jc w:val="center"/>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1A09D58A"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General State budget</w:t>
            </w:r>
          </w:p>
        </w:tc>
        <w:tc>
          <w:tcPr>
            <w:tcW w:w="992" w:type="dxa"/>
            <w:tcBorders>
              <w:top w:val="single" w:sz="4" w:space="0" w:color="auto"/>
              <w:left w:val="single" w:sz="4" w:space="0" w:color="auto"/>
              <w:bottom w:val="nil"/>
              <w:right w:val="single" w:sz="4" w:space="0" w:color="auto"/>
            </w:tcBorders>
            <w:shd w:val="clear" w:color="auto" w:fill="auto"/>
          </w:tcPr>
          <w:p w14:paraId="0651CCA7"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SW</w:t>
            </w:r>
          </w:p>
        </w:tc>
        <w:tc>
          <w:tcPr>
            <w:tcW w:w="451" w:type="dxa"/>
            <w:vMerge w:val="restart"/>
            <w:tcBorders>
              <w:top w:val="single" w:sz="4" w:space="0" w:color="auto"/>
              <w:left w:val="single" w:sz="4" w:space="0" w:color="auto"/>
              <w:bottom w:val="single" w:sz="4" w:space="0" w:color="auto"/>
              <w:right w:val="nil"/>
            </w:tcBorders>
            <w:shd w:val="clear" w:color="auto" w:fill="F2DBDB" w:themeFill="accent2" w:themeFillTint="33"/>
            <w:vAlign w:val="center"/>
          </w:tcPr>
          <w:p w14:paraId="0B24DB05"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EE</w:t>
            </w:r>
          </w:p>
        </w:tc>
        <w:tc>
          <w:tcPr>
            <w:tcW w:w="426" w:type="dxa"/>
            <w:vMerge w:val="restart"/>
            <w:tcBorders>
              <w:top w:val="single" w:sz="4" w:space="0" w:color="auto"/>
              <w:left w:val="nil"/>
              <w:bottom w:val="single" w:sz="4" w:space="0" w:color="auto"/>
              <w:right w:val="nil"/>
            </w:tcBorders>
            <w:shd w:val="clear" w:color="auto" w:fill="F2DBDB" w:themeFill="accent2" w:themeFillTint="33"/>
            <w:vAlign w:val="center"/>
          </w:tcPr>
          <w:p w14:paraId="1FF2F2B6"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LT</w:t>
            </w:r>
          </w:p>
        </w:tc>
        <w:tc>
          <w:tcPr>
            <w:tcW w:w="452" w:type="dxa"/>
            <w:vMerge w:val="restart"/>
            <w:tcBorders>
              <w:top w:val="single" w:sz="4" w:space="0" w:color="auto"/>
              <w:left w:val="nil"/>
              <w:bottom w:val="single" w:sz="4" w:space="0" w:color="auto"/>
              <w:right w:val="nil"/>
            </w:tcBorders>
            <w:shd w:val="clear" w:color="auto" w:fill="E5B8B7" w:themeFill="accent2" w:themeFillTint="66"/>
            <w:vAlign w:val="center"/>
          </w:tcPr>
          <w:p w14:paraId="4655E3D1"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LV</w:t>
            </w:r>
          </w:p>
        </w:tc>
        <w:tc>
          <w:tcPr>
            <w:tcW w:w="469" w:type="dxa"/>
            <w:vMerge w:val="restart"/>
            <w:tcBorders>
              <w:top w:val="single" w:sz="4" w:space="0" w:color="auto"/>
              <w:left w:val="nil"/>
              <w:bottom w:val="single" w:sz="4" w:space="0" w:color="auto"/>
              <w:right w:val="nil"/>
            </w:tcBorders>
            <w:shd w:val="clear" w:color="auto" w:fill="E5B8B7" w:themeFill="accent2" w:themeFillTint="66"/>
            <w:vAlign w:val="center"/>
          </w:tcPr>
          <w:p w14:paraId="6811AF80" w14:textId="77777777" w:rsidR="004C0AA6" w:rsidRPr="00B22401" w:rsidRDefault="004C0AA6" w:rsidP="00D8338D">
            <w:pPr>
              <w:spacing w:before="20" w:after="20"/>
              <w:jc w:val="center"/>
              <w:rPr>
                <w:rFonts w:ascii="Segoe UI" w:hAnsi="Segoe UI" w:cs="Segoe UI"/>
                <w:sz w:val="18"/>
                <w:szCs w:val="18"/>
              </w:rPr>
            </w:pPr>
            <w:r>
              <w:rPr>
                <w:rFonts w:ascii="Segoe UI" w:hAnsi="Segoe UI" w:cs="Segoe UI"/>
                <w:sz w:val="18"/>
                <w:szCs w:val="18"/>
              </w:rPr>
              <w:t>HU</w:t>
            </w:r>
          </w:p>
        </w:tc>
        <w:tc>
          <w:tcPr>
            <w:tcW w:w="429" w:type="dxa"/>
            <w:tcBorders>
              <w:top w:val="single" w:sz="4" w:space="0" w:color="auto"/>
              <w:left w:val="nil"/>
              <w:bottom w:val="nil"/>
              <w:right w:val="nil"/>
            </w:tcBorders>
            <w:shd w:val="clear" w:color="auto" w:fill="auto"/>
            <w:vAlign w:val="center"/>
          </w:tcPr>
          <w:p w14:paraId="0986B4E5"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single" w:sz="4" w:space="0" w:color="auto"/>
              <w:left w:val="nil"/>
              <w:bottom w:val="nil"/>
              <w:right w:val="nil"/>
            </w:tcBorders>
            <w:shd w:val="clear" w:color="auto" w:fill="auto"/>
            <w:vAlign w:val="center"/>
          </w:tcPr>
          <w:p w14:paraId="0FD65E2E"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single" w:sz="4" w:space="0" w:color="auto"/>
              <w:left w:val="nil"/>
              <w:bottom w:val="nil"/>
              <w:right w:val="nil"/>
            </w:tcBorders>
            <w:shd w:val="clear" w:color="auto" w:fill="auto"/>
            <w:vAlign w:val="center"/>
          </w:tcPr>
          <w:p w14:paraId="2DE7CBE6"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single" w:sz="4" w:space="0" w:color="auto"/>
              <w:left w:val="nil"/>
              <w:bottom w:val="nil"/>
              <w:right w:val="nil"/>
            </w:tcBorders>
            <w:shd w:val="clear" w:color="auto" w:fill="auto"/>
            <w:vAlign w:val="center"/>
          </w:tcPr>
          <w:p w14:paraId="30861172" w14:textId="77777777" w:rsidR="004C0AA6" w:rsidRPr="00B22401" w:rsidRDefault="004C0AA6" w:rsidP="00D8338D">
            <w:pPr>
              <w:spacing w:before="20" w:after="20"/>
              <w:jc w:val="center"/>
              <w:rPr>
                <w:rFonts w:ascii="Segoe UI" w:hAnsi="Segoe UI" w:cs="Segoe UI"/>
                <w:sz w:val="18"/>
                <w:szCs w:val="18"/>
              </w:rPr>
            </w:pPr>
          </w:p>
        </w:tc>
        <w:tc>
          <w:tcPr>
            <w:tcW w:w="425" w:type="dxa"/>
            <w:tcBorders>
              <w:top w:val="single" w:sz="4" w:space="0" w:color="auto"/>
              <w:left w:val="nil"/>
              <w:bottom w:val="nil"/>
              <w:right w:val="nil"/>
            </w:tcBorders>
            <w:shd w:val="clear" w:color="auto" w:fill="auto"/>
            <w:vAlign w:val="center"/>
          </w:tcPr>
          <w:p w14:paraId="2258028E"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single" w:sz="4" w:space="0" w:color="auto"/>
              <w:left w:val="nil"/>
              <w:bottom w:val="nil"/>
              <w:right w:val="nil"/>
            </w:tcBorders>
            <w:shd w:val="clear" w:color="auto" w:fill="auto"/>
            <w:vAlign w:val="center"/>
          </w:tcPr>
          <w:p w14:paraId="2566C7A5"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nil"/>
              <w:bottom w:val="nil"/>
              <w:right w:val="nil"/>
            </w:tcBorders>
            <w:shd w:val="clear" w:color="auto" w:fill="auto"/>
            <w:vAlign w:val="center"/>
          </w:tcPr>
          <w:p w14:paraId="7305D869"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nil"/>
              <w:bottom w:val="nil"/>
              <w:right w:val="single" w:sz="4" w:space="0" w:color="auto"/>
            </w:tcBorders>
            <w:shd w:val="clear" w:color="auto" w:fill="auto"/>
          </w:tcPr>
          <w:p w14:paraId="424C1B52" w14:textId="77777777" w:rsidR="004C0AA6" w:rsidRPr="00B22401" w:rsidRDefault="004C0AA6" w:rsidP="00D8338D">
            <w:pPr>
              <w:spacing w:before="20" w:after="20"/>
              <w:jc w:val="center"/>
              <w:rPr>
                <w:rFonts w:ascii="Segoe UI" w:hAnsi="Segoe UI" w:cs="Segoe UI"/>
                <w:sz w:val="18"/>
                <w:szCs w:val="18"/>
              </w:rPr>
            </w:pPr>
          </w:p>
        </w:tc>
      </w:tr>
      <w:tr w:rsidR="009E2CF8" w:rsidRPr="00736A50" w14:paraId="79BC0FA8" w14:textId="77777777" w:rsidTr="00F05DB1">
        <w:trPr>
          <w:jc w:val="center"/>
        </w:trPr>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11DB1425" w14:textId="77777777" w:rsidR="004C0AA6" w:rsidRPr="00B22401" w:rsidRDefault="004C0AA6" w:rsidP="00D8338D">
            <w:pPr>
              <w:spacing w:before="20" w:after="20"/>
              <w:rPr>
                <w:rFonts w:ascii="Segoe UI" w:hAnsi="Segoe UI" w:cs="Segoe UI"/>
                <w:sz w:val="18"/>
                <w:szCs w:val="18"/>
              </w:rPr>
            </w:pPr>
          </w:p>
        </w:tc>
        <w:tc>
          <w:tcPr>
            <w:tcW w:w="992" w:type="dxa"/>
            <w:tcBorders>
              <w:top w:val="nil"/>
              <w:left w:val="single" w:sz="4" w:space="0" w:color="auto"/>
              <w:bottom w:val="single" w:sz="4" w:space="0" w:color="auto"/>
              <w:right w:val="single" w:sz="4" w:space="0" w:color="auto"/>
            </w:tcBorders>
            <w:shd w:val="clear" w:color="auto" w:fill="auto"/>
          </w:tcPr>
          <w:p w14:paraId="1CA08F82"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GW</w:t>
            </w:r>
          </w:p>
        </w:tc>
        <w:tc>
          <w:tcPr>
            <w:tcW w:w="451" w:type="dxa"/>
            <w:vMerge/>
            <w:tcBorders>
              <w:top w:val="single" w:sz="4" w:space="0" w:color="auto"/>
              <w:left w:val="single" w:sz="4" w:space="0" w:color="auto"/>
              <w:bottom w:val="single" w:sz="4" w:space="0" w:color="auto"/>
              <w:right w:val="nil"/>
            </w:tcBorders>
            <w:shd w:val="clear" w:color="auto" w:fill="F2DBDB" w:themeFill="accent2" w:themeFillTint="33"/>
            <w:vAlign w:val="center"/>
          </w:tcPr>
          <w:p w14:paraId="56AE2D51" w14:textId="77777777" w:rsidR="004C0AA6" w:rsidRPr="00B22401" w:rsidRDefault="004C0AA6" w:rsidP="00D8338D">
            <w:pPr>
              <w:spacing w:before="20" w:after="20"/>
              <w:jc w:val="center"/>
              <w:rPr>
                <w:rFonts w:ascii="Segoe UI" w:hAnsi="Segoe UI" w:cs="Segoe UI"/>
                <w:sz w:val="18"/>
                <w:szCs w:val="18"/>
              </w:rPr>
            </w:pPr>
          </w:p>
        </w:tc>
        <w:tc>
          <w:tcPr>
            <w:tcW w:w="426" w:type="dxa"/>
            <w:vMerge/>
            <w:tcBorders>
              <w:top w:val="single" w:sz="4" w:space="0" w:color="auto"/>
              <w:left w:val="nil"/>
              <w:bottom w:val="single" w:sz="4" w:space="0" w:color="auto"/>
              <w:right w:val="nil"/>
            </w:tcBorders>
            <w:shd w:val="clear" w:color="auto" w:fill="F2DBDB" w:themeFill="accent2" w:themeFillTint="33"/>
            <w:vAlign w:val="center"/>
          </w:tcPr>
          <w:p w14:paraId="730D5404" w14:textId="77777777" w:rsidR="004C0AA6" w:rsidRPr="00B22401" w:rsidRDefault="004C0AA6" w:rsidP="00D8338D">
            <w:pPr>
              <w:spacing w:before="20" w:after="20"/>
              <w:jc w:val="center"/>
              <w:rPr>
                <w:rFonts w:ascii="Segoe UI" w:hAnsi="Segoe UI" w:cs="Segoe UI"/>
                <w:sz w:val="18"/>
                <w:szCs w:val="18"/>
              </w:rPr>
            </w:pPr>
          </w:p>
        </w:tc>
        <w:tc>
          <w:tcPr>
            <w:tcW w:w="452" w:type="dxa"/>
            <w:vMerge/>
            <w:tcBorders>
              <w:top w:val="single" w:sz="4" w:space="0" w:color="auto"/>
              <w:left w:val="nil"/>
              <w:bottom w:val="single" w:sz="4" w:space="0" w:color="auto"/>
              <w:right w:val="nil"/>
            </w:tcBorders>
            <w:shd w:val="clear" w:color="auto" w:fill="E5B8B7" w:themeFill="accent2" w:themeFillTint="66"/>
            <w:vAlign w:val="center"/>
          </w:tcPr>
          <w:p w14:paraId="615D0441" w14:textId="77777777" w:rsidR="004C0AA6" w:rsidRPr="00B22401" w:rsidRDefault="004C0AA6" w:rsidP="00D8338D">
            <w:pPr>
              <w:spacing w:before="20" w:after="20"/>
              <w:jc w:val="center"/>
              <w:rPr>
                <w:rFonts w:ascii="Segoe UI" w:hAnsi="Segoe UI" w:cs="Segoe UI"/>
                <w:sz w:val="18"/>
                <w:szCs w:val="18"/>
              </w:rPr>
            </w:pPr>
          </w:p>
        </w:tc>
        <w:tc>
          <w:tcPr>
            <w:tcW w:w="469" w:type="dxa"/>
            <w:vMerge/>
            <w:tcBorders>
              <w:top w:val="single" w:sz="4" w:space="0" w:color="auto"/>
              <w:left w:val="nil"/>
              <w:bottom w:val="single" w:sz="4" w:space="0" w:color="auto"/>
              <w:right w:val="nil"/>
            </w:tcBorders>
            <w:shd w:val="clear" w:color="auto" w:fill="E5B8B7" w:themeFill="accent2" w:themeFillTint="66"/>
            <w:vAlign w:val="center"/>
          </w:tcPr>
          <w:p w14:paraId="4879138B" w14:textId="77777777" w:rsidR="004C0AA6" w:rsidRPr="00B22401" w:rsidRDefault="004C0AA6" w:rsidP="00D8338D">
            <w:pPr>
              <w:spacing w:before="20" w:after="20"/>
              <w:jc w:val="center"/>
              <w:rPr>
                <w:rFonts w:ascii="Segoe UI" w:hAnsi="Segoe UI" w:cs="Segoe UI"/>
                <w:sz w:val="18"/>
                <w:szCs w:val="18"/>
              </w:rPr>
            </w:pPr>
          </w:p>
        </w:tc>
        <w:tc>
          <w:tcPr>
            <w:tcW w:w="429" w:type="dxa"/>
            <w:tcBorders>
              <w:top w:val="nil"/>
              <w:left w:val="nil"/>
              <w:bottom w:val="single" w:sz="4" w:space="0" w:color="auto"/>
              <w:right w:val="nil"/>
            </w:tcBorders>
            <w:shd w:val="clear" w:color="auto" w:fill="auto"/>
            <w:vAlign w:val="center"/>
          </w:tcPr>
          <w:p w14:paraId="67EFA4D8"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nil"/>
              <w:left w:val="nil"/>
              <w:bottom w:val="single" w:sz="4" w:space="0" w:color="auto"/>
              <w:right w:val="nil"/>
            </w:tcBorders>
            <w:shd w:val="clear" w:color="auto" w:fill="auto"/>
            <w:vAlign w:val="center"/>
          </w:tcPr>
          <w:p w14:paraId="6F93DB24"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nil"/>
              <w:left w:val="nil"/>
              <w:bottom w:val="single" w:sz="4" w:space="0" w:color="auto"/>
              <w:right w:val="nil"/>
            </w:tcBorders>
            <w:shd w:val="clear" w:color="auto" w:fill="auto"/>
            <w:vAlign w:val="center"/>
          </w:tcPr>
          <w:p w14:paraId="164AEAC4"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nil"/>
              <w:left w:val="nil"/>
              <w:bottom w:val="single" w:sz="4" w:space="0" w:color="auto"/>
              <w:right w:val="nil"/>
            </w:tcBorders>
            <w:shd w:val="clear" w:color="auto" w:fill="auto"/>
            <w:vAlign w:val="center"/>
          </w:tcPr>
          <w:p w14:paraId="531D3040" w14:textId="77777777" w:rsidR="004C0AA6" w:rsidRPr="00B22401" w:rsidRDefault="004C0AA6" w:rsidP="00D8338D">
            <w:pPr>
              <w:spacing w:before="20" w:after="20"/>
              <w:jc w:val="center"/>
              <w:rPr>
                <w:rFonts w:ascii="Segoe UI" w:hAnsi="Segoe UI" w:cs="Segoe UI"/>
                <w:sz w:val="18"/>
                <w:szCs w:val="18"/>
              </w:rPr>
            </w:pPr>
          </w:p>
        </w:tc>
        <w:tc>
          <w:tcPr>
            <w:tcW w:w="425" w:type="dxa"/>
            <w:tcBorders>
              <w:top w:val="nil"/>
              <w:left w:val="nil"/>
              <w:bottom w:val="single" w:sz="4" w:space="0" w:color="auto"/>
              <w:right w:val="nil"/>
            </w:tcBorders>
            <w:shd w:val="clear" w:color="auto" w:fill="auto"/>
            <w:vAlign w:val="center"/>
          </w:tcPr>
          <w:p w14:paraId="21D0F94B"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nil"/>
              <w:left w:val="nil"/>
              <w:bottom w:val="single" w:sz="4" w:space="0" w:color="auto"/>
              <w:right w:val="nil"/>
            </w:tcBorders>
            <w:shd w:val="clear" w:color="auto" w:fill="auto"/>
            <w:vAlign w:val="center"/>
          </w:tcPr>
          <w:p w14:paraId="68F87741"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nil"/>
              <w:left w:val="nil"/>
              <w:bottom w:val="single" w:sz="4" w:space="0" w:color="auto"/>
              <w:right w:val="nil"/>
            </w:tcBorders>
            <w:shd w:val="clear" w:color="auto" w:fill="auto"/>
            <w:vAlign w:val="center"/>
          </w:tcPr>
          <w:p w14:paraId="1F03DD9E"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nil"/>
              <w:left w:val="nil"/>
              <w:bottom w:val="single" w:sz="4" w:space="0" w:color="auto"/>
              <w:right w:val="single" w:sz="4" w:space="0" w:color="auto"/>
            </w:tcBorders>
            <w:shd w:val="clear" w:color="auto" w:fill="auto"/>
          </w:tcPr>
          <w:p w14:paraId="7259CA8A" w14:textId="77777777" w:rsidR="004C0AA6" w:rsidRPr="00B22401" w:rsidRDefault="004C0AA6" w:rsidP="00D8338D">
            <w:pPr>
              <w:spacing w:before="20" w:after="20"/>
              <w:jc w:val="center"/>
              <w:rPr>
                <w:rFonts w:ascii="Segoe UI" w:hAnsi="Segoe UI" w:cs="Segoe UI"/>
                <w:sz w:val="18"/>
                <w:szCs w:val="18"/>
              </w:rPr>
            </w:pPr>
          </w:p>
        </w:tc>
      </w:tr>
      <w:tr w:rsidR="009E2CF8" w:rsidRPr="00736A50" w14:paraId="38C902AF" w14:textId="77777777" w:rsidTr="00F05DB1">
        <w:trPr>
          <w:jc w:val="center"/>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3EB1A63A"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Regional, local or municipal budgets</w:t>
            </w:r>
          </w:p>
        </w:tc>
        <w:tc>
          <w:tcPr>
            <w:tcW w:w="992" w:type="dxa"/>
            <w:tcBorders>
              <w:top w:val="single" w:sz="4" w:space="0" w:color="auto"/>
              <w:left w:val="single" w:sz="4" w:space="0" w:color="auto"/>
              <w:bottom w:val="nil"/>
              <w:right w:val="single" w:sz="4" w:space="0" w:color="auto"/>
            </w:tcBorders>
            <w:shd w:val="clear" w:color="auto" w:fill="auto"/>
          </w:tcPr>
          <w:p w14:paraId="4042E533"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SW</w:t>
            </w:r>
          </w:p>
        </w:tc>
        <w:tc>
          <w:tcPr>
            <w:tcW w:w="451" w:type="dxa"/>
            <w:vMerge w:val="restart"/>
            <w:tcBorders>
              <w:top w:val="single" w:sz="4" w:space="0" w:color="auto"/>
              <w:left w:val="single" w:sz="4" w:space="0" w:color="auto"/>
              <w:bottom w:val="single" w:sz="4" w:space="0" w:color="auto"/>
              <w:right w:val="nil"/>
            </w:tcBorders>
            <w:shd w:val="clear" w:color="auto" w:fill="F2DBDB" w:themeFill="accent2" w:themeFillTint="33"/>
            <w:vAlign w:val="center"/>
          </w:tcPr>
          <w:p w14:paraId="615F9F1B"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EE</w:t>
            </w:r>
          </w:p>
        </w:tc>
        <w:tc>
          <w:tcPr>
            <w:tcW w:w="426" w:type="dxa"/>
            <w:vMerge w:val="restart"/>
            <w:tcBorders>
              <w:top w:val="single" w:sz="4" w:space="0" w:color="auto"/>
              <w:left w:val="nil"/>
              <w:bottom w:val="single" w:sz="4" w:space="0" w:color="auto"/>
              <w:right w:val="nil"/>
            </w:tcBorders>
            <w:shd w:val="clear" w:color="auto" w:fill="F2DBDB" w:themeFill="accent2" w:themeFillTint="33"/>
            <w:vAlign w:val="center"/>
          </w:tcPr>
          <w:p w14:paraId="2C67B6E3"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LT</w:t>
            </w:r>
          </w:p>
        </w:tc>
        <w:tc>
          <w:tcPr>
            <w:tcW w:w="452" w:type="dxa"/>
            <w:vMerge w:val="restart"/>
            <w:tcBorders>
              <w:top w:val="single" w:sz="4" w:space="0" w:color="auto"/>
              <w:left w:val="nil"/>
              <w:bottom w:val="single" w:sz="4" w:space="0" w:color="auto"/>
              <w:right w:val="nil"/>
            </w:tcBorders>
            <w:shd w:val="clear" w:color="auto" w:fill="E5B8B7" w:themeFill="accent2" w:themeFillTint="66"/>
            <w:vAlign w:val="center"/>
          </w:tcPr>
          <w:p w14:paraId="21DFE168"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LV</w:t>
            </w:r>
          </w:p>
        </w:tc>
        <w:tc>
          <w:tcPr>
            <w:tcW w:w="469" w:type="dxa"/>
            <w:tcBorders>
              <w:top w:val="single" w:sz="4" w:space="0" w:color="auto"/>
              <w:left w:val="nil"/>
              <w:bottom w:val="nil"/>
              <w:right w:val="nil"/>
            </w:tcBorders>
            <w:shd w:val="clear" w:color="auto" w:fill="auto"/>
            <w:vAlign w:val="center"/>
          </w:tcPr>
          <w:p w14:paraId="24D71C70" w14:textId="77777777" w:rsidR="004C0AA6" w:rsidRPr="00B22401" w:rsidRDefault="004C0AA6" w:rsidP="00D8338D">
            <w:pPr>
              <w:spacing w:before="20" w:after="20"/>
              <w:jc w:val="center"/>
              <w:rPr>
                <w:rFonts w:ascii="Segoe UI" w:hAnsi="Segoe UI" w:cs="Segoe UI"/>
                <w:sz w:val="18"/>
                <w:szCs w:val="18"/>
              </w:rPr>
            </w:pPr>
          </w:p>
        </w:tc>
        <w:tc>
          <w:tcPr>
            <w:tcW w:w="429" w:type="dxa"/>
            <w:tcBorders>
              <w:top w:val="single" w:sz="4" w:space="0" w:color="auto"/>
              <w:left w:val="nil"/>
              <w:bottom w:val="nil"/>
              <w:right w:val="nil"/>
            </w:tcBorders>
            <w:shd w:val="clear" w:color="auto" w:fill="auto"/>
            <w:vAlign w:val="center"/>
          </w:tcPr>
          <w:p w14:paraId="6B6ABD5E"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single" w:sz="4" w:space="0" w:color="auto"/>
              <w:left w:val="nil"/>
              <w:bottom w:val="nil"/>
              <w:right w:val="nil"/>
            </w:tcBorders>
            <w:shd w:val="clear" w:color="auto" w:fill="auto"/>
            <w:vAlign w:val="center"/>
          </w:tcPr>
          <w:p w14:paraId="78EFA054"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single" w:sz="4" w:space="0" w:color="auto"/>
              <w:left w:val="nil"/>
              <w:bottom w:val="nil"/>
              <w:right w:val="nil"/>
            </w:tcBorders>
            <w:shd w:val="clear" w:color="auto" w:fill="auto"/>
            <w:vAlign w:val="center"/>
          </w:tcPr>
          <w:p w14:paraId="1BE6A6FC"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single" w:sz="4" w:space="0" w:color="auto"/>
              <w:left w:val="nil"/>
              <w:bottom w:val="nil"/>
              <w:right w:val="nil"/>
            </w:tcBorders>
            <w:shd w:val="clear" w:color="auto" w:fill="auto"/>
            <w:vAlign w:val="center"/>
          </w:tcPr>
          <w:p w14:paraId="7AA0DDBF" w14:textId="77777777" w:rsidR="004C0AA6" w:rsidRPr="00B22401" w:rsidRDefault="004C0AA6" w:rsidP="00D8338D">
            <w:pPr>
              <w:spacing w:before="20" w:after="20"/>
              <w:jc w:val="center"/>
              <w:rPr>
                <w:rFonts w:ascii="Segoe UI" w:hAnsi="Segoe UI" w:cs="Segoe UI"/>
                <w:sz w:val="18"/>
                <w:szCs w:val="18"/>
              </w:rPr>
            </w:pPr>
          </w:p>
        </w:tc>
        <w:tc>
          <w:tcPr>
            <w:tcW w:w="425" w:type="dxa"/>
            <w:tcBorders>
              <w:top w:val="single" w:sz="4" w:space="0" w:color="auto"/>
              <w:left w:val="nil"/>
              <w:bottom w:val="nil"/>
              <w:right w:val="nil"/>
            </w:tcBorders>
            <w:shd w:val="clear" w:color="auto" w:fill="auto"/>
            <w:vAlign w:val="center"/>
          </w:tcPr>
          <w:p w14:paraId="0867DE2D"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single" w:sz="4" w:space="0" w:color="auto"/>
              <w:left w:val="nil"/>
              <w:bottom w:val="nil"/>
              <w:right w:val="nil"/>
            </w:tcBorders>
            <w:shd w:val="clear" w:color="auto" w:fill="auto"/>
            <w:vAlign w:val="center"/>
          </w:tcPr>
          <w:p w14:paraId="13C32C82"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nil"/>
              <w:bottom w:val="nil"/>
              <w:right w:val="nil"/>
            </w:tcBorders>
            <w:shd w:val="clear" w:color="auto" w:fill="auto"/>
            <w:vAlign w:val="center"/>
          </w:tcPr>
          <w:p w14:paraId="418F27A1"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nil"/>
              <w:bottom w:val="nil"/>
              <w:right w:val="single" w:sz="4" w:space="0" w:color="auto"/>
            </w:tcBorders>
            <w:shd w:val="clear" w:color="auto" w:fill="auto"/>
          </w:tcPr>
          <w:p w14:paraId="2BF0325E" w14:textId="77777777" w:rsidR="004C0AA6" w:rsidRPr="00B22401" w:rsidRDefault="004C0AA6" w:rsidP="00D8338D">
            <w:pPr>
              <w:spacing w:before="20" w:after="20"/>
              <w:jc w:val="center"/>
              <w:rPr>
                <w:rFonts w:ascii="Segoe UI" w:hAnsi="Segoe UI" w:cs="Segoe UI"/>
                <w:sz w:val="18"/>
                <w:szCs w:val="18"/>
              </w:rPr>
            </w:pPr>
          </w:p>
        </w:tc>
      </w:tr>
      <w:tr w:rsidR="009E2CF8" w:rsidRPr="00736A50" w14:paraId="5DC5415F" w14:textId="77777777" w:rsidTr="00F05DB1">
        <w:trPr>
          <w:jc w:val="center"/>
        </w:trPr>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1278D8CE" w14:textId="77777777" w:rsidR="004C0AA6" w:rsidRPr="00B22401" w:rsidRDefault="004C0AA6" w:rsidP="00D8338D">
            <w:pPr>
              <w:spacing w:before="20" w:after="20"/>
              <w:rPr>
                <w:rFonts w:ascii="Segoe UI" w:hAnsi="Segoe UI" w:cs="Segoe UI"/>
                <w:sz w:val="18"/>
                <w:szCs w:val="18"/>
              </w:rPr>
            </w:pPr>
          </w:p>
        </w:tc>
        <w:tc>
          <w:tcPr>
            <w:tcW w:w="992" w:type="dxa"/>
            <w:tcBorders>
              <w:top w:val="nil"/>
              <w:left w:val="single" w:sz="4" w:space="0" w:color="auto"/>
              <w:bottom w:val="single" w:sz="4" w:space="0" w:color="auto"/>
              <w:right w:val="single" w:sz="4" w:space="0" w:color="auto"/>
            </w:tcBorders>
            <w:shd w:val="clear" w:color="auto" w:fill="auto"/>
          </w:tcPr>
          <w:p w14:paraId="41221986"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GW</w:t>
            </w:r>
          </w:p>
        </w:tc>
        <w:tc>
          <w:tcPr>
            <w:tcW w:w="451" w:type="dxa"/>
            <w:vMerge/>
            <w:tcBorders>
              <w:top w:val="single" w:sz="4" w:space="0" w:color="auto"/>
              <w:left w:val="single" w:sz="4" w:space="0" w:color="auto"/>
              <w:bottom w:val="single" w:sz="4" w:space="0" w:color="auto"/>
              <w:right w:val="nil"/>
            </w:tcBorders>
            <w:shd w:val="clear" w:color="auto" w:fill="F2DBDB" w:themeFill="accent2" w:themeFillTint="33"/>
            <w:vAlign w:val="center"/>
          </w:tcPr>
          <w:p w14:paraId="5439F67B" w14:textId="77777777" w:rsidR="004C0AA6" w:rsidRPr="00B22401" w:rsidRDefault="004C0AA6" w:rsidP="00D8338D">
            <w:pPr>
              <w:spacing w:before="20" w:after="20"/>
              <w:jc w:val="center"/>
              <w:rPr>
                <w:rFonts w:ascii="Segoe UI" w:hAnsi="Segoe UI" w:cs="Segoe UI"/>
                <w:sz w:val="18"/>
                <w:szCs w:val="18"/>
              </w:rPr>
            </w:pPr>
          </w:p>
        </w:tc>
        <w:tc>
          <w:tcPr>
            <w:tcW w:w="426" w:type="dxa"/>
            <w:vMerge/>
            <w:tcBorders>
              <w:top w:val="single" w:sz="4" w:space="0" w:color="auto"/>
              <w:left w:val="nil"/>
              <w:bottom w:val="single" w:sz="4" w:space="0" w:color="auto"/>
              <w:right w:val="nil"/>
            </w:tcBorders>
            <w:shd w:val="clear" w:color="auto" w:fill="F2DBDB" w:themeFill="accent2" w:themeFillTint="33"/>
            <w:vAlign w:val="center"/>
          </w:tcPr>
          <w:p w14:paraId="4EB1AD7E" w14:textId="77777777" w:rsidR="004C0AA6" w:rsidRPr="00B22401" w:rsidRDefault="004C0AA6" w:rsidP="00D8338D">
            <w:pPr>
              <w:spacing w:before="20" w:after="20"/>
              <w:jc w:val="center"/>
              <w:rPr>
                <w:rFonts w:ascii="Segoe UI" w:hAnsi="Segoe UI" w:cs="Segoe UI"/>
                <w:sz w:val="18"/>
                <w:szCs w:val="18"/>
              </w:rPr>
            </w:pPr>
          </w:p>
        </w:tc>
        <w:tc>
          <w:tcPr>
            <w:tcW w:w="452" w:type="dxa"/>
            <w:vMerge/>
            <w:tcBorders>
              <w:top w:val="single" w:sz="4" w:space="0" w:color="auto"/>
              <w:left w:val="nil"/>
              <w:bottom w:val="single" w:sz="4" w:space="0" w:color="auto"/>
              <w:right w:val="nil"/>
            </w:tcBorders>
            <w:shd w:val="clear" w:color="auto" w:fill="E5B8B7" w:themeFill="accent2" w:themeFillTint="66"/>
            <w:vAlign w:val="center"/>
          </w:tcPr>
          <w:p w14:paraId="11598854" w14:textId="77777777" w:rsidR="004C0AA6" w:rsidRPr="00B22401" w:rsidRDefault="004C0AA6" w:rsidP="00D8338D">
            <w:pPr>
              <w:spacing w:before="20" w:after="20"/>
              <w:jc w:val="center"/>
              <w:rPr>
                <w:rFonts w:ascii="Segoe UI" w:hAnsi="Segoe UI" w:cs="Segoe UI"/>
                <w:sz w:val="18"/>
                <w:szCs w:val="18"/>
              </w:rPr>
            </w:pPr>
          </w:p>
        </w:tc>
        <w:tc>
          <w:tcPr>
            <w:tcW w:w="469" w:type="dxa"/>
            <w:tcBorders>
              <w:top w:val="nil"/>
              <w:left w:val="nil"/>
              <w:bottom w:val="single" w:sz="4" w:space="0" w:color="auto"/>
              <w:right w:val="nil"/>
            </w:tcBorders>
            <w:shd w:val="clear" w:color="auto" w:fill="E5B8B7" w:themeFill="accent2" w:themeFillTint="66"/>
            <w:vAlign w:val="center"/>
          </w:tcPr>
          <w:p w14:paraId="32CFB1EB"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CZ</w:t>
            </w:r>
          </w:p>
        </w:tc>
        <w:tc>
          <w:tcPr>
            <w:tcW w:w="429" w:type="dxa"/>
            <w:tcBorders>
              <w:top w:val="nil"/>
              <w:left w:val="nil"/>
              <w:bottom w:val="single" w:sz="4" w:space="0" w:color="auto"/>
              <w:right w:val="nil"/>
            </w:tcBorders>
            <w:shd w:val="clear" w:color="auto" w:fill="auto"/>
            <w:vAlign w:val="center"/>
          </w:tcPr>
          <w:p w14:paraId="64E94F13"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nil"/>
              <w:left w:val="nil"/>
              <w:bottom w:val="single" w:sz="4" w:space="0" w:color="auto"/>
              <w:right w:val="nil"/>
            </w:tcBorders>
            <w:shd w:val="clear" w:color="auto" w:fill="auto"/>
            <w:vAlign w:val="center"/>
          </w:tcPr>
          <w:p w14:paraId="658B6969"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nil"/>
              <w:left w:val="nil"/>
              <w:bottom w:val="single" w:sz="4" w:space="0" w:color="auto"/>
              <w:right w:val="nil"/>
            </w:tcBorders>
            <w:shd w:val="clear" w:color="auto" w:fill="auto"/>
            <w:vAlign w:val="center"/>
          </w:tcPr>
          <w:p w14:paraId="3057D55C"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nil"/>
              <w:left w:val="nil"/>
              <w:bottom w:val="single" w:sz="4" w:space="0" w:color="auto"/>
              <w:right w:val="nil"/>
            </w:tcBorders>
            <w:shd w:val="clear" w:color="auto" w:fill="auto"/>
            <w:vAlign w:val="center"/>
          </w:tcPr>
          <w:p w14:paraId="34A0F9B2" w14:textId="77777777" w:rsidR="004C0AA6" w:rsidRPr="00B22401" w:rsidRDefault="004C0AA6" w:rsidP="00D8338D">
            <w:pPr>
              <w:spacing w:before="20" w:after="20"/>
              <w:jc w:val="center"/>
              <w:rPr>
                <w:rFonts w:ascii="Segoe UI" w:hAnsi="Segoe UI" w:cs="Segoe UI"/>
                <w:sz w:val="18"/>
                <w:szCs w:val="18"/>
              </w:rPr>
            </w:pPr>
          </w:p>
        </w:tc>
        <w:tc>
          <w:tcPr>
            <w:tcW w:w="425" w:type="dxa"/>
            <w:tcBorders>
              <w:top w:val="nil"/>
              <w:left w:val="nil"/>
              <w:bottom w:val="single" w:sz="4" w:space="0" w:color="auto"/>
              <w:right w:val="nil"/>
            </w:tcBorders>
            <w:shd w:val="clear" w:color="auto" w:fill="auto"/>
            <w:vAlign w:val="center"/>
          </w:tcPr>
          <w:p w14:paraId="1E980240"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nil"/>
              <w:left w:val="nil"/>
              <w:bottom w:val="single" w:sz="4" w:space="0" w:color="auto"/>
              <w:right w:val="nil"/>
            </w:tcBorders>
            <w:shd w:val="clear" w:color="auto" w:fill="auto"/>
            <w:vAlign w:val="center"/>
          </w:tcPr>
          <w:p w14:paraId="489B09E5"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nil"/>
              <w:left w:val="nil"/>
              <w:bottom w:val="single" w:sz="4" w:space="0" w:color="auto"/>
              <w:right w:val="nil"/>
            </w:tcBorders>
            <w:shd w:val="clear" w:color="auto" w:fill="auto"/>
            <w:vAlign w:val="center"/>
          </w:tcPr>
          <w:p w14:paraId="7ED77C51"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nil"/>
              <w:left w:val="nil"/>
              <w:bottom w:val="single" w:sz="4" w:space="0" w:color="auto"/>
              <w:right w:val="single" w:sz="4" w:space="0" w:color="auto"/>
            </w:tcBorders>
            <w:shd w:val="clear" w:color="auto" w:fill="auto"/>
          </w:tcPr>
          <w:p w14:paraId="2BC91F5F" w14:textId="77777777" w:rsidR="004C0AA6" w:rsidRPr="00B22401" w:rsidRDefault="004C0AA6" w:rsidP="00D8338D">
            <w:pPr>
              <w:spacing w:before="20" w:after="20"/>
              <w:jc w:val="center"/>
              <w:rPr>
                <w:rFonts w:ascii="Segoe UI" w:hAnsi="Segoe UI" w:cs="Segoe UI"/>
                <w:sz w:val="18"/>
                <w:szCs w:val="18"/>
              </w:rPr>
            </w:pPr>
          </w:p>
        </w:tc>
      </w:tr>
      <w:tr w:rsidR="009E2CF8" w:rsidRPr="00736A50" w14:paraId="16773802" w14:textId="77777777" w:rsidTr="00F05DB1">
        <w:trPr>
          <w:jc w:val="center"/>
        </w:trPr>
        <w:tc>
          <w:tcPr>
            <w:tcW w:w="4252" w:type="dxa"/>
            <w:gridSpan w:val="2"/>
            <w:tcBorders>
              <w:top w:val="single" w:sz="4" w:space="0" w:color="auto"/>
              <w:left w:val="single" w:sz="4" w:space="0" w:color="auto"/>
              <w:bottom w:val="single" w:sz="4" w:space="0" w:color="auto"/>
              <w:right w:val="single" w:sz="4" w:space="0" w:color="auto"/>
            </w:tcBorders>
            <w:shd w:val="clear" w:color="auto" w:fill="auto"/>
          </w:tcPr>
          <w:p w14:paraId="7369CCC0"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No info/ unclear/ several uses</w:t>
            </w:r>
          </w:p>
        </w:tc>
        <w:tc>
          <w:tcPr>
            <w:tcW w:w="451" w:type="dxa"/>
            <w:tcBorders>
              <w:top w:val="single" w:sz="4" w:space="0" w:color="auto"/>
              <w:left w:val="single" w:sz="4" w:space="0" w:color="auto"/>
              <w:bottom w:val="single" w:sz="4" w:space="0" w:color="auto"/>
              <w:right w:val="nil"/>
            </w:tcBorders>
            <w:shd w:val="clear" w:color="auto" w:fill="F2DBDB" w:themeFill="accent2" w:themeFillTint="33"/>
            <w:vAlign w:val="center"/>
          </w:tcPr>
          <w:p w14:paraId="3CE0C987"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DE</w:t>
            </w:r>
          </w:p>
        </w:tc>
        <w:tc>
          <w:tcPr>
            <w:tcW w:w="426" w:type="dxa"/>
            <w:tcBorders>
              <w:top w:val="single" w:sz="4" w:space="0" w:color="auto"/>
              <w:left w:val="nil"/>
              <w:bottom w:val="single" w:sz="4" w:space="0" w:color="auto"/>
              <w:right w:val="nil"/>
            </w:tcBorders>
            <w:shd w:val="clear" w:color="auto" w:fill="F2DBDB" w:themeFill="accent2" w:themeFillTint="33"/>
            <w:vAlign w:val="center"/>
          </w:tcPr>
          <w:p w14:paraId="16A0098D"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ES</w:t>
            </w:r>
          </w:p>
        </w:tc>
        <w:tc>
          <w:tcPr>
            <w:tcW w:w="452" w:type="dxa"/>
            <w:tcBorders>
              <w:top w:val="single" w:sz="4" w:space="0" w:color="auto"/>
              <w:left w:val="nil"/>
              <w:bottom w:val="single" w:sz="4" w:space="0" w:color="auto"/>
              <w:right w:val="nil"/>
            </w:tcBorders>
            <w:shd w:val="clear" w:color="auto" w:fill="E5B8B7" w:themeFill="accent2" w:themeFillTint="66"/>
            <w:vAlign w:val="center"/>
          </w:tcPr>
          <w:p w14:paraId="149B20F8"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IT</w:t>
            </w:r>
          </w:p>
        </w:tc>
        <w:tc>
          <w:tcPr>
            <w:tcW w:w="469" w:type="dxa"/>
            <w:tcBorders>
              <w:top w:val="single" w:sz="4" w:space="0" w:color="auto"/>
              <w:left w:val="nil"/>
              <w:bottom w:val="single" w:sz="4" w:space="0" w:color="auto"/>
              <w:right w:val="nil"/>
            </w:tcBorders>
            <w:shd w:val="clear" w:color="auto" w:fill="auto"/>
            <w:vAlign w:val="center"/>
          </w:tcPr>
          <w:p w14:paraId="1E4C8D28" w14:textId="77777777" w:rsidR="004C0AA6" w:rsidRPr="00B22401" w:rsidRDefault="004C0AA6" w:rsidP="00D8338D">
            <w:pPr>
              <w:spacing w:before="20" w:after="20"/>
              <w:jc w:val="center"/>
              <w:rPr>
                <w:rFonts w:ascii="Segoe UI" w:hAnsi="Segoe UI" w:cs="Segoe UI"/>
                <w:sz w:val="18"/>
                <w:szCs w:val="18"/>
              </w:rPr>
            </w:pPr>
          </w:p>
        </w:tc>
        <w:tc>
          <w:tcPr>
            <w:tcW w:w="429" w:type="dxa"/>
            <w:tcBorders>
              <w:top w:val="single" w:sz="4" w:space="0" w:color="auto"/>
              <w:left w:val="nil"/>
              <w:bottom w:val="single" w:sz="4" w:space="0" w:color="auto"/>
              <w:right w:val="nil"/>
            </w:tcBorders>
            <w:shd w:val="clear" w:color="auto" w:fill="auto"/>
            <w:vAlign w:val="center"/>
          </w:tcPr>
          <w:p w14:paraId="79D000CF"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single" w:sz="4" w:space="0" w:color="auto"/>
              <w:left w:val="nil"/>
              <w:bottom w:val="single" w:sz="4" w:space="0" w:color="auto"/>
              <w:right w:val="nil"/>
            </w:tcBorders>
            <w:shd w:val="clear" w:color="auto" w:fill="auto"/>
            <w:vAlign w:val="center"/>
          </w:tcPr>
          <w:p w14:paraId="3BBBF7C4"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single" w:sz="4" w:space="0" w:color="auto"/>
              <w:left w:val="nil"/>
              <w:bottom w:val="single" w:sz="4" w:space="0" w:color="auto"/>
              <w:right w:val="nil"/>
            </w:tcBorders>
            <w:shd w:val="clear" w:color="auto" w:fill="auto"/>
            <w:vAlign w:val="center"/>
          </w:tcPr>
          <w:p w14:paraId="351CE9B4"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single" w:sz="4" w:space="0" w:color="auto"/>
              <w:left w:val="nil"/>
              <w:bottom w:val="single" w:sz="4" w:space="0" w:color="auto"/>
              <w:right w:val="nil"/>
            </w:tcBorders>
            <w:shd w:val="clear" w:color="auto" w:fill="auto"/>
            <w:vAlign w:val="center"/>
          </w:tcPr>
          <w:p w14:paraId="313E6D84" w14:textId="77777777" w:rsidR="004C0AA6" w:rsidRPr="00B22401" w:rsidRDefault="004C0AA6" w:rsidP="00D8338D">
            <w:pPr>
              <w:spacing w:before="20" w:after="20"/>
              <w:jc w:val="center"/>
              <w:rPr>
                <w:rFonts w:ascii="Segoe UI" w:hAnsi="Segoe UI" w:cs="Segoe UI"/>
                <w:sz w:val="18"/>
                <w:szCs w:val="18"/>
              </w:rPr>
            </w:pPr>
          </w:p>
        </w:tc>
        <w:tc>
          <w:tcPr>
            <w:tcW w:w="425" w:type="dxa"/>
            <w:tcBorders>
              <w:top w:val="single" w:sz="4" w:space="0" w:color="auto"/>
              <w:left w:val="nil"/>
              <w:bottom w:val="single" w:sz="4" w:space="0" w:color="auto"/>
              <w:right w:val="nil"/>
            </w:tcBorders>
            <w:shd w:val="clear" w:color="auto" w:fill="auto"/>
            <w:vAlign w:val="center"/>
          </w:tcPr>
          <w:p w14:paraId="42FC3399" w14:textId="77777777" w:rsidR="004C0AA6" w:rsidRPr="00B22401" w:rsidRDefault="004C0AA6" w:rsidP="00D8338D">
            <w:pPr>
              <w:spacing w:before="20" w:after="20"/>
              <w:jc w:val="center"/>
              <w:rPr>
                <w:rFonts w:ascii="Segoe UI" w:hAnsi="Segoe UI" w:cs="Segoe UI"/>
                <w:sz w:val="18"/>
                <w:szCs w:val="18"/>
              </w:rPr>
            </w:pPr>
          </w:p>
        </w:tc>
        <w:tc>
          <w:tcPr>
            <w:tcW w:w="426" w:type="dxa"/>
            <w:tcBorders>
              <w:top w:val="single" w:sz="4" w:space="0" w:color="auto"/>
              <w:left w:val="nil"/>
              <w:bottom w:val="single" w:sz="4" w:space="0" w:color="auto"/>
              <w:right w:val="nil"/>
            </w:tcBorders>
            <w:shd w:val="clear" w:color="auto" w:fill="auto"/>
            <w:vAlign w:val="center"/>
          </w:tcPr>
          <w:p w14:paraId="60545BD5"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nil"/>
              <w:bottom w:val="single" w:sz="4" w:space="0" w:color="auto"/>
              <w:right w:val="nil"/>
            </w:tcBorders>
            <w:shd w:val="clear" w:color="auto" w:fill="auto"/>
            <w:vAlign w:val="center"/>
          </w:tcPr>
          <w:p w14:paraId="1F53DFC2"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nil"/>
              <w:bottom w:val="single" w:sz="4" w:space="0" w:color="auto"/>
              <w:right w:val="single" w:sz="4" w:space="0" w:color="auto"/>
            </w:tcBorders>
            <w:shd w:val="clear" w:color="auto" w:fill="auto"/>
          </w:tcPr>
          <w:p w14:paraId="6FBBE619" w14:textId="77777777" w:rsidR="004C0AA6" w:rsidRPr="00B22401" w:rsidRDefault="004C0AA6" w:rsidP="00D8338D">
            <w:pPr>
              <w:spacing w:before="20" w:after="20"/>
              <w:jc w:val="center"/>
              <w:rPr>
                <w:rFonts w:ascii="Segoe UI" w:hAnsi="Segoe UI" w:cs="Segoe UI"/>
                <w:sz w:val="18"/>
                <w:szCs w:val="18"/>
              </w:rPr>
            </w:pPr>
          </w:p>
        </w:tc>
      </w:tr>
    </w:tbl>
    <w:p w14:paraId="0CF46F05" w14:textId="77777777" w:rsidR="00F05DB1" w:rsidRDefault="00F05DB1" w:rsidP="00F05DB1">
      <w:pPr>
        <w:pStyle w:val="Body"/>
        <w:rPr>
          <w:lang w:val="en-US"/>
        </w:rPr>
      </w:pPr>
      <w:bookmarkStart w:id="100" w:name="_Toc59181832"/>
    </w:p>
    <w:p w14:paraId="76AC5FFE" w14:textId="4B42F4D7" w:rsidR="004C0AA6" w:rsidRPr="00F05DB1" w:rsidRDefault="00F05DB1" w:rsidP="00F05DB1">
      <w:pPr>
        <w:pStyle w:val="Caption"/>
        <w:rPr>
          <w:rFonts w:ascii="Verdana" w:hAnsi="Verdana"/>
          <w:color w:val="548DD4" w:themeColor="text2" w:themeTint="99"/>
          <w:sz w:val="18"/>
          <w:szCs w:val="18"/>
          <w:lang w:val="en-US"/>
        </w:rPr>
      </w:pPr>
      <w:r w:rsidRPr="00F05DB1">
        <w:rPr>
          <w:rFonts w:ascii="Verdana" w:hAnsi="Verdana"/>
          <w:color w:val="548DD4" w:themeColor="text2" w:themeTint="99"/>
          <w:sz w:val="18"/>
          <w:szCs w:val="18"/>
          <w:lang w:val="en-US"/>
        </w:rPr>
        <w:t xml:space="preserve">Table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Table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2</w:t>
      </w:r>
      <w:r w:rsidR="00E14072">
        <w:rPr>
          <w:rFonts w:ascii="Verdana" w:hAnsi="Verdana"/>
          <w:color w:val="548DD4" w:themeColor="text2" w:themeTint="99"/>
          <w:sz w:val="18"/>
          <w:szCs w:val="18"/>
          <w:lang w:val="en-US"/>
        </w:rPr>
        <w:fldChar w:fldCharType="end"/>
      </w:r>
      <w:r w:rsidRPr="00F05DB1">
        <w:rPr>
          <w:rFonts w:ascii="Verdana" w:hAnsi="Verdana"/>
          <w:color w:val="548DD4" w:themeColor="text2" w:themeTint="99"/>
          <w:sz w:val="18"/>
          <w:szCs w:val="18"/>
          <w:lang w:val="en-US"/>
        </w:rPr>
        <w:t xml:space="preserve"> </w:t>
      </w:r>
      <w:r w:rsidR="004C0AA6" w:rsidRPr="00F05DB1">
        <w:rPr>
          <w:rFonts w:ascii="Verdana" w:hAnsi="Verdana"/>
          <w:color w:val="548DD4" w:themeColor="text2" w:themeTint="99"/>
          <w:sz w:val="18"/>
          <w:szCs w:val="18"/>
          <w:lang w:val="en-US"/>
        </w:rPr>
        <w:t>Reallocation of revenues from water pollution charges in those EU MS where the charge is in place</w:t>
      </w:r>
      <w:bookmarkEnd w:id="100"/>
    </w:p>
    <w:tbl>
      <w:tblPr>
        <w:tblStyle w:val="TableGrid"/>
        <w:tblW w:w="10200" w:type="dxa"/>
        <w:jc w:val="center"/>
        <w:tblLook w:val="04A0" w:firstRow="1" w:lastRow="0" w:firstColumn="1" w:lastColumn="0" w:noHBand="0" w:noVBand="1"/>
      </w:tblPr>
      <w:tblGrid>
        <w:gridCol w:w="2921"/>
        <w:gridCol w:w="643"/>
        <w:gridCol w:w="543"/>
        <w:gridCol w:w="435"/>
        <w:gridCol w:w="455"/>
        <w:gridCol w:w="451"/>
        <w:gridCol w:w="436"/>
        <w:gridCol w:w="433"/>
        <w:gridCol w:w="414"/>
        <w:gridCol w:w="434"/>
        <w:gridCol w:w="427"/>
        <w:gridCol w:w="431"/>
        <w:gridCol w:w="418"/>
        <w:gridCol w:w="436"/>
        <w:gridCol w:w="460"/>
        <w:gridCol w:w="452"/>
        <w:gridCol w:w="411"/>
      </w:tblGrid>
      <w:tr w:rsidR="004C0AA6" w:rsidRPr="00736A50" w14:paraId="4655E972" w14:textId="77777777" w:rsidTr="00F05DB1">
        <w:trPr>
          <w:cnfStyle w:val="100000000000" w:firstRow="1" w:lastRow="0" w:firstColumn="0" w:lastColumn="0" w:oddVBand="0" w:evenVBand="0" w:oddHBand="0" w:evenHBand="0" w:firstRowFirstColumn="0" w:firstRowLastColumn="0" w:lastRowFirstColumn="0" w:lastRowLastColumn="0"/>
          <w:jc w:val="center"/>
        </w:trPr>
        <w:tc>
          <w:tcPr>
            <w:tcW w:w="3564" w:type="dxa"/>
            <w:gridSpan w:val="2"/>
            <w:tcBorders>
              <w:top w:val="single" w:sz="4" w:space="0" w:color="auto"/>
              <w:left w:val="single" w:sz="4" w:space="0" w:color="auto"/>
              <w:bottom w:val="single" w:sz="4" w:space="0" w:color="auto"/>
              <w:right w:val="single" w:sz="4" w:space="0" w:color="auto"/>
            </w:tcBorders>
            <w:shd w:val="clear" w:color="auto" w:fill="auto"/>
          </w:tcPr>
          <w:p w14:paraId="4DEB871D" w14:textId="77777777" w:rsidR="004C0AA6" w:rsidRPr="00F05DB1" w:rsidRDefault="004C0AA6" w:rsidP="00D8338D">
            <w:pPr>
              <w:spacing w:before="20" w:after="20"/>
              <w:rPr>
                <w:rFonts w:ascii="Segoe UI" w:hAnsi="Segoe UI" w:cs="Segoe UI"/>
                <w:b/>
                <w:bCs/>
                <w:color w:val="auto"/>
                <w:sz w:val="18"/>
                <w:szCs w:val="18"/>
              </w:rPr>
            </w:pPr>
            <w:r w:rsidRPr="00F05DB1">
              <w:rPr>
                <w:rFonts w:ascii="Segoe UI" w:hAnsi="Segoe UI" w:cs="Segoe UI"/>
                <w:b/>
                <w:bCs/>
                <w:color w:val="auto"/>
                <w:sz w:val="18"/>
                <w:szCs w:val="18"/>
              </w:rPr>
              <w:t>Revenues go to…</w:t>
            </w:r>
          </w:p>
        </w:tc>
        <w:tc>
          <w:tcPr>
            <w:tcW w:w="6636" w:type="dxa"/>
            <w:gridSpan w:val="15"/>
            <w:tcBorders>
              <w:top w:val="single" w:sz="4" w:space="0" w:color="auto"/>
              <w:left w:val="single" w:sz="4" w:space="0" w:color="auto"/>
              <w:bottom w:val="single" w:sz="4" w:space="0" w:color="auto"/>
              <w:right w:val="single" w:sz="4" w:space="0" w:color="auto"/>
            </w:tcBorders>
            <w:shd w:val="clear" w:color="auto" w:fill="auto"/>
          </w:tcPr>
          <w:p w14:paraId="5FAB367B" w14:textId="77777777" w:rsidR="004C0AA6" w:rsidRPr="00F05DB1" w:rsidRDefault="004C0AA6" w:rsidP="00D8338D">
            <w:pPr>
              <w:spacing w:before="20" w:after="20"/>
              <w:jc w:val="center"/>
              <w:rPr>
                <w:rFonts w:ascii="Segoe UI" w:hAnsi="Segoe UI" w:cs="Segoe UI"/>
                <w:b/>
                <w:bCs/>
                <w:color w:val="auto"/>
                <w:sz w:val="18"/>
                <w:szCs w:val="18"/>
              </w:rPr>
            </w:pPr>
            <w:r w:rsidRPr="00F05DB1">
              <w:rPr>
                <w:rFonts w:ascii="Segoe UI" w:hAnsi="Segoe UI" w:cs="Segoe UI"/>
                <w:b/>
                <w:bCs/>
                <w:color w:val="auto"/>
                <w:sz w:val="18"/>
                <w:szCs w:val="18"/>
              </w:rPr>
              <w:t>EU Member States</w:t>
            </w:r>
          </w:p>
        </w:tc>
      </w:tr>
      <w:tr w:rsidR="009A1671" w:rsidRPr="00736A50" w14:paraId="03C9B66F" w14:textId="77777777" w:rsidTr="00F05DB1">
        <w:trPr>
          <w:jc w:val="center"/>
        </w:trPr>
        <w:tc>
          <w:tcPr>
            <w:tcW w:w="2921" w:type="dxa"/>
            <w:vMerge w:val="restart"/>
            <w:tcBorders>
              <w:top w:val="single" w:sz="4" w:space="0" w:color="auto"/>
              <w:left w:val="single" w:sz="4" w:space="0" w:color="auto"/>
              <w:bottom w:val="single" w:sz="4" w:space="0" w:color="auto"/>
              <w:right w:val="single" w:sz="4" w:space="0" w:color="auto"/>
            </w:tcBorders>
            <w:shd w:val="clear" w:color="auto" w:fill="auto"/>
          </w:tcPr>
          <w:p w14:paraId="68E98F4E"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Financing water management (or environment)</w:t>
            </w:r>
          </w:p>
        </w:tc>
        <w:tc>
          <w:tcPr>
            <w:tcW w:w="643" w:type="dxa"/>
            <w:tcBorders>
              <w:top w:val="single" w:sz="4" w:space="0" w:color="auto"/>
              <w:left w:val="single" w:sz="4" w:space="0" w:color="auto"/>
              <w:bottom w:val="nil"/>
              <w:right w:val="single" w:sz="4" w:space="0" w:color="auto"/>
            </w:tcBorders>
            <w:shd w:val="clear" w:color="auto" w:fill="auto"/>
          </w:tcPr>
          <w:p w14:paraId="632B9BD2"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SW</w:t>
            </w:r>
          </w:p>
        </w:tc>
        <w:tc>
          <w:tcPr>
            <w:tcW w:w="543" w:type="dxa"/>
            <w:vMerge w:val="restart"/>
            <w:tcBorders>
              <w:top w:val="single" w:sz="4" w:space="0" w:color="auto"/>
              <w:left w:val="single" w:sz="4" w:space="0" w:color="auto"/>
              <w:right w:val="single" w:sz="4" w:space="0" w:color="FFFFFF" w:themeColor="background1"/>
            </w:tcBorders>
            <w:shd w:val="clear" w:color="auto" w:fill="C6D9F1" w:themeFill="text2" w:themeFillTint="33"/>
            <w:vAlign w:val="center"/>
          </w:tcPr>
          <w:p w14:paraId="1B05A421"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BG</w:t>
            </w:r>
          </w:p>
        </w:tc>
        <w:tc>
          <w:tcPr>
            <w:tcW w:w="435" w:type="dxa"/>
            <w:vMerge w:val="restart"/>
            <w:tcBorders>
              <w:top w:val="single" w:sz="4" w:space="0" w:color="auto"/>
              <w:left w:val="single" w:sz="4" w:space="0" w:color="FFFFFF" w:themeColor="background1"/>
              <w:right w:val="single" w:sz="4" w:space="0" w:color="FFFFFF" w:themeColor="background1"/>
            </w:tcBorders>
            <w:shd w:val="clear" w:color="auto" w:fill="C6D9F1" w:themeFill="text2" w:themeFillTint="33"/>
            <w:vAlign w:val="center"/>
          </w:tcPr>
          <w:p w14:paraId="42763B7D"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EE</w:t>
            </w:r>
          </w:p>
        </w:tc>
        <w:tc>
          <w:tcPr>
            <w:tcW w:w="455" w:type="dxa"/>
            <w:vMerge w:val="restart"/>
            <w:tcBorders>
              <w:top w:val="single" w:sz="4" w:space="0" w:color="auto"/>
              <w:left w:val="single" w:sz="4" w:space="0" w:color="FFFFFF" w:themeColor="background1"/>
              <w:right w:val="single" w:sz="4" w:space="0" w:color="FFFFFF" w:themeColor="background1"/>
            </w:tcBorders>
            <w:shd w:val="clear" w:color="auto" w:fill="8DB3E2" w:themeFill="text2" w:themeFillTint="66"/>
            <w:vAlign w:val="center"/>
          </w:tcPr>
          <w:p w14:paraId="4CD4F869"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DE</w:t>
            </w:r>
          </w:p>
        </w:tc>
        <w:tc>
          <w:tcPr>
            <w:tcW w:w="451" w:type="dxa"/>
            <w:vMerge w:val="restart"/>
            <w:tcBorders>
              <w:top w:val="single" w:sz="4" w:space="0" w:color="auto"/>
              <w:left w:val="single" w:sz="4" w:space="0" w:color="FFFFFF" w:themeColor="background1"/>
              <w:right w:val="single" w:sz="4" w:space="0" w:color="FFFFFF" w:themeColor="background1"/>
            </w:tcBorders>
            <w:shd w:val="clear" w:color="auto" w:fill="8DB3E2" w:themeFill="text2" w:themeFillTint="66"/>
            <w:vAlign w:val="center"/>
          </w:tcPr>
          <w:p w14:paraId="214AB15C"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FR</w:t>
            </w:r>
          </w:p>
        </w:tc>
        <w:tc>
          <w:tcPr>
            <w:tcW w:w="436" w:type="dxa"/>
            <w:vMerge w:val="restart"/>
            <w:tcBorders>
              <w:top w:val="single" w:sz="4" w:space="0" w:color="auto"/>
              <w:left w:val="single" w:sz="4" w:space="0" w:color="FFFFFF" w:themeColor="background1"/>
              <w:right w:val="single" w:sz="4" w:space="0" w:color="FFFFFF" w:themeColor="background1"/>
            </w:tcBorders>
            <w:shd w:val="clear" w:color="auto" w:fill="548DD4" w:themeFill="text2" w:themeFillTint="99"/>
            <w:vAlign w:val="center"/>
          </w:tcPr>
          <w:p w14:paraId="4982C866"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LT</w:t>
            </w:r>
          </w:p>
        </w:tc>
        <w:tc>
          <w:tcPr>
            <w:tcW w:w="433" w:type="dxa"/>
            <w:vMerge w:val="restart"/>
            <w:tcBorders>
              <w:top w:val="single" w:sz="4" w:space="0" w:color="auto"/>
              <w:left w:val="single" w:sz="4" w:space="0" w:color="FFFFFF" w:themeColor="background1"/>
              <w:right w:val="single" w:sz="4" w:space="0" w:color="FFFFFF" w:themeColor="background1"/>
            </w:tcBorders>
            <w:shd w:val="clear" w:color="auto" w:fill="548DD4" w:themeFill="text2" w:themeFillTint="99"/>
            <w:vAlign w:val="center"/>
          </w:tcPr>
          <w:p w14:paraId="394ED0D0"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LU</w:t>
            </w:r>
          </w:p>
        </w:tc>
        <w:tc>
          <w:tcPr>
            <w:tcW w:w="414" w:type="dxa"/>
            <w:vMerge w:val="restart"/>
            <w:tcBorders>
              <w:top w:val="single" w:sz="4" w:space="0" w:color="auto"/>
              <w:left w:val="single" w:sz="4" w:space="0" w:color="FFFFFF" w:themeColor="background1"/>
              <w:right w:val="single" w:sz="4" w:space="0" w:color="FFFFFF" w:themeColor="background1"/>
            </w:tcBorders>
            <w:shd w:val="clear" w:color="auto" w:fill="1F497D" w:themeFill="text2"/>
            <w:vAlign w:val="center"/>
          </w:tcPr>
          <w:p w14:paraId="1FAD9AA6"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PL</w:t>
            </w:r>
          </w:p>
        </w:tc>
        <w:tc>
          <w:tcPr>
            <w:tcW w:w="434" w:type="dxa"/>
            <w:vMerge w:val="restart"/>
            <w:tcBorders>
              <w:top w:val="single" w:sz="4" w:space="0" w:color="auto"/>
              <w:left w:val="single" w:sz="4" w:space="0" w:color="FFFFFF" w:themeColor="background1"/>
              <w:right w:val="single" w:sz="4" w:space="0" w:color="FFFFFF" w:themeColor="background1"/>
            </w:tcBorders>
            <w:shd w:val="clear" w:color="auto" w:fill="1F497D" w:themeFill="text2"/>
            <w:vAlign w:val="center"/>
          </w:tcPr>
          <w:p w14:paraId="62129909"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PT</w:t>
            </w:r>
          </w:p>
        </w:tc>
        <w:tc>
          <w:tcPr>
            <w:tcW w:w="427" w:type="dxa"/>
            <w:vMerge w:val="restart"/>
            <w:tcBorders>
              <w:top w:val="single" w:sz="4" w:space="0" w:color="auto"/>
              <w:left w:val="single" w:sz="4" w:space="0" w:color="FFFFFF" w:themeColor="background1"/>
              <w:right w:val="single" w:sz="4" w:space="0" w:color="FFFFFF" w:themeColor="background1"/>
            </w:tcBorders>
            <w:shd w:val="clear" w:color="auto" w:fill="17365D" w:themeFill="text2" w:themeFillShade="BF"/>
            <w:vAlign w:val="center"/>
          </w:tcPr>
          <w:p w14:paraId="7E85DA16" w14:textId="77777777" w:rsidR="004C0AA6" w:rsidRPr="00B22401" w:rsidRDefault="004C0AA6" w:rsidP="00D8338D">
            <w:pPr>
              <w:spacing w:before="20" w:after="20"/>
              <w:jc w:val="center"/>
              <w:rPr>
                <w:rFonts w:ascii="Segoe UI" w:hAnsi="Segoe UI" w:cs="Segoe UI"/>
                <w:color w:val="FFFFFF" w:themeColor="background1"/>
                <w:sz w:val="18"/>
                <w:szCs w:val="18"/>
              </w:rPr>
            </w:pPr>
            <w:r w:rsidRPr="00B22401">
              <w:rPr>
                <w:rFonts w:ascii="Segoe UI" w:hAnsi="Segoe UI" w:cs="Segoe UI"/>
                <w:color w:val="FFFFFF" w:themeColor="background1"/>
                <w:sz w:val="18"/>
                <w:szCs w:val="18"/>
              </w:rPr>
              <w:t>SK</w:t>
            </w:r>
          </w:p>
        </w:tc>
        <w:tc>
          <w:tcPr>
            <w:tcW w:w="431" w:type="dxa"/>
            <w:tcBorders>
              <w:top w:val="single" w:sz="4" w:space="0" w:color="auto"/>
              <w:left w:val="single" w:sz="4" w:space="0" w:color="FFFFFF" w:themeColor="background1"/>
              <w:bottom w:val="nil"/>
              <w:right w:val="single" w:sz="4" w:space="0" w:color="FFFFFF" w:themeColor="background1"/>
            </w:tcBorders>
            <w:shd w:val="clear" w:color="auto" w:fill="17365D" w:themeFill="text2" w:themeFillShade="BF"/>
            <w:vAlign w:val="center"/>
          </w:tcPr>
          <w:p w14:paraId="700C8CCE" w14:textId="77777777" w:rsidR="004C0AA6" w:rsidRPr="00B22401" w:rsidRDefault="004C0AA6" w:rsidP="00D8338D">
            <w:pPr>
              <w:spacing w:before="20" w:after="20"/>
              <w:jc w:val="center"/>
              <w:rPr>
                <w:rFonts w:ascii="Segoe UI" w:hAnsi="Segoe UI" w:cs="Segoe UI"/>
                <w:color w:val="FFFFFF" w:themeColor="background1"/>
                <w:sz w:val="18"/>
                <w:szCs w:val="18"/>
              </w:rPr>
            </w:pPr>
            <w:r w:rsidRPr="00B22401">
              <w:rPr>
                <w:rFonts w:ascii="Segoe UI" w:hAnsi="Segoe UI" w:cs="Segoe UI"/>
                <w:color w:val="FFFFFF" w:themeColor="background1"/>
                <w:sz w:val="18"/>
                <w:szCs w:val="18"/>
              </w:rPr>
              <w:t>CZ</w:t>
            </w:r>
          </w:p>
        </w:tc>
        <w:tc>
          <w:tcPr>
            <w:tcW w:w="418" w:type="dxa"/>
            <w:tcBorders>
              <w:top w:val="single" w:sz="4" w:space="0" w:color="auto"/>
              <w:left w:val="single" w:sz="4" w:space="0" w:color="FFFFFF" w:themeColor="background1"/>
              <w:bottom w:val="nil"/>
              <w:right w:val="single" w:sz="4" w:space="0" w:color="FFFFFF" w:themeColor="background1"/>
            </w:tcBorders>
            <w:shd w:val="clear" w:color="auto" w:fill="0F243E" w:themeFill="text2" w:themeFillShade="80"/>
            <w:vAlign w:val="center"/>
          </w:tcPr>
          <w:p w14:paraId="2C829CC5"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LV</w:t>
            </w:r>
          </w:p>
        </w:tc>
        <w:tc>
          <w:tcPr>
            <w:tcW w:w="436" w:type="dxa"/>
            <w:tcBorders>
              <w:top w:val="single" w:sz="4" w:space="0" w:color="auto"/>
              <w:left w:val="single" w:sz="4" w:space="0" w:color="FFFFFF" w:themeColor="background1"/>
              <w:bottom w:val="nil"/>
              <w:right w:val="single" w:sz="4" w:space="0" w:color="FFFFFF" w:themeColor="background1"/>
            </w:tcBorders>
            <w:shd w:val="clear" w:color="auto" w:fill="0F243E" w:themeFill="text2" w:themeFillShade="80"/>
          </w:tcPr>
          <w:p w14:paraId="29C4F4A1"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NL</w:t>
            </w:r>
          </w:p>
        </w:tc>
        <w:tc>
          <w:tcPr>
            <w:tcW w:w="460" w:type="dxa"/>
            <w:tcBorders>
              <w:top w:val="single" w:sz="4" w:space="0" w:color="auto"/>
              <w:left w:val="single" w:sz="4" w:space="0" w:color="FFFFFF" w:themeColor="background1"/>
              <w:bottom w:val="nil"/>
              <w:right w:val="single" w:sz="4" w:space="0" w:color="FFFFFF" w:themeColor="background1"/>
            </w:tcBorders>
            <w:shd w:val="clear" w:color="auto" w:fill="0F243E" w:themeFill="text2" w:themeFillShade="80"/>
            <w:vAlign w:val="center"/>
          </w:tcPr>
          <w:p w14:paraId="03E98DC6"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RO</w:t>
            </w:r>
          </w:p>
        </w:tc>
        <w:tc>
          <w:tcPr>
            <w:tcW w:w="452" w:type="dxa"/>
            <w:tcBorders>
              <w:top w:val="single" w:sz="4" w:space="0" w:color="auto"/>
              <w:left w:val="single" w:sz="4" w:space="0" w:color="FFFFFF" w:themeColor="background1"/>
              <w:bottom w:val="nil"/>
              <w:right w:val="nil"/>
            </w:tcBorders>
            <w:shd w:val="clear" w:color="auto" w:fill="0F243E" w:themeFill="text2" w:themeFillShade="80"/>
          </w:tcPr>
          <w:p w14:paraId="31F08AC5"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HR</w:t>
            </w:r>
          </w:p>
        </w:tc>
        <w:tc>
          <w:tcPr>
            <w:tcW w:w="411" w:type="dxa"/>
            <w:tcBorders>
              <w:top w:val="single" w:sz="4" w:space="0" w:color="auto"/>
              <w:left w:val="nil"/>
              <w:bottom w:val="nil"/>
              <w:right w:val="single" w:sz="4" w:space="0" w:color="auto"/>
            </w:tcBorders>
            <w:shd w:val="clear" w:color="auto" w:fill="0F243E" w:themeFill="text2" w:themeFillShade="80"/>
          </w:tcPr>
          <w:p w14:paraId="740876FD" w14:textId="77777777" w:rsidR="004C0AA6" w:rsidRPr="00B22401" w:rsidRDefault="004C0AA6" w:rsidP="00D8338D">
            <w:pPr>
              <w:spacing w:before="20" w:after="20"/>
              <w:jc w:val="center"/>
              <w:rPr>
                <w:rFonts w:ascii="Segoe UI" w:hAnsi="Segoe UI" w:cs="Segoe UI"/>
                <w:sz w:val="18"/>
                <w:szCs w:val="18"/>
              </w:rPr>
            </w:pPr>
            <w:r>
              <w:rPr>
                <w:rFonts w:ascii="Segoe UI" w:hAnsi="Segoe UI" w:cs="Segoe UI"/>
                <w:sz w:val="18"/>
                <w:szCs w:val="18"/>
              </w:rPr>
              <w:t>BE</w:t>
            </w:r>
          </w:p>
        </w:tc>
      </w:tr>
      <w:tr w:rsidR="009A1671" w:rsidRPr="00736A50" w14:paraId="41518F0C" w14:textId="77777777" w:rsidTr="00F05DB1">
        <w:trPr>
          <w:jc w:val="center"/>
        </w:trPr>
        <w:tc>
          <w:tcPr>
            <w:tcW w:w="2921" w:type="dxa"/>
            <w:vMerge/>
            <w:tcBorders>
              <w:left w:val="single" w:sz="4" w:space="0" w:color="auto"/>
              <w:bottom w:val="single" w:sz="4" w:space="0" w:color="auto"/>
              <w:right w:val="single" w:sz="4" w:space="0" w:color="auto"/>
            </w:tcBorders>
            <w:shd w:val="clear" w:color="auto" w:fill="auto"/>
          </w:tcPr>
          <w:p w14:paraId="6C6870CD" w14:textId="77777777" w:rsidR="004C0AA6" w:rsidRPr="00B22401" w:rsidRDefault="004C0AA6" w:rsidP="00D8338D">
            <w:pPr>
              <w:spacing w:before="20" w:after="20"/>
              <w:rPr>
                <w:rFonts w:ascii="Segoe UI" w:hAnsi="Segoe UI" w:cs="Segoe UI"/>
                <w:sz w:val="18"/>
                <w:szCs w:val="18"/>
              </w:rPr>
            </w:pPr>
          </w:p>
        </w:tc>
        <w:tc>
          <w:tcPr>
            <w:tcW w:w="643" w:type="dxa"/>
            <w:tcBorders>
              <w:top w:val="nil"/>
              <w:left w:val="single" w:sz="4" w:space="0" w:color="auto"/>
              <w:bottom w:val="single" w:sz="4" w:space="0" w:color="000000"/>
              <w:right w:val="single" w:sz="4" w:space="0" w:color="auto"/>
            </w:tcBorders>
            <w:shd w:val="clear" w:color="auto" w:fill="auto"/>
          </w:tcPr>
          <w:p w14:paraId="7DBC5650"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GW</w:t>
            </w:r>
          </w:p>
        </w:tc>
        <w:tc>
          <w:tcPr>
            <w:tcW w:w="543" w:type="dxa"/>
            <w:vMerge/>
            <w:tcBorders>
              <w:left w:val="single" w:sz="4" w:space="0" w:color="auto"/>
              <w:bottom w:val="single" w:sz="4" w:space="0" w:color="auto"/>
              <w:right w:val="single" w:sz="4" w:space="0" w:color="FFFFFF" w:themeColor="background1"/>
            </w:tcBorders>
            <w:shd w:val="clear" w:color="auto" w:fill="C6D9F1" w:themeFill="text2" w:themeFillTint="33"/>
            <w:vAlign w:val="center"/>
          </w:tcPr>
          <w:p w14:paraId="3D48465B" w14:textId="77777777" w:rsidR="004C0AA6" w:rsidRPr="00B22401" w:rsidRDefault="004C0AA6" w:rsidP="00D8338D">
            <w:pPr>
              <w:spacing w:before="20" w:after="20"/>
              <w:jc w:val="center"/>
              <w:rPr>
                <w:rFonts w:ascii="Segoe UI" w:hAnsi="Segoe UI" w:cs="Segoe UI"/>
                <w:sz w:val="18"/>
                <w:szCs w:val="18"/>
              </w:rPr>
            </w:pPr>
          </w:p>
        </w:tc>
        <w:tc>
          <w:tcPr>
            <w:tcW w:w="435" w:type="dxa"/>
            <w:vMerge/>
            <w:tcBorders>
              <w:left w:val="single" w:sz="4" w:space="0" w:color="FFFFFF" w:themeColor="background1"/>
              <w:bottom w:val="single" w:sz="4" w:space="0" w:color="auto"/>
              <w:right w:val="single" w:sz="4" w:space="0" w:color="FFFFFF" w:themeColor="background1"/>
            </w:tcBorders>
            <w:shd w:val="clear" w:color="auto" w:fill="C6D9F1" w:themeFill="text2" w:themeFillTint="33"/>
            <w:vAlign w:val="center"/>
          </w:tcPr>
          <w:p w14:paraId="18BFDE50" w14:textId="77777777" w:rsidR="004C0AA6" w:rsidRPr="00B22401" w:rsidRDefault="004C0AA6" w:rsidP="00D8338D">
            <w:pPr>
              <w:spacing w:before="20" w:after="20"/>
              <w:jc w:val="center"/>
              <w:rPr>
                <w:rFonts w:ascii="Segoe UI" w:hAnsi="Segoe UI" w:cs="Segoe UI"/>
                <w:sz w:val="18"/>
                <w:szCs w:val="18"/>
              </w:rPr>
            </w:pPr>
          </w:p>
        </w:tc>
        <w:tc>
          <w:tcPr>
            <w:tcW w:w="455" w:type="dxa"/>
            <w:vMerge/>
            <w:tcBorders>
              <w:left w:val="single" w:sz="4" w:space="0" w:color="FFFFFF" w:themeColor="background1"/>
              <w:bottom w:val="single" w:sz="4" w:space="0" w:color="auto"/>
              <w:right w:val="single" w:sz="4" w:space="0" w:color="FFFFFF" w:themeColor="background1"/>
            </w:tcBorders>
            <w:shd w:val="clear" w:color="auto" w:fill="8DB3E2" w:themeFill="text2" w:themeFillTint="66"/>
            <w:vAlign w:val="center"/>
          </w:tcPr>
          <w:p w14:paraId="13C060F5" w14:textId="77777777" w:rsidR="004C0AA6" w:rsidRPr="00B22401" w:rsidRDefault="004C0AA6" w:rsidP="00D8338D">
            <w:pPr>
              <w:spacing w:before="20" w:after="20"/>
              <w:jc w:val="center"/>
              <w:rPr>
                <w:rFonts w:ascii="Segoe UI" w:hAnsi="Segoe UI" w:cs="Segoe UI"/>
                <w:sz w:val="18"/>
                <w:szCs w:val="18"/>
              </w:rPr>
            </w:pPr>
          </w:p>
        </w:tc>
        <w:tc>
          <w:tcPr>
            <w:tcW w:w="451" w:type="dxa"/>
            <w:vMerge/>
            <w:tcBorders>
              <w:left w:val="single" w:sz="4" w:space="0" w:color="FFFFFF" w:themeColor="background1"/>
              <w:bottom w:val="single" w:sz="4" w:space="0" w:color="000000"/>
              <w:right w:val="single" w:sz="4" w:space="0" w:color="FFFFFF" w:themeColor="background1"/>
            </w:tcBorders>
            <w:shd w:val="clear" w:color="auto" w:fill="8DB3E2" w:themeFill="text2" w:themeFillTint="66"/>
            <w:vAlign w:val="center"/>
          </w:tcPr>
          <w:p w14:paraId="56544BD4" w14:textId="77777777" w:rsidR="004C0AA6" w:rsidRPr="00B22401" w:rsidRDefault="004C0AA6" w:rsidP="00D8338D">
            <w:pPr>
              <w:spacing w:before="20" w:after="20"/>
              <w:jc w:val="center"/>
              <w:rPr>
                <w:rFonts w:ascii="Segoe UI" w:hAnsi="Segoe UI" w:cs="Segoe UI"/>
                <w:sz w:val="18"/>
                <w:szCs w:val="18"/>
              </w:rPr>
            </w:pPr>
          </w:p>
        </w:tc>
        <w:tc>
          <w:tcPr>
            <w:tcW w:w="436" w:type="dxa"/>
            <w:vMerge/>
            <w:tcBorders>
              <w:left w:val="single" w:sz="4" w:space="0" w:color="FFFFFF" w:themeColor="background1"/>
              <w:bottom w:val="single" w:sz="4" w:space="0" w:color="000000"/>
              <w:right w:val="single" w:sz="4" w:space="0" w:color="FFFFFF" w:themeColor="background1"/>
            </w:tcBorders>
            <w:shd w:val="clear" w:color="auto" w:fill="548DD4" w:themeFill="text2" w:themeFillTint="99"/>
            <w:vAlign w:val="center"/>
          </w:tcPr>
          <w:p w14:paraId="7AEDE006" w14:textId="77777777" w:rsidR="004C0AA6" w:rsidRPr="00B22401" w:rsidRDefault="004C0AA6" w:rsidP="00D8338D">
            <w:pPr>
              <w:spacing w:before="20" w:after="20"/>
              <w:jc w:val="center"/>
              <w:rPr>
                <w:rFonts w:ascii="Segoe UI" w:hAnsi="Segoe UI" w:cs="Segoe UI"/>
                <w:sz w:val="18"/>
                <w:szCs w:val="18"/>
              </w:rPr>
            </w:pPr>
          </w:p>
        </w:tc>
        <w:tc>
          <w:tcPr>
            <w:tcW w:w="433" w:type="dxa"/>
            <w:vMerge/>
            <w:tcBorders>
              <w:left w:val="single" w:sz="4" w:space="0" w:color="FFFFFF" w:themeColor="background1"/>
              <w:bottom w:val="single" w:sz="4" w:space="0" w:color="000000"/>
              <w:right w:val="single" w:sz="4" w:space="0" w:color="FFFFFF" w:themeColor="background1"/>
            </w:tcBorders>
            <w:shd w:val="clear" w:color="auto" w:fill="548DD4" w:themeFill="text2" w:themeFillTint="99"/>
            <w:vAlign w:val="center"/>
          </w:tcPr>
          <w:p w14:paraId="12B8487C" w14:textId="77777777" w:rsidR="004C0AA6" w:rsidRPr="00B22401" w:rsidRDefault="004C0AA6" w:rsidP="00D8338D">
            <w:pPr>
              <w:spacing w:before="20" w:after="20"/>
              <w:jc w:val="center"/>
              <w:rPr>
                <w:rFonts w:ascii="Segoe UI" w:hAnsi="Segoe UI" w:cs="Segoe UI"/>
                <w:sz w:val="18"/>
                <w:szCs w:val="18"/>
              </w:rPr>
            </w:pPr>
          </w:p>
        </w:tc>
        <w:tc>
          <w:tcPr>
            <w:tcW w:w="414" w:type="dxa"/>
            <w:vMerge/>
            <w:tcBorders>
              <w:left w:val="single" w:sz="4" w:space="0" w:color="FFFFFF" w:themeColor="background1"/>
              <w:bottom w:val="single" w:sz="4" w:space="0" w:color="000000"/>
              <w:right w:val="single" w:sz="4" w:space="0" w:color="FFFFFF" w:themeColor="background1"/>
            </w:tcBorders>
            <w:shd w:val="clear" w:color="auto" w:fill="1F497D" w:themeFill="text2"/>
            <w:vAlign w:val="center"/>
          </w:tcPr>
          <w:p w14:paraId="42C16BBA" w14:textId="77777777" w:rsidR="004C0AA6" w:rsidRPr="00B22401" w:rsidRDefault="004C0AA6" w:rsidP="00D8338D">
            <w:pPr>
              <w:spacing w:before="20" w:after="20"/>
              <w:jc w:val="center"/>
              <w:rPr>
                <w:rFonts w:ascii="Segoe UI" w:hAnsi="Segoe UI" w:cs="Segoe UI"/>
                <w:sz w:val="18"/>
                <w:szCs w:val="18"/>
              </w:rPr>
            </w:pPr>
          </w:p>
        </w:tc>
        <w:tc>
          <w:tcPr>
            <w:tcW w:w="434" w:type="dxa"/>
            <w:vMerge/>
            <w:tcBorders>
              <w:left w:val="single" w:sz="4" w:space="0" w:color="FFFFFF" w:themeColor="background1"/>
              <w:bottom w:val="single" w:sz="4" w:space="0" w:color="000000"/>
              <w:right w:val="single" w:sz="4" w:space="0" w:color="FFFFFF" w:themeColor="background1"/>
            </w:tcBorders>
            <w:shd w:val="clear" w:color="auto" w:fill="1F497D" w:themeFill="text2"/>
            <w:vAlign w:val="center"/>
          </w:tcPr>
          <w:p w14:paraId="114E9EA2" w14:textId="77777777" w:rsidR="004C0AA6" w:rsidRPr="00B22401" w:rsidRDefault="004C0AA6" w:rsidP="00D8338D">
            <w:pPr>
              <w:spacing w:before="20" w:after="20"/>
              <w:jc w:val="center"/>
              <w:rPr>
                <w:rFonts w:ascii="Segoe UI" w:hAnsi="Segoe UI" w:cs="Segoe UI"/>
                <w:sz w:val="18"/>
                <w:szCs w:val="18"/>
              </w:rPr>
            </w:pPr>
          </w:p>
        </w:tc>
        <w:tc>
          <w:tcPr>
            <w:tcW w:w="427" w:type="dxa"/>
            <w:vMerge/>
            <w:tcBorders>
              <w:left w:val="single" w:sz="4" w:space="0" w:color="FFFFFF" w:themeColor="background1"/>
              <w:bottom w:val="single" w:sz="4" w:space="0" w:color="000000"/>
              <w:right w:val="single" w:sz="4" w:space="0" w:color="FFFFFF" w:themeColor="background1"/>
            </w:tcBorders>
            <w:shd w:val="clear" w:color="auto" w:fill="17365D" w:themeFill="text2" w:themeFillShade="BF"/>
            <w:vAlign w:val="center"/>
          </w:tcPr>
          <w:p w14:paraId="10285B16" w14:textId="77777777" w:rsidR="004C0AA6" w:rsidRPr="00B22401" w:rsidRDefault="004C0AA6" w:rsidP="00D8338D">
            <w:pPr>
              <w:spacing w:before="20" w:after="20"/>
              <w:jc w:val="center"/>
              <w:rPr>
                <w:rFonts w:ascii="Segoe UI" w:hAnsi="Segoe UI" w:cs="Segoe UI"/>
                <w:color w:val="FFFFFF" w:themeColor="background1"/>
                <w:sz w:val="18"/>
                <w:szCs w:val="18"/>
              </w:rPr>
            </w:pPr>
          </w:p>
        </w:tc>
        <w:tc>
          <w:tcPr>
            <w:tcW w:w="431"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773B113D" w14:textId="77777777" w:rsidR="004C0AA6" w:rsidRPr="00B22401" w:rsidRDefault="004C0AA6" w:rsidP="00D8338D">
            <w:pPr>
              <w:spacing w:before="20" w:after="20"/>
              <w:jc w:val="center"/>
              <w:rPr>
                <w:rFonts w:ascii="Segoe UI" w:hAnsi="Segoe UI" w:cs="Segoe UI"/>
                <w:color w:val="FFFFFF" w:themeColor="background1"/>
                <w:sz w:val="18"/>
                <w:szCs w:val="18"/>
              </w:rPr>
            </w:pPr>
          </w:p>
        </w:tc>
        <w:tc>
          <w:tcPr>
            <w:tcW w:w="418"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30113E7B" w14:textId="77777777" w:rsidR="004C0AA6" w:rsidRPr="00B22401" w:rsidRDefault="004C0AA6" w:rsidP="00D8338D">
            <w:pPr>
              <w:spacing w:before="20" w:after="20"/>
              <w:rPr>
                <w:rFonts w:ascii="Segoe UI" w:hAnsi="Segoe UI" w:cs="Segoe UI"/>
                <w:sz w:val="18"/>
                <w:szCs w:val="18"/>
              </w:rPr>
            </w:pPr>
          </w:p>
        </w:tc>
        <w:tc>
          <w:tcPr>
            <w:tcW w:w="436" w:type="dxa"/>
            <w:tcBorders>
              <w:top w:val="nil"/>
              <w:left w:val="single" w:sz="4" w:space="0" w:color="FFFFFF" w:themeColor="background1"/>
              <w:bottom w:val="single" w:sz="4" w:space="0" w:color="000000"/>
              <w:right w:val="single" w:sz="4" w:space="0" w:color="FFFFFF" w:themeColor="background1"/>
            </w:tcBorders>
            <w:shd w:val="clear" w:color="auto" w:fill="auto"/>
          </w:tcPr>
          <w:p w14:paraId="2096CF20" w14:textId="77777777" w:rsidR="004C0AA6" w:rsidRPr="00B22401" w:rsidRDefault="004C0AA6" w:rsidP="00D8338D">
            <w:pPr>
              <w:spacing w:before="20" w:after="20"/>
              <w:rPr>
                <w:rFonts w:ascii="Segoe UI" w:hAnsi="Segoe UI" w:cs="Segoe UI"/>
                <w:sz w:val="18"/>
                <w:szCs w:val="18"/>
              </w:rPr>
            </w:pPr>
          </w:p>
        </w:tc>
        <w:tc>
          <w:tcPr>
            <w:tcW w:w="460" w:type="dxa"/>
            <w:tcBorders>
              <w:top w:val="nil"/>
              <w:left w:val="single" w:sz="4" w:space="0" w:color="FFFFFF" w:themeColor="background1"/>
              <w:bottom w:val="single" w:sz="4" w:space="0" w:color="000000"/>
              <w:right w:val="nil"/>
            </w:tcBorders>
            <w:shd w:val="clear" w:color="auto" w:fill="auto"/>
          </w:tcPr>
          <w:p w14:paraId="5494BB51" w14:textId="77777777" w:rsidR="004C0AA6" w:rsidRPr="00B22401" w:rsidRDefault="004C0AA6" w:rsidP="00D8338D">
            <w:pPr>
              <w:spacing w:before="20" w:after="20"/>
              <w:rPr>
                <w:rFonts w:ascii="Segoe UI" w:hAnsi="Segoe UI" w:cs="Segoe UI"/>
                <w:sz w:val="18"/>
                <w:szCs w:val="18"/>
              </w:rPr>
            </w:pPr>
          </w:p>
        </w:tc>
        <w:tc>
          <w:tcPr>
            <w:tcW w:w="452" w:type="dxa"/>
            <w:tcBorders>
              <w:top w:val="nil"/>
              <w:left w:val="nil"/>
              <w:bottom w:val="single" w:sz="4" w:space="0" w:color="000000"/>
              <w:right w:val="nil"/>
            </w:tcBorders>
            <w:shd w:val="clear" w:color="auto" w:fill="auto"/>
          </w:tcPr>
          <w:p w14:paraId="68E2F135" w14:textId="77777777" w:rsidR="004C0AA6" w:rsidRPr="00B22401" w:rsidRDefault="004C0AA6" w:rsidP="00D8338D">
            <w:pPr>
              <w:spacing w:before="20" w:after="20"/>
              <w:rPr>
                <w:rFonts w:ascii="Segoe UI" w:hAnsi="Segoe UI" w:cs="Segoe UI"/>
                <w:sz w:val="18"/>
                <w:szCs w:val="18"/>
              </w:rPr>
            </w:pPr>
          </w:p>
        </w:tc>
        <w:tc>
          <w:tcPr>
            <w:tcW w:w="411" w:type="dxa"/>
            <w:tcBorders>
              <w:top w:val="nil"/>
              <w:left w:val="nil"/>
              <w:bottom w:val="single" w:sz="4" w:space="0" w:color="000000"/>
              <w:right w:val="single" w:sz="4" w:space="0" w:color="auto"/>
            </w:tcBorders>
            <w:shd w:val="clear" w:color="auto" w:fill="auto"/>
          </w:tcPr>
          <w:p w14:paraId="654C75D6" w14:textId="77777777" w:rsidR="004C0AA6" w:rsidRPr="00B22401" w:rsidRDefault="004C0AA6" w:rsidP="00D8338D">
            <w:pPr>
              <w:spacing w:before="20" w:after="20"/>
              <w:rPr>
                <w:rFonts w:ascii="Segoe UI" w:hAnsi="Segoe UI" w:cs="Segoe UI"/>
                <w:sz w:val="18"/>
                <w:szCs w:val="18"/>
              </w:rPr>
            </w:pPr>
          </w:p>
        </w:tc>
      </w:tr>
      <w:tr w:rsidR="009A1671" w:rsidRPr="00736A50" w14:paraId="2A0CA7E0" w14:textId="77777777" w:rsidTr="00F05DB1">
        <w:trPr>
          <w:jc w:val="center"/>
        </w:trPr>
        <w:tc>
          <w:tcPr>
            <w:tcW w:w="2921" w:type="dxa"/>
            <w:vMerge w:val="restart"/>
            <w:tcBorders>
              <w:top w:val="single" w:sz="4" w:space="0" w:color="auto"/>
              <w:left w:val="single" w:sz="4" w:space="0" w:color="auto"/>
              <w:bottom w:val="single" w:sz="4" w:space="0" w:color="auto"/>
              <w:right w:val="single" w:sz="4" w:space="0" w:color="auto"/>
            </w:tcBorders>
            <w:shd w:val="clear" w:color="auto" w:fill="auto"/>
          </w:tcPr>
          <w:p w14:paraId="70E9A64F"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General State budget</w:t>
            </w:r>
          </w:p>
        </w:tc>
        <w:tc>
          <w:tcPr>
            <w:tcW w:w="643" w:type="dxa"/>
            <w:tcBorders>
              <w:left w:val="single" w:sz="4" w:space="0" w:color="auto"/>
              <w:bottom w:val="nil"/>
              <w:right w:val="single" w:sz="4" w:space="0" w:color="auto"/>
            </w:tcBorders>
            <w:shd w:val="clear" w:color="auto" w:fill="auto"/>
          </w:tcPr>
          <w:p w14:paraId="4E9E1491"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SW</w:t>
            </w:r>
          </w:p>
        </w:tc>
        <w:tc>
          <w:tcPr>
            <w:tcW w:w="543" w:type="dxa"/>
            <w:vMerge w:val="restart"/>
            <w:tcBorders>
              <w:left w:val="single" w:sz="4" w:space="0" w:color="auto"/>
              <w:right w:val="single" w:sz="4" w:space="0" w:color="FFFFFF" w:themeColor="background1"/>
            </w:tcBorders>
            <w:shd w:val="clear" w:color="auto" w:fill="C6D9F1" w:themeFill="text2" w:themeFillTint="33"/>
            <w:vAlign w:val="center"/>
          </w:tcPr>
          <w:p w14:paraId="2187DFDC"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HU*</w:t>
            </w:r>
          </w:p>
        </w:tc>
        <w:tc>
          <w:tcPr>
            <w:tcW w:w="435" w:type="dxa"/>
            <w:vMerge w:val="restart"/>
            <w:tcBorders>
              <w:left w:val="single" w:sz="4" w:space="0" w:color="FFFFFF" w:themeColor="background1"/>
              <w:right w:val="single" w:sz="4" w:space="0" w:color="FFFFFF" w:themeColor="background1"/>
            </w:tcBorders>
            <w:shd w:val="clear" w:color="auto" w:fill="C6D9F1" w:themeFill="text2" w:themeFillTint="33"/>
            <w:vAlign w:val="center"/>
          </w:tcPr>
          <w:p w14:paraId="74A3C4F3"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LT</w:t>
            </w:r>
          </w:p>
        </w:tc>
        <w:tc>
          <w:tcPr>
            <w:tcW w:w="455" w:type="dxa"/>
            <w:tcBorders>
              <w:left w:val="single" w:sz="4" w:space="0" w:color="FFFFFF" w:themeColor="background1"/>
              <w:bottom w:val="nil"/>
              <w:right w:val="single" w:sz="4" w:space="0" w:color="FFFFFF" w:themeColor="background1"/>
            </w:tcBorders>
            <w:shd w:val="clear" w:color="auto" w:fill="8DB3E2" w:themeFill="text2" w:themeFillTint="66"/>
            <w:vAlign w:val="center"/>
          </w:tcPr>
          <w:p w14:paraId="49C789CD" w14:textId="77777777" w:rsidR="004C0AA6" w:rsidRPr="00B22401" w:rsidRDefault="004C0AA6" w:rsidP="00D8338D">
            <w:pPr>
              <w:spacing w:before="20" w:after="20"/>
              <w:rPr>
                <w:rFonts w:ascii="Segoe UI" w:hAnsi="Segoe UI" w:cs="Segoe UI"/>
                <w:sz w:val="18"/>
                <w:szCs w:val="18"/>
              </w:rPr>
            </w:pPr>
            <w:r>
              <w:rPr>
                <w:rFonts w:ascii="Segoe UI" w:hAnsi="Segoe UI" w:cs="Segoe UI"/>
                <w:sz w:val="18"/>
                <w:szCs w:val="18"/>
              </w:rPr>
              <w:t>DK</w:t>
            </w:r>
          </w:p>
        </w:tc>
        <w:tc>
          <w:tcPr>
            <w:tcW w:w="451" w:type="dxa"/>
            <w:tcBorders>
              <w:left w:val="single" w:sz="4" w:space="0" w:color="FFFFFF" w:themeColor="background1"/>
              <w:bottom w:val="nil"/>
              <w:right w:val="single" w:sz="4" w:space="0" w:color="FFFFFF" w:themeColor="background1"/>
            </w:tcBorders>
            <w:shd w:val="clear" w:color="auto" w:fill="8DB3E2" w:themeFill="text2" w:themeFillTint="66"/>
            <w:vAlign w:val="center"/>
          </w:tcPr>
          <w:p w14:paraId="06FE4A21" w14:textId="77777777" w:rsidR="004C0AA6" w:rsidRPr="00B22401" w:rsidRDefault="004C0AA6" w:rsidP="00D8338D">
            <w:pPr>
              <w:spacing w:before="20" w:after="20"/>
              <w:jc w:val="center"/>
              <w:rPr>
                <w:rFonts w:ascii="Segoe UI" w:hAnsi="Segoe UI" w:cs="Segoe UI"/>
                <w:sz w:val="18"/>
                <w:szCs w:val="18"/>
              </w:rPr>
            </w:pPr>
            <w:r>
              <w:rPr>
                <w:rFonts w:ascii="Segoe UI" w:hAnsi="Segoe UI" w:cs="Segoe UI"/>
                <w:sz w:val="18"/>
                <w:szCs w:val="18"/>
              </w:rPr>
              <w:t>LV</w:t>
            </w:r>
          </w:p>
        </w:tc>
        <w:tc>
          <w:tcPr>
            <w:tcW w:w="436" w:type="dxa"/>
            <w:tcBorders>
              <w:left w:val="single" w:sz="4" w:space="0" w:color="FFFFFF" w:themeColor="background1"/>
              <w:bottom w:val="nil"/>
              <w:right w:val="single" w:sz="4" w:space="0" w:color="FFFFFF" w:themeColor="background1"/>
            </w:tcBorders>
            <w:shd w:val="clear" w:color="auto" w:fill="548DD4" w:themeFill="text2" w:themeFillTint="99"/>
            <w:vAlign w:val="center"/>
          </w:tcPr>
          <w:p w14:paraId="646E807E" w14:textId="77777777" w:rsidR="004C0AA6" w:rsidRPr="00B22401" w:rsidRDefault="004C0AA6" w:rsidP="00D8338D">
            <w:pPr>
              <w:spacing w:before="20" w:after="20"/>
              <w:jc w:val="center"/>
              <w:rPr>
                <w:rFonts w:ascii="Segoe UI" w:hAnsi="Segoe UI" w:cs="Segoe UI"/>
                <w:sz w:val="18"/>
                <w:szCs w:val="18"/>
              </w:rPr>
            </w:pPr>
            <w:r>
              <w:rPr>
                <w:rFonts w:ascii="Segoe UI" w:hAnsi="Segoe UI" w:cs="Segoe UI"/>
                <w:sz w:val="18"/>
                <w:szCs w:val="18"/>
              </w:rPr>
              <w:t>NL</w:t>
            </w:r>
          </w:p>
        </w:tc>
        <w:tc>
          <w:tcPr>
            <w:tcW w:w="433" w:type="dxa"/>
            <w:tcBorders>
              <w:left w:val="single" w:sz="4" w:space="0" w:color="FFFFFF" w:themeColor="background1"/>
              <w:bottom w:val="nil"/>
              <w:right w:val="single" w:sz="4" w:space="0" w:color="FFFFFF" w:themeColor="background1"/>
            </w:tcBorders>
            <w:shd w:val="clear" w:color="auto" w:fill="auto"/>
            <w:vAlign w:val="center"/>
          </w:tcPr>
          <w:p w14:paraId="7E445DED" w14:textId="77777777" w:rsidR="004C0AA6" w:rsidRPr="00B22401" w:rsidRDefault="004C0AA6" w:rsidP="00D8338D">
            <w:pPr>
              <w:spacing w:before="20" w:after="20"/>
              <w:jc w:val="center"/>
              <w:rPr>
                <w:rFonts w:ascii="Segoe UI" w:hAnsi="Segoe UI" w:cs="Segoe UI"/>
                <w:sz w:val="18"/>
                <w:szCs w:val="18"/>
              </w:rPr>
            </w:pPr>
          </w:p>
        </w:tc>
        <w:tc>
          <w:tcPr>
            <w:tcW w:w="414" w:type="dxa"/>
            <w:tcBorders>
              <w:left w:val="single" w:sz="4" w:space="0" w:color="FFFFFF" w:themeColor="background1"/>
              <w:bottom w:val="nil"/>
              <w:right w:val="single" w:sz="4" w:space="0" w:color="FFFFFF" w:themeColor="background1"/>
            </w:tcBorders>
            <w:shd w:val="clear" w:color="auto" w:fill="auto"/>
            <w:vAlign w:val="center"/>
          </w:tcPr>
          <w:p w14:paraId="1FD44C7A" w14:textId="77777777" w:rsidR="004C0AA6" w:rsidRPr="00B22401" w:rsidRDefault="004C0AA6" w:rsidP="00D8338D">
            <w:pPr>
              <w:spacing w:before="20" w:after="20"/>
              <w:jc w:val="center"/>
              <w:rPr>
                <w:rFonts w:ascii="Segoe UI" w:hAnsi="Segoe UI" w:cs="Segoe UI"/>
                <w:sz w:val="18"/>
                <w:szCs w:val="18"/>
              </w:rPr>
            </w:pPr>
          </w:p>
        </w:tc>
        <w:tc>
          <w:tcPr>
            <w:tcW w:w="434" w:type="dxa"/>
            <w:tcBorders>
              <w:left w:val="single" w:sz="4" w:space="0" w:color="FFFFFF" w:themeColor="background1"/>
              <w:bottom w:val="nil"/>
              <w:right w:val="single" w:sz="4" w:space="0" w:color="FFFFFF" w:themeColor="background1"/>
            </w:tcBorders>
            <w:shd w:val="clear" w:color="auto" w:fill="auto"/>
            <w:vAlign w:val="center"/>
          </w:tcPr>
          <w:p w14:paraId="2E86B612" w14:textId="77777777" w:rsidR="004C0AA6" w:rsidRPr="00B22401" w:rsidRDefault="004C0AA6" w:rsidP="00D8338D">
            <w:pPr>
              <w:spacing w:before="20" w:after="20"/>
              <w:jc w:val="center"/>
              <w:rPr>
                <w:rFonts w:ascii="Segoe UI" w:hAnsi="Segoe UI" w:cs="Segoe UI"/>
                <w:sz w:val="18"/>
                <w:szCs w:val="18"/>
              </w:rPr>
            </w:pPr>
          </w:p>
        </w:tc>
        <w:tc>
          <w:tcPr>
            <w:tcW w:w="427" w:type="dxa"/>
            <w:tcBorders>
              <w:left w:val="single" w:sz="4" w:space="0" w:color="FFFFFF" w:themeColor="background1"/>
              <w:bottom w:val="nil"/>
              <w:right w:val="single" w:sz="4" w:space="0" w:color="FFFFFF" w:themeColor="background1"/>
            </w:tcBorders>
            <w:shd w:val="clear" w:color="auto" w:fill="auto"/>
            <w:vAlign w:val="center"/>
          </w:tcPr>
          <w:p w14:paraId="01038A8A" w14:textId="77777777" w:rsidR="004C0AA6" w:rsidRPr="00B22401" w:rsidRDefault="004C0AA6" w:rsidP="00D8338D">
            <w:pPr>
              <w:spacing w:before="20" w:after="20"/>
              <w:jc w:val="center"/>
              <w:rPr>
                <w:rFonts w:ascii="Segoe UI" w:hAnsi="Segoe UI" w:cs="Segoe UI"/>
                <w:sz w:val="18"/>
                <w:szCs w:val="18"/>
              </w:rPr>
            </w:pPr>
          </w:p>
        </w:tc>
        <w:tc>
          <w:tcPr>
            <w:tcW w:w="431" w:type="dxa"/>
            <w:tcBorders>
              <w:left w:val="single" w:sz="4" w:space="0" w:color="FFFFFF" w:themeColor="background1"/>
              <w:bottom w:val="nil"/>
              <w:right w:val="single" w:sz="4" w:space="0" w:color="FFFFFF" w:themeColor="background1"/>
            </w:tcBorders>
            <w:shd w:val="clear" w:color="auto" w:fill="auto"/>
            <w:vAlign w:val="center"/>
          </w:tcPr>
          <w:p w14:paraId="7FE673DF" w14:textId="77777777" w:rsidR="004C0AA6" w:rsidRPr="00B22401" w:rsidRDefault="004C0AA6" w:rsidP="00D8338D">
            <w:pPr>
              <w:spacing w:before="20" w:after="20"/>
              <w:jc w:val="center"/>
              <w:rPr>
                <w:rFonts w:ascii="Segoe UI" w:hAnsi="Segoe UI" w:cs="Segoe UI"/>
                <w:sz w:val="18"/>
                <w:szCs w:val="18"/>
              </w:rPr>
            </w:pPr>
          </w:p>
        </w:tc>
        <w:tc>
          <w:tcPr>
            <w:tcW w:w="418" w:type="dxa"/>
            <w:tcBorders>
              <w:left w:val="single" w:sz="4" w:space="0" w:color="FFFFFF" w:themeColor="background1"/>
              <w:bottom w:val="nil"/>
              <w:right w:val="single" w:sz="4" w:space="0" w:color="FFFFFF" w:themeColor="background1"/>
            </w:tcBorders>
            <w:shd w:val="clear" w:color="auto" w:fill="auto"/>
            <w:vAlign w:val="center"/>
          </w:tcPr>
          <w:p w14:paraId="46F82481" w14:textId="77777777" w:rsidR="004C0AA6" w:rsidRPr="00B22401" w:rsidRDefault="004C0AA6" w:rsidP="00D8338D">
            <w:pPr>
              <w:spacing w:before="20" w:after="20"/>
              <w:jc w:val="center"/>
              <w:rPr>
                <w:rFonts w:ascii="Segoe UI" w:hAnsi="Segoe UI" w:cs="Segoe UI"/>
                <w:sz w:val="18"/>
                <w:szCs w:val="18"/>
              </w:rPr>
            </w:pPr>
          </w:p>
        </w:tc>
        <w:tc>
          <w:tcPr>
            <w:tcW w:w="436" w:type="dxa"/>
            <w:tcBorders>
              <w:left w:val="single" w:sz="4" w:space="0" w:color="FFFFFF" w:themeColor="background1"/>
              <w:bottom w:val="nil"/>
              <w:right w:val="single" w:sz="4" w:space="0" w:color="FFFFFF" w:themeColor="background1"/>
            </w:tcBorders>
            <w:shd w:val="clear" w:color="auto" w:fill="auto"/>
          </w:tcPr>
          <w:p w14:paraId="389D3CDC"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single" w:sz="4" w:space="0" w:color="000000"/>
              <w:left w:val="single" w:sz="4" w:space="0" w:color="FFFFFF" w:themeColor="background1"/>
              <w:bottom w:val="nil"/>
              <w:right w:val="nil"/>
            </w:tcBorders>
            <w:shd w:val="clear" w:color="auto" w:fill="auto"/>
          </w:tcPr>
          <w:p w14:paraId="03348F27" w14:textId="77777777" w:rsidR="004C0AA6" w:rsidRPr="00B22401" w:rsidRDefault="004C0AA6" w:rsidP="00D8338D">
            <w:pPr>
              <w:spacing w:before="20" w:after="20"/>
              <w:jc w:val="center"/>
              <w:rPr>
                <w:rFonts w:ascii="Segoe UI" w:hAnsi="Segoe UI" w:cs="Segoe UI"/>
                <w:sz w:val="18"/>
                <w:szCs w:val="18"/>
              </w:rPr>
            </w:pPr>
          </w:p>
        </w:tc>
        <w:tc>
          <w:tcPr>
            <w:tcW w:w="452" w:type="dxa"/>
            <w:tcBorders>
              <w:top w:val="single" w:sz="4" w:space="0" w:color="000000"/>
              <w:left w:val="nil"/>
              <w:bottom w:val="nil"/>
              <w:right w:val="nil"/>
            </w:tcBorders>
            <w:shd w:val="clear" w:color="auto" w:fill="auto"/>
          </w:tcPr>
          <w:p w14:paraId="12648CBC" w14:textId="77777777" w:rsidR="004C0AA6" w:rsidRPr="00B22401" w:rsidRDefault="004C0AA6" w:rsidP="00D8338D">
            <w:pPr>
              <w:spacing w:before="20" w:after="20"/>
              <w:jc w:val="center"/>
              <w:rPr>
                <w:rFonts w:ascii="Segoe UI" w:hAnsi="Segoe UI" w:cs="Segoe UI"/>
                <w:sz w:val="18"/>
                <w:szCs w:val="18"/>
              </w:rPr>
            </w:pPr>
          </w:p>
        </w:tc>
        <w:tc>
          <w:tcPr>
            <w:tcW w:w="411" w:type="dxa"/>
            <w:tcBorders>
              <w:top w:val="single" w:sz="4" w:space="0" w:color="000000"/>
              <w:left w:val="nil"/>
              <w:bottom w:val="nil"/>
              <w:right w:val="single" w:sz="4" w:space="0" w:color="auto"/>
            </w:tcBorders>
            <w:shd w:val="clear" w:color="auto" w:fill="auto"/>
          </w:tcPr>
          <w:p w14:paraId="3677B94E" w14:textId="77777777" w:rsidR="004C0AA6" w:rsidRPr="00B22401" w:rsidRDefault="004C0AA6" w:rsidP="00D8338D">
            <w:pPr>
              <w:spacing w:before="20" w:after="20"/>
              <w:jc w:val="center"/>
              <w:rPr>
                <w:rFonts w:ascii="Segoe UI" w:hAnsi="Segoe UI" w:cs="Segoe UI"/>
                <w:sz w:val="18"/>
                <w:szCs w:val="18"/>
              </w:rPr>
            </w:pPr>
          </w:p>
        </w:tc>
      </w:tr>
      <w:tr w:rsidR="009A1671" w:rsidRPr="00736A50" w14:paraId="64536155" w14:textId="77777777" w:rsidTr="00F05DB1">
        <w:trPr>
          <w:jc w:val="center"/>
        </w:trPr>
        <w:tc>
          <w:tcPr>
            <w:tcW w:w="2921" w:type="dxa"/>
            <w:vMerge/>
            <w:tcBorders>
              <w:left w:val="single" w:sz="4" w:space="0" w:color="auto"/>
              <w:bottom w:val="single" w:sz="4" w:space="0" w:color="auto"/>
              <w:right w:val="single" w:sz="4" w:space="0" w:color="auto"/>
            </w:tcBorders>
            <w:shd w:val="clear" w:color="auto" w:fill="auto"/>
          </w:tcPr>
          <w:p w14:paraId="4290FB3D" w14:textId="77777777" w:rsidR="004C0AA6" w:rsidRPr="00B22401" w:rsidRDefault="004C0AA6" w:rsidP="00D8338D">
            <w:pPr>
              <w:spacing w:before="20" w:after="20"/>
              <w:rPr>
                <w:rFonts w:ascii="Segoe UI" w:hAnsi="Segoe UI" w:cs="Segoe UI"/>
                <w:sz w:val="18"/>
                <w:szCs w:val="18"/>
              </w:rPr>
            </w:pPr>
          </w:p>
        </w:tc>
        <w:tc>
          <w:tcPr>
            <w:tcW w:w="643" w:type="dxa"/>
            <w:tcBorders>
              <w:top w:val="nil"/>
              <w:left w:val="single" w:sz="4" w:space="0" w:color="auto"/>
              <w:bottom w:val="single" w:sz="4" w:space="0" w:color="000000"/>
              <w:right w:val="single" w:sz="4" w:space="0" w:color="auto"/>
            </w:tcBorders>
            <w:shd w:val="clear" w:color="auto" w:fill="auto"/>
          </w:tcPr>
          <w:p w14:paraId="4F033C36"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GW</w:t>
            </w:r>
          </w:p>
        </w:tc>
        <w:tc>
          <w:tcPr>
            <w:tcW w:w="543" w:type="dxa"/>
            <w:vMerge/>
            <w:tcBorders>
              <w:left w:val="single" w:sz="4" w:space="0" w:color="auto"/>
              <w:bottom w:val="single" w:sz="4" w:space="0" w:color="auto"/>
              <w:right w:val="single" w:sz="4" w:space="0" w:color="FFFFFF" w:themeColor="background1"/>
            </w:tcBorders>
            <w:shd w:val="clear" w:color="auto" w:fill="C6D9F1" w:themeFill="text2" w:themeFillTint="33"/>
            <w:vAlign w:val="center"/>
          </w:tcPr>
          <w:p w14:paraId="4A29B06B" w14:textId="77777777" w:rsidR="004C0AA6" w:rsidRPr="00B22401" w:rsidRDefault="004C0AA6" w:rsidP="00D8338D">
            <w:pPr>
              <w:spacing w:before="20" w:after="20"/>
              <w:jc w:val="center"/>
              <w:rPr>
                <w:rFonts w:ascii="Segoe UI" w:hAnsi="Segoe UI" w:cs="Segoe UI"/>
                <w:sz w:val="18"/>
                <w:szCs w:val="18"/>
              </w:rPr>
            </w:pPr>
          </w:p>
        </w:tc>
        <w:tc>
          <w:tcPr>
            <w:tcW w:w="435" w:type="dxa"/>
            <w:vMerge/>
            <w:tcBorders>
              <w:left w:val="single" w:sz="4" w:space="0" w:color="FFFFFF" w:themeColor="background1"/>
              <w:bottom w:val="single" w:sz="4" w:space="0" w:color="auto"/>
              <w:right w:val="single" w:sz="4" w:space="0" w:color="FFFFFF" w:themeColor="background1"/>
            </w:tcBorders>
            <w:shd w:val="clear" w:color="auto" w:fill="C6D9F1" w:themeFill="text2" w:themeFillTint="33"/>
            <w:vAlign w:val="center"/>
          </w:tcPr>
          <w:p w14:paraId="3C61D9AE" w14:textId="77777777" w:rsidR="004C0AA6" w:rsidRPr="00B22401" w:rsidRDefault="004C0AA6" w:rsidP="00D8338D">
            <w:pPr>
              <w:spacing w:before="20" w:after="20"/>
              <w:jc w:val="center"/>
              <w:rPr>
                <w:rFonts w:ascii="Segoe UI" w:hAnsi="Segoe UI" w:cs="Segoe UI"/>
                <w:sz w:val="18"/>
                <w:szCs w:val="18"/>
              </w:rPr>
            </w:pPr>
          </w:p>
        </w:tc>
        <w:tc>
          <w:tcPr>
            <w:tcW w:w="455"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10E8B5C4" w14:textId="77777777" w:rsidR="004C0AA6" w:rsidRPr="00B22401" w:rsidRDefault="004C0AA6" w:rsidP="00D8338D">
            <w:pPr>
              <w:spacing w:before="20" w:after="20"/>
              <w:jc w:val="center"/>
              <w:rPr>
                <w:rFonts w:ascii="Segoe UI" w:hAnsi="Segoe UI" w:cs="Segoe UI"/>
                <w:sz w:val="18"/>
                <w:szCs w:val="18"/>
              </w:rPr>
            </w:pPr>
          </w:p>
        </w:tc>
        <w:tc>
          <w:tcPr>
            <w:tcW w:w="451"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4A91D39B" w14:textId="77777777" w:rsidR="004C0AA6" w:rsidRPr="00B22401" w:rsidRDefault="004C0AA6" w:rsidP="00D8338D">
            <w:pPr>
              <w:spacing w:before="20" w:after="20"/>
              <w:rPr>
                <w:rFonts w:ascii="Segoe UI" w:hAnsi="Segoe UI" w:cs="Segoe UI"/>
                <w:sz w:val="18"/>
                <w:szCs w:val="18"/>
              </w:rPr>
            </w:pPr>
          </w:p>
        </w:tc>
        <w:tc>
          <w:tcPr>
            <w:tcW w:w="436"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576FAC03" w14:textId="77777777" w:rsidR="004C0AA6" w:rsidRPr="00B22401" w:rsidRDefault="004C0AA6" w:rsidP="00D8338D">
            <w:pPr>
              <w:spacing w:before="20" w:after="20"/>
              <w:jc w:val="center"/>
              <w:rPr>
                <w:rFonts w:ascii="Segoe UI" w:hAnsi="Segoe UI" w:cs="Segoe UI"/>
                <w:sz w:val="18"/>
                <w:szCs w:val="18"/>
              </w:rPr>
            </w:pPr>
          </w:p>
        </w:tc>
        <w:tc>
          <w:tcPr>
            <w:tcW w:w="433"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7226CC99" w14:textId="77777777" w:rsidR="004C0AA6" w:rsidRPr="00B22401" w:rsidRDefault="004C0AA6" w:rsidP="00D8338D">
            <w:pPr>
              <w:spacing w:before="20" w:after="20"/>
              <w:jc w:val="center"/>
              <w:rPr>
                <w:rFonts w:ascii="Segoe UI" w:hAnsi="Segoe UI" w:cs="Segoe UI"/>
                <w:sz w:val="18"/>
                <w:szCs w:val="18"/>
              </w:rPr>
            </w:pPr>
          </w:p>
        </w:tc>
        <w:tc>
          <w:tcPr>
            <w:tcW w:w="414"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5583FDCB" w14:textId="77777777" w:rsidR="004C0AA6" w:rsidRPr="00B22401" w:rsidRDefault="004C0AA6" w:rsidP="00D8338D">
            <w:pPr>
              <w:spacing w:before="20" w:after="20"/>
              <w:jc w:val="center"/>
              <w:rPr>
                <w:rFonts w:ascii="Segoe UI" w:hAnsi="Segoe UI" w:cs="Segoe UI"/>
                <w:sz w:val="18"/>
                <w:szCs w:val="18"/>
              </w:rPr>
            </w:pPr>
          </w:p>
        </w:tc>
        <w:tc>
          <w:tcPr>
            <w:tcW w:w="434"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43AC4A75" w14:textId="77777777" w:rsidR="004C0AA6" w:rsidRPr="00B22401" w:rsidRDefault="004C0AA6" w:rsidP="00D8338D">
            <w:pPr>
              <w:spacing w:before="20" w:after="20"/>
              <w:jc w:val="center"/>
              <w:rPr>
                <w:rFonts w:ascii="Segoe UI" w:hAnsi="Segoe UI" w:cs="Segoe UI"/>
                <w:sz w:val="18"/>
                <w:szCs w:val="18"/>
              </w:rPr>
            </w:pPr>
          </w:p>
        </w:tc>
        <w:tc>
          <w:tcPr>
            <w:tcW w:w="427"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43B1520E"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04A5BDFA" w14:textId="77777777" w:rsidR="004C0AA6" w:rsidRPr="00B22401" w:rsidRDefault="004C0AA6" w:rsidP="00D8338D">
            <w:pPr>
              <w:spacing w:before="20" w:after="20"/>
              <w:jc w:val="center"/>
              <w:rPr>
                <w:rFonts w:ascii="Segoe UI" w:hAnsi="Segoe UI" w:cs="Segoe UI"/>
                <w:sz w:val="18"/>
                <w:szCs w:val="18"/>
              </w:rPr>
            </w:pPr>
          </w:p>
        </w:tc>
        <w:tc>
          <w:tcPr>
            <w:tcW w:w="418" w:type="dxa"/>
            <w:tcBorders>
              <w:top w:val="nil"/>
              <w:left w:val="single" w:sz="4" w:space="0" w:color="FFFFFF" w:themeColor="background1"/>
              <w:bottom w:val="single" w:sz="4" w:space="0" w:color="000000"/>
              <w:right w:val="single" w:sz="4" w:space="0" w:color="FFFFFF" w:themeColor="background1"/>
            </w:tcBorders>
            <w:shd w:val="clear" w:color="auto" w:fill="auto"/>
            <w:vAlign w:val="center"/>
          </w:tcPr>
          <w:p w14:paraId="6575DFF5"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nil"/>
              <w:left w:val="single" w:sz="4" w:space="0" w:color="FFFFFF" w:themeColor="background1"/>
              <w:bottom w:val="single" w:sz="4" w:space="0" w:color="000000"/>
              <w:right w:val="single" w:sz="4" w:space="0" w:color="FFFFFF" w:themeColor="background1"/>
            </w:tcBorders>
            <w:shd w:val="clear" w:color="auto" w:fill="auto"/>
          </w:tcPr>
          <w:p w14:paraId="761DA66C"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nil"/>
              <w:left w:val="single" w:sz="4" w:space="0" w:color="FFFFFF" w:themeColor="background1"/>
              <w:bottom w:val="single" w:sz="4" w:space="0" w:color="000000"/>
              <w:right w:val="nil"/>
            </w:tcBorders>
            <w:shd w:val="clear" w:color="auto" w:fill="auto"/>
          </w:tcPr>
          <w:p w14:paraId="6A867711" w14:textId="77777777" w:rsidR="004C0AA6" w:rsidRPr="00B22401" w:rsidRDefault="004C0AA6" w:rsidP="00D8338D">
            <w:pPr>
              <w:spacing w:before="20" w:after="20"/>
              <w:jc w:val="center"/>
              <w:rPr>
                <w:rFonts w:ascii="Segoe UI" w:hAnsi="Segoe UI" w:cs="Segoe UI"/>
                <w:sz w:val="18"/>
                <w:szCs w:val="18"/>
              </w:rPr>
            </w:pPr>
          </w:p>
        </w:tc>
        <w:tc>
          <w:tcPr>
            <w:tcW w:w="452" w:type="dxa"/>
            <w:tcBorders>
              <w:top w:val="nil"/>
              <w:left w:val="nil"/>
              <w:bottom w:val="single" w:sz="4" w:space="0" w:color="000000"/>
              <w:right w:val="nil"/>
            </w:tcBorders>
            <w:shd w:val="clear" w:color="auto" w:fill="auto"/>
          </w:tcPr>
          <w:p w14:paraId="4392AE81" w14:textId="77777777" w:rsidR="004C0AA6" w:rsidRPr="00B22401" w:rsidRDefault="004C0AA6" w:rsidP="00D8338D">
            <w:pPr>
              <w:spacing w:before="20" w:after="20"/>
              <w:jc w:val="center"/>
              <w:rPr>
                <w:rFonts w:ascii="Segoe UI" w:hAnsi="Segoe UI" w:cs="Segoe UI"/>
                <w:sz w:val="18"/>
                <w:szCs w:val="18"/>
              </w:rPr>
            </w:pPr>
          </w:p>
        </w:tc>
        <w:tc>
          <w:tcPr>
            <w:tcW w:w="411" w:type="dxa"/>
            <w:tcBorders>
              <w:top w:val="nil"/>
              <w:left w:val="nil"/>
              <w:bottom w:val="single" w:sz="4" w:space="0" w:color="000000"/>
              <w:right w:val="single" w:sz="4" w:space="0" w:color="auto"/>
            </w:tcBorders>
            <w:shd w:val="clear" w:color="auto" w:fill="auto"/>
          </w:tcPr>
          <w:p w14:paraId="6D3D50D8" w14:textId="77777777" w:rsidR="004C0AA6" w:rsidRPr="00B22401" w:rsidRDefault="004C0AA6" w:rsidP="00D8338D">
            <w:pPr>
              <w:spacing w:before="20" w:after="20"/>
              <w:jc w:val="center"/>
              <w:rPr>
                <w:rFonts w:ascii="Segoe UI" w:hAnsi="Segoe UI" w:cs="Segoe UI"/>
                <w:sz w:val="18"/>
                <w:szCs w:val="18"/>
              </w:rPr>
            </w:pPr>
          </w:p>
        </w:tc>
      </w:tr>
      <w:tr w:rsidR="004C0AA6" w:rsidRPr="00736A50" w14:paraId="1652A4CB" w14:textId="77777777" w:rsidTr="00F05DB1">
        <w:trPr>
          <w:jc w:val="center"/>
        </w:trPr>
        <w:tc>
          <w:tcPr>
            <w:tcW w:w="2921" w:type="dxa"/>
            <w:vMerge w:val="restart"/>
            <w:tcBorders>
              <w:top w:val="single" w:sz="4" w:space="0" w:color="auto"/>
              <w:left w:val="single" w:sz="4" w:space="0" w:color="auto"/>
              <w:bottom w:val="single" w:sz="4" w:space="0" w:color="auto"/>
              <w:right w:val="single" w:sz="4" w:space="0" w:color="auto"/>
            </w:tcBorders>
            <w:shd w:val="clear" w:color="auto" w:fill="auto"/>
          </w:tcPr>
          <w:p w14:paraId="6DC9E540"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Regional, local or municipal budgets</w:t>
            </w:r>
          </w:p>
        </w:tc>
        <w:tc>
          <w:tcPr>
            <w:tcW w:w="643" w:type="dxa"/>
            <w:tcBorders>
              <w:left w:val="single" w:sz="4" w:space="0" w:color="auto"/>
              <w:bottom w:val="nil"/>
              <w:right w:val="single" w:sz="4" w:space="0" w:color="auto"/>
            </w:tcBorders>
            <w:shd w:val="clear" w:color="auto" w:fill="auto"/>
          </w:tcPr>
          <w:p w14:paraId="756CAD40"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SW</w:t>
            </w:r>
          </w:p>
        </w:tc>
        <w:tc>
          <w:tcPr>
            <w:tcW w:w="543" w:type="dxa"/>
            <w:tcBorders>
              <w:left w:val="single" w:sz="4" w:space="0" w:color="auto"/>
              <w:bottom w:val="nil"/>
              <w:right w:val="single" w:sz="4" w:space="0" w:color="FFFFFF" w:themeColor="background1"/>
            </w:tcBorders>
            <w:shd w:val="clear" w:color="auto" w:fill="auto"/>
            <w:vAlign w:val="center"/>
          </w:tcPr>
          <w:p w14:paraId="653F6AC1" w14:textId="77777777" w:rsidR="004C0AA6" w:rsidRPr="00B22401" w:rsidRDefault="004C0AA6" w:rsidP="00D8338D">
            <w:pPr>
              <w:spacing w:before="20" w:after="20"/>
              <w:jc w:val="center"/>
              <w:rPr>
                <w:rFonts w:ascii="Segoe UI" w:hAnsi="Segoe UI" w:cs="Segoe UI"/>
                <w:sz w:val="18"/>
                <w:szCs w:val="18"/>
              </w:rPr>
            </w:pPr>
          </w:p>
        </w:tc>
        <w:tc>
          <w:tcPr>
            <w:tcW w:w="435" w:type="dxa"/>
            <w:tcBorders>
              <w:left w:val="single" w:sz="4" w:space="0" w:color="FFFFFF" w:themeColor="background1"/>
              <w:bottom w:val="nil"/>
              <w:right w:val="single" w:sz="4" w:space="0" w:color="FFFFFF" w:themeColor="background1"/>
            </w:tcBorders>
            <w:shd w:val="clear" w:color="auto" w:fill="auto"/>
            <w:vAlign w:val="center"/>
          </w:tcPr>
          <w:p w14:paraId="4CEF6DB7" w14:textId="77777777" w:rsidR="004C0AA6" w:rsidRPr="00B22401" w:rsidRDefault="004C0AA6" w:rsidP="00D8338D">
            <w:pPr>
              <w:spacing w:before="20" w:after="20"/>
              <w:jc w:val="center"/>
              <w:rPr>
                <w:rFonts w:ascii="Segoe UI" w:hAnsi="Segoe UI" w:cs="Segoe UI"/>
                <w:sz w:val="18"/>
                <w:szCs w:val="18"/>
              </w:rPr>
            </w:pPr>
          </w:p>
        </w:tc>
        <w:tc>
          <w:tcPr>
            <w:tcW w:w="455" w:type="dxa"/>
            <w:tcBorders>
              <w:left w:val="single" w:sz="4" w:space="0" w:color="FFFFFF" w:themeColor="background1"/>
              <w:bottom w:val="nil"/>
              <w:right w:val="single" w:sz="4" w:space="0" w:color="FFFFFF" w:themeColor="background1"/>
            </w:tcBorders>
            <w:shd w:val="clear" w:color="auto" w:fill="auto"/>
            <w:vAlign w:val="center"/>
          </w:tcPr>
          <w:p w14:paraId="1850EC23" w14:textId="77777777" w:rsidR="004C0AA6" w:rsidRPr="00B22401" w:rsidRDefault="004C0AA6" w:rsidP="00D8338D">
            <w:pPr>
              <w:spacing w:before="20" w:after="20"/>
              <w:jc w:val="center"/>
              <w:rPr>
                <w:rFonts w:ascii="Segoe UI" w:hAnsi="Segoe UI" w:cs="Segoe UI"/>
                <w:sz w:val="18"/>
                <w:szCs w:val="18"/>
              </w:rPr>
            </w:pPr>
          </w:p>
        </w:tc>
        <w:tc>
          <w:tcPr>
            <w:tcW w:w="451" w:type="dxa"/>
            <w:tcBorders>
              <w:left w:val="single" w:sz="4" w:space="0" w:color="FFFFFF" w:themeColor="background1"/>
              <w:bottom w:val="nil"/>
              <w:right w:val="single" w:sz="4" w:space="0" w:color="FFFFFF" w:themeColor="background1"/>
            </w:tcBorders>
            <w:shd w:val="clear" w:color="auto" w:fill="auto"/>
            <w:vAlign w:val="center"/>
          </w:tcPr>
          <w:p w14:paraId="737FA858" w14:textId="77777777" w:rsidR="004C0AA6" w:rsidRPr="00B22401" w:rsidRDefault="004C0AA6" w:rsidP="00D8338D">
            <w:pPr>
              <w:spacing w:before="20" w:after="20"/>
              <w:jc w:val="center"/>
              <w:rPr>
                <w:rFonts w:ascii="Segoe UI" w:hAnsi="Segoe UI" w:cs="Segoe UI"/>
                <w:sz w:val="18"/>
                <w:szCs w:val="18"/>
              </w:rPr>
            </w:pPr>
          </w:p>
        </w:tc>
        <w:tc>
          <w:tcPr>
            <w:tcW w:w="436" w:type="dxa"/>
            <w:tcBorders>
              <w:left w:val="single" w:sz="4" w:space="0" w:color="FFFFFF" w:themeColor="background1"/>
              <w:bottom w:val="nil"/>
              <w:right w:val="single" w:sz="4" w:space="0" w:color="FFFFFF" w:themeColor="background1"/>
            </w:tcBorders>
            <w:shd w:val="clear" w:color="auto" w:fill="auto"/>
            <w:vAlign w:val="center"/>
          </w:tcPr>
          <w:p w14:paraId="036A2990" w14:textId="77777777" w:rsidR="004C0AA6" w:rsidRPr="00B22401" w:rsidRDefault="004C0AA6" w:rsidP="00D8338D">
            <w:pPr>
              <w:spacing w:before="20" w:after="20"/>
              <w:jc w:val="center"/>
              <w:rPr>
                <w:rFonts w:ascii="Segoe UI" w:hAnsi="Segoe UI" w:cs="Segoe UI"/>
                <w:sz w:val="18"/>
                <w:szCs w:val="18"/>
              </w:rPr>
            </w:pPr>
          </w:p>
        </w:tc>
        <w:tc>
          <w:tcPr>
            <w:tcW w:w="433" w:type="dxa"/>
            <w:tcBorders>
              <w:left w:val="single" w:sz="4" w:space="0" w:color="FFFFFF" w:themeColor="background1"/>
              <w:bottom w:val="nil"/>
              <w:right w:val="single" w:sz="4" w:space="0" w:color="FFFFFF" w:themeColor="background1"/>
            </w:tcBorders>
            <w:shd w:val="clear" w:color="auto" w:fill="auto"/>
            <w:vAlign w:val="center"/>
          </w:tcPr>
          <w:p w14:paraId="1AC93AE1" w14:textId="77777777" w:rsidR="004C0AA6" w:rsidRPr="00B22401" w:rsidRDefault="004C0AA6" w:rsidP="00D8338D">
            <w:pPr>
              <w:spacing w:before="20" w:after="20"/>
              <w:jc w:val="center"/>
              <w:rPr>
                <w:rFonts w:ascii="Segoe UI" w:hAnsi="Segoe UI" w:cs="Segoe UI"/>
                <w:sz w:val="18"/>
                <w:szCs w:val="18"/>
              </w:rPr>
            </w:pPr>
          </w:p>
        </w:tc>
        <w:tc>
          <w:tcPr>
            <w:tcW w:w="414" w:type="dxa"/>
            <w:tcBorders>
              <w:left w:val="single" w:sz="4" w:space="0" w:color="FFFFFF" w:themeColor="background1"/>
              <w:bottom w:val="nil"/>
              <w:right w:val="single" w:sz="4" w:space="0" w:color="FFFFFF" w:themeColor="background1"/>
            </w:tcBorders>
            <w:shd w:val="clear" w:color="auto" w:fill="auto"/>
            <w:vAlign w:val="center"/>
          </w:tcPr>
          <w:p w14:paraId="34E47ABE" w14:textId="77777777" w:rsidR="004C0AA6" w:rsidRPr="00B22401" w:rsidRDefault="004C0AA6" w:rsidP="00D8338D">
            <w:pPr>
              <w:spacing w:before="20" w:after="20"/>
              <w:jc w:val="center"/>
              <w:rPr>
                <w:rFonts w:ascii="Segoe UI" w:hAnsi="Segoe UI" w:cs="Segoe UI"/>
                <w:sz w:val="18"/>
                <w:szCs w:val="18"/>
              </w:rPr>
            </w:pPr>
          </w:p>
        </w:tc>
        <w:tc>
          <w:tcPr>
            <w:tcW w:w="434" w:type="dxa"/>
            <w:tcBorders>
              <w:left w:val="single" w:sz="4" w:space="0" w:color="FFFFFF" w:themeColor="background1"/>
              <w:bottom w:val="nil"/>
              <w:right w:val="single" w:sz="4" w:space="0" w:color="FFFFFF" w:themeColor="background1"/>
            </w:tcBorders>
            <w:shd w:val="clear" w:color="auto" w:fill="auto"/>
            <w:vAlign w:val="center"/>
          </w:tcPr>
          <w:p w14:paraId="3C459CEC" w14:textId="77777777" w:rsidR="004C0AA6" w:rsidRPr="00B22401" w:rsidRDefault="004C0AA6" w:rsidP="00D8338D">
            <w:pPr>
              <w:spacing w:before="20" w:after="20"/>
              <w:jc w:val="center"/>
              <w:rPr>
                <w:rFonts w:ascii="Segoe UI" w:hAnsi="Segoe UI" w:cs="Segoe UI"/>
                <w:sz w:val="18"/>
                <w:szCs w:val="18"/>
              </w:rPr>
            </w:pPr>
          </w:p>
        </w:tc>
        <w:tc>
          <w:tcPr>
            <w:tcW w:w="427" w:type="dxa"/>
            <w:tcBorders>
              <w:left w:val="single" w:sz="4" w:space="0" w:color="FFFFFF" w:themeColor="background1"/>
              <w:bottom w:val="nil"/>
              <w:right w:val="single" w:sz="4" w:space="0" w:color="FFFFFF" w:themeColor="background1"/>
            </w:tcBorders>
            <w:shd w:val="clear" w:color="auto" w:fill="auto"/>
            <w:vAlign w:val="center"/>
          </w:tcPr>
          <w:p w14:paraId="55A1D1AA" w14:textId="77777777" w:rsidR="004C0AA6" w:rsidRPr="00B22401" w:rsidRDefault="004C0AA6" w:rsidP="00D8338D">
            <w:pPr>
              <w:spacing w:before="20" w:after="20"/>
              <w:jc w:val="center"/>
              <w:rPr>
                <w:rFonts w:ascii="Segoe UI" w:hAnsi="Segoe UI" w:cs="Segoe UI"/>
                <w:sz w:val="18"/>
                <w:szCs w:val="18"/>
              </w:rPr>
            </w:pPr>
          </w:p>
        </w:tc>
        <w:tc>
          <w:tcPr>
            <w:tcW w:w="431" w:type="dxa"/>
            <w:tcBorders>
              <w:left w:val="single" w:sz="4" w:space="0" w:color="FFFFFF" w:themeColor="background1"/>
              <w:bottom w:val="nil"/>
              <w:right w:val="single" w:sz="4" w:space="0" w:color="FFFFFF" w:themeColor="background1"/>
            </w:tcBorders>
            <w:shd w:val="clear" w:color="auto" w:fill="auto"/>
            <w:vAlign w:val="center"/>
          </w:tcPr>
          <w:p w14:paraId="3BF54EFC" w14:textId="77777777" w:rsidR="004C0AA6" w:rsidRPr="00B22401" w:rsidRDefault="004C0AA6" w:rsidP="00D8338D">
            <w:pPr>
              <w:spacing w:before="20" w:after="20"/>
              <w:jc w:val="center"/>
              <w:rPr>
                <w:rFonts w:ascii="Segoe UI" w:hAnsi="Segoe UI" w:cs="Segoe UI"/>
                <w:sz w:val="18"/>
                <w:szCs w:val="18"/>
              </w:rPr>
            </w:pPr>
          </w:p>
        </w:tc>
        <w:tc>
          <w:tcPr>
            <w:tcW w:w="418" w:type="dxa"/>
            <w:tcBorders>
              <w:left w:val="single" w:sz="4" w:space="0" w:color="FFFFFF" w:themeColor="background1"/>
              <w:bottom w:val="nil"/>
              <w:right w:val="single" w:sz="4" w:space="0" w:color="FFFFFF" w:themeColor="background1"/>
            </w:tcBorders>
            <w:shd w:val="clear" w:color="auto" w:fill="auto"/>
            <w:vAlign w:val="center"/>
          </w:tcPr>
          <w:p w14:paraId="4CE3E66C" w14:textId="77777777" w:rsidR="004C0AA6" w:rsidRPr="00B22401" w:rsidRDefault="004C0AA6" w:rsidP="00D8338D">
            <w:pPr>
              <w:spacing w:before="20" w:after="20"/>
              <w:jc w:val="center"/>
              <w:rPr>
                <w:rFonts w:ascii="Segoe UI" w:hAnsi="Segoe UI" w:cs="Segoe UI"/>
                <w:sz w:val="18"/>
                <w:szCs w:val="18"/>
              </w:rPr>
            </w:pPr>
          </w:p>
        </w:tc>
        <w:tc>
          <w:tcPr>
            <w:tcW w:w="436" w:type="dxa"/>
            <w:tcBorders>
              <w:left w:val="single" w:sz="4" w:space="0" w:color="FFFFFF" w:themeColor="background1"/>
              <w:bottom w:val="nil"/>
              <w:right w:val="single" w:sz="4" w:space="0" w:color="FFFFFF" w:themeColor="background1"/>
            </w:tcBorders>
            <w:shd w:val="clear" w:color="auto" w:fill="auto"/>
          </w:tcPr>
          <w:p w14:paraId="5E0BA502" w14:textId="77777777" w:rsidR="004C0AA6" w:rsidRPr="00B22401" w:rsidRDefault="004C0AA6" w:rsidP="00D8338D">
            <w:pPr>
              <w:spacing w:before="20" w:after="20"/>
              <w:jc w:val="center"/>
              <w:rPr>
                <w:rFonts w:ascii="Segoe UI" w:hAnsi="Segoe UI" w:cs="Segoe UI"/>
                <w:sz w:val="18"/>
                <w:szCs w:val="18"/>
              </w:rPr>
            </w:pPr>
          </w:p>
        </w:tc>
        <w:tc>
          <w:tcPr>
            <w:tcW w:w="460" w:type="dxa"/>
            <w:tcBorders>
              <w:left w:val="single" w:sz="4" w:space="0" w:color="FFFFFF" w:themeColor="background1"/>
              <w:bottom w:val="nil"/>
              <w:right w:val="nil"/>
            </w:tcBorders>
            <w:shd w:val="clear" w:color="auto" w:fill="auto"/>
          </w:tcPr>
          <w:p w14:paraId="7FC62D84" w14:textId="77777777" w:rsidR="004C0AA6" w:rsidRPr="00B22401" w:rsidRDefault="004C0AA6" w:rsidP="00D8338D">
            <w:pPr>
              <w:spacing w:before="20" w:after="20"/>
              <w:jc w:val="center"/>
              <w:rPr>
                <w:rFonts w:ascii="Segoe UI" w:hAnsi="Segoe UI" w:cs="Segoe UI"/>
                <w:sz w:val="18"/>
                <w:szCs w:val="18"/>
              </w:rPr>
            </w:pPr>
          </w:p>
        </w:tc>
        <w:tc>
          <w:tcPr>
            <w:tcW w:w="452" w:type="dxa"/>
            <w:tcBorders>
              <w:left w:val="nil"/>
              <w:bottom w:val="nil"/>
              <w:right w:val="nil"/>
            </w:tcBorders>
            <w:shd w:val="clear" w:color="auto" w:fill="auto"/>
          </w:tcPr>
          <w:p w14:paraId="70CD2174" w14:textId="77777777" w:rsidR="004C0AA6" w:rsidRPr="00B22401" w:rsidRDefault="004C0AA6" w:rsidP="00D8338D">
            <w:pPr>
              <w:spacing w:before="20" w:after="20"/>
              <w:jc w:val="center"/>
              <w:rPr>
                <w:rFonts w:ascii="Segoe UI" w:hAnsi="Segoe UI" w:cs="Segoe UI"/>
                <w:sz w:val="18"/>
                <w:szCs w:val="18"/>
              </w:rPr>
            </w:pPr>
          </w:p>
        </w:tc>
        <w:tc>
          <w:tcPr>
            <w:tcW w:w="411" w:type="dxa"/>
            <w:tcBorders>
              <w:left w:val="nil"/>
              <w:bottom w:val="nil"/>
              <w:right w:val="single" w:sz="4" w:space="0" w:color="auto"/>
            </w:tcBorders>
            <w:shd w:val="clear" w:color="auto" w:fill="auto"/>
          </w:tcPr>
          <w:p w14:paraId="08894CC4" w14:textId="77777777" w:rsidR="004C0AA6" w:rsidRPr="00B22401" w:rsidRDefault="004C0AA6" w:rsidP="00D8338D">
            <w:pPr>
              <w:spacing w:before="20" w:after="20"/>
              <w:jc w:val="center"/>
              <w:rPr>
                <w:rFonts w:ascii="Segoe UI" w:hAnsi="Segoe UI" w:cs="Segoe UI"/>
                <w:sz w:val="18"/>
                <w:szCs w:val="18"/>
              </w:rPr>
            </w:pPr>
          </w:p>
        </w:tc>
      </w:tr>
      <w:tr w:rsidR="004C0AA6" w:rsidRPr="00736A50" w14:paraId="5D336CD5" w14:textId="77777777" w:rsidTr="00F05DB1">
        <w:trPr>
          <w:jc w:val="center"/>
        </w:trPr>
        <w:tc>
          <w:tcPr>
            <w:tcW w:w="2921" w:type="dxa"/>
            <w:vMerge/>
            <w:tcBorders>
              <w:left w:val="single" w:sz="4" w:space="0" w:color="auto"/>
              <w:bottom w:val="single" w:sz="4" w:space="0" w:color="auto"/>
              <w:right w:val="single" w:sz="4" w:space="0" w:color="auto"/>
            </w:tcBorders>
            <w:shd w:val="clear" w:color="auto" w:fill="auto"/>
          </w:tcPr>
          <w:p w14:paraId="7B88ABF3" w14:textId="77777777" w:rsidR="004C0AA6" w:rsidRPr="00B22401" w:rsidRDefault="004C0AA6" w:rsidP="00D8338D">
            <w:pPr>
              <w:spacing w:before="20" w:after="20"/>
              <w:rPr>
                <w:rFonts w:ascii="Segoe UI" w:hAnsi="Segoe UI" w:cs="Segoe UI"/>
                <w:sz w:val="18"/>
                <w:szCs w:val="18"/>
              </w:rPr>
            </w:pPr>
          </w:p>
        </w:tc>
        <w:tc>
          <w:tcPr>
            <w:tcW w:w="643" w:type="dxa"/>
            <w:tcBorders>
              <w:top w:val="nil"/>
              <w:left w:val="single" w:sz="4" w:space="0" w:color="auto"/>
              <w:bottom w:val="single" w:sz="4" w:space="0" w:color="auto"/>
              <w:right w:val="single" w:sz="4" w:space="0" w:color="auto"/>
            </w:tcBorders>
            <w:shd w:val="clear" w:color="auto" w:fill="auto"/>
          </w:tcPr>
          <w:p w14:paraId="45398FEC"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GW</w:t>
            </w:r>
          </w:p>
        </w:tc>
        <w:tc>
          <w:tcPr>
            <w:tcW w:w="543" w:type="dxa"/>
            <w:tcBorders>
              <w:top w:val="nil"/>
              <w:left w:val="single" w:sz="4" w:space="0" w:color="auto"/>
              <w:bottom w:val="single" w:sz="4" w:space="0" w:color="auto"/>
              <w:right w:val="single" w:sz="4" w:space="0" w:color="FFFFFF" w:themeColor="background1"/>
            </w:tcBorders>
            <w:shd w:val="clear" w:color="auto" w:fill="C6D9F1" w:themeFill="text2" w:themeFillTint="33"/>
            <w:vAlign w:val="center"/>
          </w:tcPr>
          <w:p w14:paraId="4C533A4F"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CZ</w:t>
            </w:r>
          </w:p>
        </w:tc>
        <w:tc>
          <w:tcPr>
            <w:tcW w:w="435"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2FF0BFEB" w14:textId="77777777" w:rsidR="004C0AA6" w:rsidRPr="00B22401" w:rsidRDefault="004C0AA6" w:rsidP="00D8338D">
            <w:pPr>
              <w:spacing w:before="20" w:after="20"/>
              <w:jc w:val="center"/>
              <w:rPr>
                <w:rFonts w:ascii="Segoe UI" w:hAnsi="Segoe UI" w:cs="Segoe UI"/>
                <w:sz w:val="18"/>
                <w:szCs w:val="18"/>
              </w:rPr>
            </w:pPr>
          </w:p>
        </w:tc>
        <w:tc>
          <w:tcPr>
            <w:tcW w:w="455"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41FF5E55" w14:textId="77777777" w:rsidR="004C0AA6" w:rsidRPr="00B22401" w:rsidRDefault="004C0AA6" w:rsidP="00D8338D">
            <w:pPr>
              <w:spacing w:before="20" w:after="20"/>
              <w:jc w:val="center"/>
              <w:rPr>
                <w:rFonts w:ascii="Segoe UI" w:hAnsi="Segoe UI" w:cs="Segoe UI"/>
                <w:sz w:val="18"/>
                <w:szCs w:val="18"/>
              </w:rPr>
            </w:pPr>
          </w:p>
        </w:tc>
        <w:tc>
          <w:tcPr>
            <w:tcW w:w="451"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7CD2B30C"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3A2BE133" w14:textId="77777777" w:rsidR="004C0AA6" w:rsidRPr="00B22401" w:rsidRDefault="004C0AA6" w:rsidP="00D8338D">
            <w:pPr>
              <w:spacing w:before="20" w:after="20"/>
              <w:jc w:val="center"/>
              <w:rPr>
                <w:rFonts w:ascii="Segoe UI" w:hAnsi="Segoe UI" w:cs="Segoe UI"/>
                <w:sz w:val="18"/>
                <w:szCs w:val="18"/>
              </w:rPr>
            </w:pPr>
          </w:p>
        </w:tc>
        <w:tc>
          <w:tcPr>
            <w:tcW w:w="433"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406B3586" w14:textId="77777777" w:rsidR="004C0AA6" w:rsidRPr="00B22401" w:rsidRDefault="004C0AA6" w:rsidP="00D8338D">
            <w:pPr>
              <w:spacing w:before="20" w:after="20"/>
              <w:jc w:val="center"/>
              <w:rPr>
                <w:rFonts w:ascii="Segoe UI" w:hAnsi="Segoe UI" w:cs="Segoe UI"/>
                <w:sz w:val="18"/>
                <w:szCs w:val="18"/>
              </w:rPr>
            </w:pPr>
          </w:p>
        </w:tc>
        <w:tc>
          <w:tcPr>
            <w:tcW w:w="414"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6BF120E8" w14:textId="77777777" w:rsidR="004C0AA6" w:rsidRPr="00B22401" w:rsidRDefault="004C0AA6" w:rsidP="00D8338D">
            <w:pPr>
              <w:spacing w:before="20" w:after="20"/>
              <w:jc w:val="center"/>
              <w:rPr>
                <w:rFonts w:ascii="Segoe UI" w:hAnsi="Segoe UI" w:cs="Segoe UI"/>
                <w:sz w:val="18"/>
                <w:szCs w:val="18"/>
              </w:rPr>
            </w:pPr>
          </w:p>
        </w:tc>
        <w:tc>
          <w:tcPr>
            <w:tcW w:w="434"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1C884C36" w14:textId="77777777" w:rsidR="004C0AA6" w:rsidRPr="00B22401" w:rsidRDefault="004C0AA6" w:rsidP="00D8338D">
            <w:pPr>
              <w:spacing w:before="20" w:after="20"/>
              <w:jc w:val="center"/>
              <w:rPr>
                <w:rFonts w:ascii="Segoe UI" w:hAnsi="Segoe UI" w:cs="Segoe UI"/>
                <w:sz w:val="18"/>
                <w:szCs w:val="18"/>
              </w:rPr>
            </w:pPr>
          </w:p>
        </w:tc>
        <w:tc>
          <w:tcPr>
            <w:tcW w:w="427"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33E064B2"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4283D987" w14:textId="77777777" w:rsidR="004C0AA6" w:rsidRPr="00B22401" w:rsidRDefault="004C0AA6" w:rsidP="00D8338D">
            <w:pPr>
              <w:spacing w:before="20" w:after="20"/>
              <w:jc w:val="center"/>
              <w:rPr>
                <w:rFonts w:ascii="Segoe UI" w:hAnsi="Segoe UI" w:cs="Segoe UI"/>
                <w:sz w:val="18"/>
                <w:szCs w:val="18"/>
              </w:rPr>
            </w:pPr>
          </w:p>
        </w:tc>
        <w:tc>
          <w:tcPr>
            <w:tcW w:w="418" w:type="dxa"/>
            <w:tcBorders>
              <w:top w:val="nil"/>
              <w:left w:val="single" w:sz="4" w:space="0" w:color="FFFFFF" w:themeColor="background1"/>
              <w:bottom w:val="single" w:sz="4" w:space="0" w:color="auto"/>
              <w:right w:val="single" w:sz="4" w:space="0" w:color="FFFFFF" w:themeColor="background1"/>
            </w:tcBorders>
            <w:shd w:val="clear" w:color="auto" w:fill="auto"/>
            <w:vAlign w:val="center"/>
          </w:tcPr>
          <w:p w14:paraId="573CFA37"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nil"/>
              <w:left w:val="single" w:sz="4" w:space="0" w:color="FFFFFF" w:themeColor="background1"/>
              <w:bottom w:val="single" w:sz="4" w:space="0" w:color="auto"/>
              <w:right w:val="single" w:sz="4" w:space="0" w:color="FFFFFF" w:themeColor="background1"/>
            </w:tcBorders>
            <w:shd w:val="clear" w:color="auto" w:fill="auto"/>
          </w:tcPr>
          <w:p w14:paraId="5957F894" w14:textId="77777777" w:rsidR="004C0AA6" w:rsidRPr="00B22401" w:rsidRDefault="004C0AA6" w:rsidP="00D8338D">
            <w:pPr>
              <w:spacing w:before="20" w:after="20"/>
              <w:jc w:val="center"/>
              <w:rPr>
                <w:rFonts w:ascii="Segoe UI" w:hAnsi="Segoe UI" w:cs="Segoe UI"/>
                <w:sz w:val="18"/>
                <w:szCs w:val="18"/>
              </w:rPr>
            </w:pPr>
          </w:p>
        </w:tc>
        <w:tc>
          <w:tcPr>
            <w:tcW w:w="460" w:type="dxa"/>
            <w:tcBorders>
              <w:top w:val="nil"/>
              <w:left w:val="single" w:sz="4" w:space="0" w:color="FFFFFF" w:themeColor="background1"/>
              <w:bottom w:val="single" w:sz="4" w:space="0" w:color="auto"/>
              <w:right w:val="nil"/>
            </w:tcBorders>
            <w:shd w:val="clear" w:color="auto" w:fill="auto"/>
          </w:tcPr>
          <w:p w14:paraId="1EE8357C" w14:textId="77777777" w:rsidR="004C0AA6" w:rsidRPr="00B22401" w:rsidRDefault="004C0AA6" w:rsidP="00D8338D">
            <w:pPr>
              <w:spacing w:before="20" w:after="20"/>
              <w:jc w:val="center"/>
              <w:rPr>
                <w:rFonts w:ascii="Segoe UI" w:hAnsi="Segoe UI" w:cs="Segoe UI"/>
                <w:sz w:val="18"/>
                <w:szCs w:val="18"/>
              </w:rPr>
            </w:pPr>
          </w:p>
        </w:tc>
        <w:tc>
          <w:tcPr>
            <w:tcW w:w="452" w:type="dxa"/>
            <w:tcBorders>
              <w:top w:val="nil"/>
              <w:left w:val="nil"/>
              <w:bottom w:val="single" w:sz="4" w:space="0" w:color="auto"/>
              <w:right w:val="nil"/>
            </w:tcBorders>
            <w:shd w:val="clear" w:color="auto" w:fill="auto"/>
          </w:tcPr>
          <w:p w14:paraId="4D58A937" w14:textId="77777777" w:rsidR="004C0AA6" w:rsidRPr="00B22401" w:rsidRDefault="004C0AA6" w:rsidP="00D8338D">
            <w:pPr>
              <w:spacing w:before="20" w:after="20"/>
              <w:jc w:val="center"/>
              <w:rPr>
                <w:rFonts w:ascii="Segoe UI" w:hAnsi="Segoe UI" w:cs="Segoe UI"/>
                <w:sz w:val="18"/>
                <w:szCs w:val="18"/>
              </w:rPr>
            </w:pPr>
          </w:p>
        </w:tc>
        <w:tc>
          <w:tcPr>
            <w:tcW w:w="411" w:type="dxa"/>
            <w:tcBorders>
              <w:top w:val="nil"/>
              <w:left w:val="nil"/>
              <w:bottom w:val="single" w:sz="4" w:space="0" w:color="auto"/>
              <w:right w:val="single" w:sz="4" w:space="0" w:color="auto"/>
            </w:tcBorders>
            <w:shd w:val="clear" w:color="auto" w:fill="auto"/>
          </w:tcPr>
          <w:p w14:paraId="5D6094A5" w14:textId="77777777" w:rsidR="004C0AA6" w:rsidRPr="00B22401" w:rsidRDefault="004C0AA6" w:rsidP="00D8338D">
            <w:pPr>
              <w:spacing w:before="20" w:after="20"/>
              <w:jc w:val="center"/>
              <w:rPr>
                <w:rFonts w:ascii="Segoe UI" w:hAnsi="Segoe UI" w:cs="Segoe UI"/>
                <w:sz w:val="18"/>
                <w:szCs w:val="18"/>
              </w:rPr>
            </w:pPr>
          </w:p>
        </w:tc>
      </w:tr>
      <w:tr w:rsidR="004C0AA6" w:rsidRPr="00736A50" w14:paraId="41A9AA1C" w14:textId="77777777" w:rsidTr="00F05DB1">
        <w:trPr>
          <w:jc w:val="center"/>
        </w:trPr>
        <w:tc>
          <w:tcPr>
            <w:tcW w:w="3564" w:type="dxa"/>
            <w:gridSpan w:val="2"/>
            <w:tcBorders>
              <w:top w:val="single" w:sz="4" w:space="0" w:color="auto"/>
              <w:left w:val="single" w:sz="4" w:space="0" w:color="auto"/>
              <w:bottom w:val="single" w:sz="4" w:space="0" w:color="auto"/>
              <w:right w:val="single" w:sz="4" w:space="0" w:color="auto"/>
            </w:tcBorders>
            <w:shd w:val="clear" w:color="auto" w:fill="auto"/>
          </w:tcPr>
          <w:p w14:paraId="18E320FD"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No info/ unclear/ several uses</w:t>
            </w:r>
          </w:p>
        </w:tc>
        <w:tc>
          <w:tcPr>
            <w:tcW w:w="543" w:type="dxa"/>
            <w:tcBorders>
              <w:left w:val="single" w:sz="4" w:space="0" w:color="auto"/>
              <w:bottom w:val="single" w:sz="4" w:space="0" w:color="auto"/>
              <w:right w:val="single" w:sz="4" w:space="0" w:color="FFFFFF" w:themeColor="background1"/>
            </w:tcBorders>
            <w:shd w:val="clear" w:color="auto" w:fill="C6D9F1" w:themeFill="text2" w:themeFillTint="33"/>
            <w:vAlign w:val="center"/>
          </w:tcPr>
          <w:p w14:paraId="5C755C2E"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ES</w:t>
            </w:r>
          </w:p>
        </w:tc>
        <w:tc>
          <w:tcPr>
            <w:tcW w:w="435" w:type="dxa"/>
            <w:tcBorders>
              <w:left w:val="single" w:sz="4" w:space="0" w:color="FFFFFF" w:themeColor="background1"/>
              <w:bottom w:val="single" w:sz="4" w:space="0" w:color="auto"/>
              <w:right w:val="single" w:sz="4" w:space="0" w:color="FFFFFF" w:themeColor="background1"/>
            </w:tcBorders>
            <w:shd w:val="clear" w:color="auto" w:fill="C6D9F1" w:themeFill="text2" w:themeFillTint="33"/>
            <w:vAlign w:val="center"/>
          </w:tcPr>
          <w:p w14:paraId="1D5E3B7C"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SI</w:t>
            </w:r>
          </w:p>
        </w:tc>
        <w:tc>
          <w:tcPr>
            <w:tcW w:w="455"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431CD7AB" w14:textId="77777777" w:rsidR="004C0AA6" w:rsidRPr="00B22401" w:rsidRDefault="004C0AA6" w:rsidP="00D8338D">
            <w:pPr>
              <w:spacing w:before="20" w:after="20"/>
              <w:jc w:val="center"/>
              <w:rPr>
                <w:rFonts w:ascii="Segoe UI" w:hAnsi="Segoe UI" w:cs="Segoe UI"/>
                <w:sz w:val="18"/>
                <w:szCs w:val="18"/>
              </w:rPr>
            </w:pPr>
          </w:p>
        </w:tc>
        <w:tc>
          <w:tcPr>
            <w:tcW w:w="451"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448A89DF" w14:textId="77777777" w:rsidR="004C0AA6" w:rsidRPr="00B22401" w:rsidRDefault="004C0AA6" w:rsidP="00D8338D">
            <w:pPr>
              <w:spacing w:before="20" w:after="20"/>
              <w:jc w:val="center"/>
              <w:rPr>
                <w:rFonts w:ascii="Segoe UI" w:hAnsi="Segoe UI" w:cs="Segoe UI"/>
                <w:sz w:val="18"/>
                <w:szCs w:val="18"/>
              </w:rPr>
            </w:pPr>
          </w:p>
        </w:tc>
        <w:tc>
          <w:tcPr>
            <w:tcW w:w="436"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11D8062F" w14:textId="77777777" w:rsidR="004C0AA6" w:rsidRPr="00B22401" w:rsidRDefault="004C0AA6" w:rsidP="00D8338D">
            <w:pPr>
              <w:spacing w:before="20" w:after="20"/>
              <w:jc w:val="center"/>
              <w:rPr>
                <w:rFonts w:ascii="Segoe UI" w:hAnsi="Segoe UI" w:cs="Segoe UI"/>
                <w:sz w:val="18"/>
                <w:szCs w:val="18"/>
              </w:rPr>
            </w:pPr>
          </w:p>
        </w:tc>
        <w:tc>
          <w:tcPr>
            <w:tcW w:w="433"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2771E835" w14:textId="77777777" w:rsidR="004C0AA6" w:rsidRPr="00B22401" w:rsidRDefault="004C0AA6" w:rsidP="00D8338D">
            <w:pPr>
              <w:spacing w:before="20" w:after="20"/>
              <w:jc w:val="center"/>
              <w:rPr>
                <w:rFonts w:ascii="Segoe UI" w:hAnsi="Segoe UI" w:cs="Segoe UI"/>
                <w:sz w:val="18"/>
                <w:szCs w:val="18"/>
              </w:rPr>
            </w:pPr>
          </w:p>
        </w:tc>
        <w:tc>
          <w:tcPr>
            <w:tcW w:w="414"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57E5F665" w14:textId="77777777" w:rsidR="004C0AA6" w:rsidRPr="00B22401" w:rsidRDefault="004C0AA6" w:rsidP="00D8338D">
            <w:pPr>
              <w:spacing w:before="20" w:after="20"/>
              <w:jc w:val="center"/>
              <w:rPr>
                <w:rFonts w:ascii="Segoe UI" w:hAnsi="Segoe UI" w:cs="Segoe UI"/>
                <w:sz w:val="18"/>
                <w:szCs w:val="18"/>
              </w:rPr>
            </w:pPr>
          </w:p>
        </w:tc>
        <w:tc>
          <w:tcPr>
            <w:tcW w:w="434"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2C2A62ED" w14:textId="77777777" w:rsidR="004C0AA6" w:rsidRPr="00B22401" w:rsidRDefault="004C0AA6" w:rsidP="00D8338D">
            <w:pPr>
              <w:spacing w:before="20" w:after="20"/>
              <w:jc w:val="center"/>
              <w:rPr>
                <w:rFonts w:ascii="Segoe UI" w:hAnsi="Segoe UI" w:cs="Segoe UI"/>
                <w:sz w:val="18"/>
                <w:szCs w:val="18"/>
              </w:rPr>
            </w:pPr>
          </w:p>
        </w:tc>
        <w:tc>
          <w:tcPr>
            <w:tcW w:w="427"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7121D697" w14:textId="77777777" w:rsidR="004C0AA6" w:rsidRPr="00B22401" w:rsidRDefault="004C0AA6" w:rsidP="00D8338D">
            <w:pPr>
              <w:spacing w:before="20" w:after="20"/>
              <w:jc w:val="center"/>
              <w:rPr>
                <w:rFonts w:ascii="Segoe UI" w:hAnsi="Segoe UI" w:cs="Segoe UI"/>
                <w:sz w:val="18"/>
                <w:szCs w:val="18"/>
              </w:rPr>
            </w:pPr>
          </w:p>
        </w:tc>
        <w:tc>
          <w:tcPr>
            <w:tcW w:w="431"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3A325D69" w14:textId="77777777" w:rsidR="004C0AA6" w:rsidRPr="00B22401" w:rsidRDefault="004C0AA6" w:rsidP="00D8338D">
            <w:pPr>
              <w:spacing w:before="20" w:after="20"/>
              <w:jc w:val="center"/>
              <w:rPr>
                <w:rFonts w:ascii="Segoe UI" w:hAnsi="Segoe UI" w:cs="Segoe UI"/>
                <w:sz w:val="18"/>
                <w:szCs w:val="18"/>
              </w:rPr>
            </w:pPr>
          </w:p>
        </w:tc>
        <w:tc>
          <w:tcPr>
            <w:tcW w:w="418"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3936570B" w14:textId="77777777" w:rsidR="004C0AA6" w:rsidRPr="00B22401" w:rsidRDefault="004C0AA6" w:rsidP="00D8338D">
            <w:pPr>
              <w:spacing w:before="20" w:after="20"/>
              <w:jc w:val="center"/>
              <w:rPr>
                <w:rFonts w:ascii="Segoe UI" w:hAnsi="Segoe UI" w:cs="Segoe UI"/>
                <w:sz w:val="18"/>
                <w:szCs w:val="18"/>
              </w:rPr>
            </w:pPr>
          </w:p>
        </w:tc>
        <w:tc>
          <w:tcPr>
            <w:tcW w:w="436" w:type="dxa"/>
            <w:tcBorders>
              <w:left w:val="single" w:sz="4" w:space="0" w:color="FFFFFF" w:themeColor="background1"/>
              <w:bottom w:val="single" w:sz="4" w:space="0" w:color="auto"/>
              <w:right w:val="single" w:sz="4" w:space="0" w:color="FFFFFF" w:themeColor="background1"/>
            </w:tcBorders>
            <w:shd w:val="clear" w:color="auto" w:fill="auto"/>
          </w:tcPr>
          <w:p w14:paraId="74B608ED" w14:textId="77777777" w:rsidR="004C0AA6" w:rsidRPr="00B22401" w:rsidRDefault="004C0AA6" w:rsidP="00D8338D">
            <w:pPr>
              <w:spacing w:before="20" w:after="20"/>
              <w:jc w:val="center"/>
              <w:rPr>
                <w:rFonts w:ascii="Segoe UI" w:hAnsi="Segoe UI" w:cs="Segoe UI"/>
                <w:sz w:val="18"/>
                <w:szCs w:val="18"/>
              </w:rPr>
            </w:pPr>
          </w:p>
        </w:tc>
        <w:tc>
          <w:tcPr>
            <w:tcW w:w="460" w:type="dxa"/>
            <w:tcBorders>
              <w:left w:val="single" w:sz="4" w:space="0" w:color="FFFFFF" w:themeColor="background1"/>
              <w:bottom w:val="single" w:sz="4" w:space="0" w:color="auto"/>
              <w:right w:val="nil"/>
            </w:tcBorders>
            <w:shd w:val="clear" w:color="auto" w:fill="auto"/>
          </w:tcPr>
          <w:p w14:paraId="06815454" w14:textId="77777777" w:rsidR="004C0AA6" w:rsidRPr="00B22401" w:rsidRDefault="004C0AA6" w:rsidP="00D8338D">
            <w:pPr>
              <w:spacing w:before="20" w:after="20"/>
              <w:jc w:val="center"/>
              <w:rPr>
                <w:rFonts w:ascii="Segoe UI" w:hAnsi="Segoe UI" w:cs="Segoe UI"/>
                <w:sz w:val="18"/>
                <w:szCs w:val="18"/>
              </w:rPr>
            </w:pPr>
          </w:p>
        </w:tc>
        <w:tc>
          <w:tcPr>
            <w:tcW w:w="452" w:type="dxa"/>
            <w:tcBorders>
              <w:left w:val="nil"/>
              <w:bottom w:val="single" w:sz="4" w:space="0" w:color="auto"/>
              <w:right w:val="nil"/>
            </w:tcBorders>
            <w:shd w:val="clear" w:color="auto" w:fill="auto"/>
          </w:tcPr>
          <w:p w14:paraId="2A8CC11B" w14:textId="77777777" w:rsidR="004C0AA6" w:rsidRPr="00B22401" w:rsidRDefault="004C0AA6" w:rsidP="00D8338D">
            <w:pPr>
              <w:spacing w:before="20" w:after="20"/>
              <w:jc w:val="center"/>
              <w:rPr>
                <w:rFonts w:ascii="Segoe UI" w:hAnsi="Segoe UI" w:cs="Segoe UI"/>
                <w:sz w:val="18"/>
                <w:szCs w:val="18"/>
              </w:rPr>
            </w:pPr>
          </w:p>
        </w:tc>
        <w:tc>
          <w:tcPr>
            <w:tcW w:w="411" w:type="dxa"/>
            <w:tcBorders>
              <w:left w:val="nil"/>
              <w:bottom w:val="single" w:sz="4" w:space="0" w:color="auto"/>
              <w:right w:val="single" w:sz="4" w:space="0" w:color="auto"/>
            </w:tcBorders>
            <w:shd w:val="clear" w:color="auto" w:fill="auto"/>
          </w:tcPr>
          <w:p w14:paraId="74D8F130" w14:textId="77777777" w:rsidR="004C0AA6" w:rsidRPr="00B22401" w:rsidRDefault="004C0AA6" w:rsidP="00D8338D">
            <w:pPr>
              <w:spacing w:before="20" w:after="20"/>
              <w:jc w:val="center"/>
              <w:rPr>
                <w:rFonts w:ascii="Segoe UI" w:hAnsi="Segoe UI" w:cs="Segoe UI"/>
                <w:sz w:val="18"/>
                <w:szCs w:val="18"/>
              </w:rPr>
            </w:pPr>
          </w:p>
        </w:tc>
      </w:tr>
    </w:tbl>
    <w:p w14:paraId="24EFCEC3" w14:textId="4BFABE33" w:rsidR="004C0AA6" w:rsidRPr="00F05DB1" w:rsidRDefault="004C0AA6" w:rsidP="004C0AA6">
      <w:pPr>
        <w:pStyle w:val="WDBullets"/>
        <w:numPr>
          <w:ilvl w:val="0"/>
          <w:numId w:val="0"/>
        </w:numPr>
        <w:spacing w:before="40"/>
        <w:rPr>
          <w:rFonts w:ascii="Verdana" w:hAnsi="Verdana"/>
          <w:sz w:val="16"/>
          <w:szCs w:val="16"/>
        </w:rPr>
      </w:pPr>
      <w:r w:rsidRPr="00F05DB1">
        <w:rPr>
          <w:rFonts w:ascii="Verdana" w:hAnsi="Verdana"/>
          <w:sz w:val="16"/>
          <w:szCs w:val="16"/>
        </w:rPr>
        <w:t>* In specific cases, the charge is collected by the local governments of the municipalities, and revenues collected are used for qualitative and quantitative protection of soil and the sub-surface water and groundwater.</w:t>
      </w:r>
    </w:p>
    <w:p w14:paraId="6F0DC6E5" w14:textId="77777777" w:rsidR="00761ED4" w:rsidRDefault="00761ED4" w:rsidP="004C0AA6">
      <w:pPr>
        <w:pStyle w:val="WDBullets"/>
        <w:numPr>
          <w:ilvl w:val="0"/>
          <w:numId w:val="0"/>
        </w:numPr>
        <w:jc w:val="both"/>
      </w:pPr>
    </w:p>
    <w:p w14:paraId="1EDBD979" w14:textId="700AF2B4" w:rsidR="004C0AA6" w:rsidRPr="001A7166" w:rsidRDefault="004C0AA6" w:rsidP="00753B14">
      <w:pPr>
        <w:pStyle w:val="Body"/>
        <w:rPr>
          <w:lang w:val="en-US"/>
        </w:rPr>
      </w:pPr>
      <w:r w:rsidRPr="001A7166">
        <w:rPr>
          <w:lang w:val="en-US"/>
        </w:rPr>
        <w:t>Revenues from other charges on significant water uses, are also allocated to water management in some cases (see for example the case of Netherlands above), although in many cases information on the allocation of these revenues is not available.</w:t>
      </w:r>
    </w:p>
    <w:p w14:paraId="7332A722" w14:textId="77777777" w:rsidR="004C0AA6" w:rsidRPr="004C0AA6" w:rsidRDefault="004C0AA6" w:rsidP="00753B14">
      <w:pPr>
        <w:pStyle w:val="Body"/>
        <w:rPr>
          <w:lang w:val="en-US"/>
        </w:rPr>
      </w:pPr>
      <w:r w:rsidRPr="004C0AA6">
        <w:rPr>
          <w:lang w:val="en-US"/>
        </w:rPr>
        <w:t>In France, these charges are all used to finance water management, although in different ways:</w:t>
      </w:r>
    </w:p>
    <w:p w14:paraId="7942BBAF" w14:textId="77777777" w:rsidR="004C0AA6" w:rsidRPr="004C0AA6" w:rsidRDefault="004C0AA6" w:rsidP="00A13462">
      <w:pPr>
        <w:pStyle w:val="Body"/>
        <w:numPr>
          <w:ilvl w:val="0"/>
          <w:numId w:val="36"/>
        </w:numPr>
        <w:spacing w:after="160" w:line="240" w:lineRule="atLeast"/>
        <w:rPr>
          <w:lang w:val="en-US"/>
        </w:rPr>
      </w:pPr>
      <w:r w:rsidRPr="004C0AA6">
        <w:rPr>
          <w:lang w:val="en-US"/>
        </w:rPr>
        <w:t>Revenues from the navigation fee are used to maintain facilities such as sewage disposal, water points and electricity charging points (unclear which institution is in charge);</w:t>
      </w:r>
    </w:p>
    <w:p w14:paraId="10271DFD" w14:textId="77777777" w:rsidR="004C0AA6" w:rsidRPr="004C0AA6" w:rsidRDefault="004C0AA6" w:rsidP="00A13462">
      <w:pPr>
        <w:pStyle w:val="Body"/>
        <w:numPr>
          <w:ilvl w:val="0"/>
          <w:numId w:val="36"/>
        </w:numPr>
        <w:spacing w:after="160" w:line="240" w:lineRule="atLeast"/>
        <w:rPr>
          <w:lang w:val="en-US"/>
        </w:rPr>
      </w:pPr>
      <w:r w:rsidRPr="004C0AA6">
        <w:rPr>
          <w:lang w:val="en-US"/>
        </w:rPr>
        <w:t>The Hydraulic Fee is paid by all the managers of a structure or a management which takes or discharges water on the public river domain as well as the one which uses its driving force. Revenues are collected by Voies Navigables de France, the institution in charge of managing fluvial transport, contributing to global land and water management in the country, and make up to 25% of its budget;</w:t>
      </w:r>
    </w:p>
    <w:p w14:paraId="47B63EAA" w14:textId="77777777" w:rsidR="004C0AA6" w:rsidRPr="004C0AA6" w:rsidRDefault="004C0AA6" w:rsidP="00A13462">
      <w:pPr>
        <w:pStyle w:val="Body"/>
        <w:numPr>
          <w:ilvl w:val="0"/>
          <w:numId w:val="36"/>
        </w:numPr>
        <w:spacing w:after="160" w:line="240" w:lineRule="atLeast"/>
        <w:rPr>
          <w:lang w:val="en-US"/>
        </w:rPr>
      </w:pPr>
      <w:r w:rsidRPr="004C0AA6">
        <w:rPr>
          <w:lang w:val="en-US"/>
        </w:rPr>
        <w:t>The diffuse pollution charge is charged and collected by Water Agencies. Around 70% of the revenues collected entered in the Water Agencies’ budget (financing of measures to preserve and protect water resources), and 30% were affected to the French Office for Biodiversity (OFB) to fund the “plan Ecophyto” (this plan goes 100% to the agricultural sphere, directly or indirectly, despite around 1M Euro intended for amateur gardeners).</w:t>
      </w:r>
    </w:p>
    <w:p w14:paraId="358ECBBC" w14:textId="77777777" w:rsidR="004C0AA6" w:rsidRPr="004C0AA6" w:rsidRDefault="004C0AA6" w:rsidP="00A13462">
      <w:pPr>
        <w:pStyle w:val="Body"/>
        <w:numPr>
          <w:ilvl w:val="0"/>
          <w:numId w:val="36"/>
        </w:numPr>
        <w:spacing w:after="160" w:line="240" w:lineRule="atLeast"/>
        <w:jc w:val="left"/>
        <w:rPr>
          <w:lang w:val="en-US"/>
        </w:rPr>
      </w:pPr>
      <w:r w:rsidRPr="004C0AA6">
        <w:rPr>
          <w:lang w:val="en-US"/>
        </w:rPr>
        <w:t xml:space="preserve">The “GEMAPI tax” is a local fee for the management of aquatic environments and flood prevention. It is an optional tax and its revenues can only be used for flood protection purposes. </w:t>
      </w:r>
    </w:p>
    <w:p w14:paraId="422ACC2E" w14:textId="77777777" w:rsidR="004C0AA6" w:rsidRPr="004C0AA6" w:rsidRDefault="004C0AA6" w:rsidP="004C0AA6">
      <w:pPr>
        <w:pStyle w:val="Body"/>
        <w:rPr>
          <w:lang w:val="en-US"/>
        </w:rPr>
      </w:pPr>
      <w:r w:rsidRPr="004C0AA6">
        <w:rPr>
          <w:lang w:val="en-US"/>
        </w:rPr>
        <w:t>In Portugal, all water-related charges are components of the TRH – Water Resource Tax – water abstraction and pollution charges are also components of this tax. The TRH includes a component for aggregate extraction on public water domain and one component for land occupation on public water domain. The tax is paid by individuals or organisations carrying out actions linked to the referred components of the Tax. Payments are collected by the water management organisations responsible for providing the services and send to the respective River Basin Authorities (regional departments of the Portuguese Environment Agency, which is the National Water Authority). In Slovakia, the charge for use of hydropower potential is paid to the Slovak Water Management Enterprise to cover maintenance costs.</w:t>
      </w:r>
    </w:p>
    <w:p w14:paraId="7EE7D53A" w14:textId="67798581" w:rsidR="004C0AA6" w:rsidRPr="00F05DB1" w:rsidRDefault="00F05DB1" w:rsidP="00F05DB1">
      <w:pPr>
        <w:pStyle w:val="Caption"/>
        <w:rPr>
          <w:rFonts w:ascii="Verdana" w:hAnsi="Verdana"/>
          <w:color w:val="548DD4" w:themeColor="text2" w:themeTint="99"/>
          <w:sz w:val="18"/>
          <w:szCs w:val="18"/>
          <w:lang w:val="en-US"/>
        </w:rPr>
      </w:pPr>
      <w:bookmarkStart w:id="101" w:name="_Toc59181833"/>
      <w:r w:rsidRPr="00F05DB1">
        <w:rPr>
          <w:rFonts w:ascii="Verdana" w:hAnsi="Verdana"/>
          <w:color w:val="548DD4" w:themeColor="text2" w:themeTint="99"/>
          <w:sz w:val="18"/>
          <w:szCs w:val="18"/>
          <w:lang w:val="en-US"/>
        </w:rPr>
        <w:t xml:space="preserve">Table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Table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3</w:t>
      </w:r>
      <w:r w:rsidR="00E14072">
        <w:rPr>
          <w:rFonts w:ascii="Verdana" w:hAnsi="Verdana"/>
          <w:color w:val="548DD4" w:themeColor="text2" w:themeTint="99"/>
          <w:sz w:val="18"/>
          <w:szCs w:val="18"/>
          <w:lang w:val="en-US"/>
        </w:rPr>
        <w:fldChar w:fldCharType="end"/>
      </w:r>
      <w:r w:rsidRPr="00F05DB1">
        <w:rPr>
          <w:rFonts w:ascii="Verdana" w:hAnsi="Verdana"/>
          <w:color w:val="548DD4" w:themeColor="text2" w:themeTint="99"/>
          <w:sz w:val="18"/>
          <w:szCs w:val="18"/>
          <w:lang w:val="en-US"/>
        </w:rPr>
        <w:t xml:space="preserve"> </w:t>
      </w:r>
      <w:r w:rsidR="004C0AA6" w:rsidRPr="00F05DB1">
        <w:rPr>
          <w:rFonts w:ascii="Verdana" w:hAnsi="Verdana"/>
          <w:color w:val="548DD4" w:themeColor="text2" w:themeTint="99"/>
          <w:sz w:val="18"/>
          <w:szCs w:val="18"/>
          <w:lang w:val="en-US"/>
        </w:rPr>
        <w:t>Reallocation of revenues from other charges on significant water uses – such as for example on pesticides and nitrates, hydropower production, sediment extraction, etc: - in those EU MS where the charge is in place</w:t>
      </w:r>
      <w:bookmarkEnd w:id="101"/>
    </w:p>
    <w:tbl>
      <w:tblPr>
        <w:tblStyle w:val="TableGrid"/>
        <w:tblW w:w="0" w:type="auto"/>
        <w:jc w:val="center"/>
        <w:tblLook w:val="04A0" w:firstRow="1" w:lastRow="0" w:firstColumn="1" w:lastColumn="0" w:noHBand="0" w:noVBand="1"/>
      </w:tblPr>
      <w:tblGrid>
        <w:gridCol w:w="3988"/>
        <w:gridCol w:w="535"/>
        <w:gridCol w:w="458"/>
        <w:gridCol w:w="472"/>
        <w:gridCol w:w="465"/>
        <w:gridCol w:w="427"/>
        <w:gridCol w:w="435"/>
        <w:gridCol w:w="409"/>
        <w:gridCol w:w="438"/>
        <w:gridCol w:w="419"/>
        <w:gridCol w:w="415"/>
        <w:gridCol w:w="407"/>
        <w:gridCol w:w="419"/>
      </w:tblGrid>
      <w:tr w:rsidR="004C0AA6" w:rsidRPr="00736A50" w14:paraId="478249D4" w14:textId="77777777" w:rsidTr="00A43153">
        <w:trPr>
          <w:cnfStyle w:val="100000000000" w:firstRow="1" w:lastRow="0" w:firstColumn="0" w:lastColumn="0" w:oddVBand="0" w:evenVBand="0" w:oddHBand="0" w:evenHBand="0" w:firstRowFirstColumn="0" w:firstRowLastColumn="0" w:lastRowFirstColumn="0" w:lastRowLastColumn="0"/>
          <w:jc w:val="center"/>
        </w:trPr>
        <w:tc>
          <w:tcPr>
            <w:tcW w:w="4212" w:type="dxa"/>
            <w:tcBorders>
              <w:top w:val="single" w:sz="4" w:space="0" w:color="auto"/>
              <w:left w:val="single" w:sz="4" w:space="0" w:color="auto"/>
              <w:bottom w:val="single" w:sz="4" w:space="0" w:color="auto"/>
              <w:right w:val="single" w:sz="4" w:space="0" w:color="auto"/>
            </w:tcBorders>
            <w:shd w:val="clear" w:color="auto" w:fill="auto"/>
          </w:tcPr>
          <w:p w14:paraId="1EEC0E14" w14:textId="77777777" w:rsidR="004C0AA6" w:rsidRPr="00A43153" w:rsidRDefault="004C0AA6" w:rsidP="00D8338D">
            <w:pPr>
              <w:spacing w:before="20" w:after="20"/>
              <w:rPr>
                <w:rFonts w:ascii="Segoe UI" w:hAnsi="Segoe UI" w:cs="Segoe UI"/>
                <w:b/>
                <w:bCs/>
                <w:color w:val="auto"/>
                <w:sz w:val="18"/>
                <w:szCs w:val="18"/>
              </w:rPr>
            </w:pPr>
            <w:r w:rsidRPr="00A43153">
              <w:rPr>
                <w:rFonts w:ascii="Segoe UI" w:hAnsi="Segoe UI" w:cs="Segoe UI"/>
                <w:b/>
                <w:bCs/>
                <w:color w:val="auto"/>
                <w:sz w:val="18"/>
                <w:szCs w:val="18"/>
              </w:rPr>
              <w:t>Revenues go to…</w:t>
            </w:r>
          </w:p>
        </w:tc>
        <w:tc>
          <w:tcPr>
            <w:tcW w:w="5416" w:type="dxa"/>
            <w:gridSpan w:val="12"/>
            <w:tcBorders>
              <w:top w:val="single" w:sz="4" w:space="0" w:color="auto"/>
              <w:left w:val="single" w:sz="4" w:space="0" w:color="auto"/>
              <w:bottom w:val="single" w:sz="4" w:space="0" w:color="auto"/>
              <w:right w:val="single" w:sz="4" w:space="0" w:color="auto"/>
            </w:tcBorders>
            <w:shd w:val="clear" w:color="auto" w:fill="auto"/>
          </w:tcPr>
          <w:p w14:paraId="60E4E06B" w14:textId="77777777" w:rsidR="004C0AA6" w:rsidRPr="00A43153" w:rsidRDefault="004C0AA6" w:rsidP="00D8338D">
            <w:pPr>
              <w:spacing w:before="20" w:after="20"/>
              <w:jc w:val="center"/>
              <w:rPr>
                <w:rFonts w:ascii="Segoe UI" w:hAnsi="Segoe UI" w:cs="Segoe UI"/>
                <w:b/>
                <w:bCs/>
                <w:color w:val="auto"/>
                <w:sz w:val="18"/>
                <w:szCs w:val="18"/>
              </w:rPr>
            </w:pPr>
            <w:r w:rsidRPr="00A43153">
              <w:rPr>
                <w:rFonts w:ascii="Segoe UI" w:hAnsi="Segoe UI" w:cs="Segoe UI"/>
                <w:b/>
                <w:bCs/>
                <w:color w:val="auto"/>
                <w:sz w:val="18"/>
                <w:szCs w:val="18"/>
              </w:rPr>
              <w:t>EU Member States</w:t>
            </w:r>
          </w:p>
        </w:tc>
      </w:tr>
      <w:tr w:rsidR="004C0AA6" w:rsidRPr="00736A50" w14:paraId="47505035" w14:textId="77777777" w:rsidTr="00A43153">
        <w:trPr>
          <w:trHeight w:val="399"/>
          <w:jc w:val="center"/>
        </w:trPr>
        <w:tc>
          <w:tcPr>
            <w:tcW w:w="4212" w:type="dxa"/>
            <w:tcBorders>
              <w:top w:val="single" w:sz="4" w:space="0" w:color="auto"/>
              <w:left w:val="single" w:sz="4" w:space="0" w:color="auto"/>
              <w:bottom w:val="single" w:sz="4" w:space="0" w:color="auto"/>
              <w:right w:val="single" w:sz="4" w:space="0" w:color="auto"/>
            </w:tcBorders>
            <w:shd w:val="clear" w:color="auto" w:fill="auto"/>
          </w:tcPr>
          <w:p w14:paraId="6C572580"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Financing water management (or environment)</w:t>
            </w:r>
          </w:p>
        </w:tc>
        <w:tc>
          <w:tcPr>
            <w:tcW w:w="542" w:type="dxa"/>
            <w:tcBorders>
              <w:top w:val="single" w:sz="4" w:space="0" w:color="auto"/>
              <w:left w:val="single" w:sz="4" w:space="0" w:color="auto"/>
              <w:bottom w:val="single" w:sz="4" w:space="0" w:color="auto"/>
              <w:right w:val="single" w:sz="4" w:space="0" w:color="FFFFFF" w:themeColor="background1"/>
            </w:tcBorders>
            <w:shd w:val="clear" w:color="auto" w:fill="B8CCE4" w:themeFill="accent1" w:themeFillTint="66"/>
            <w:vAlign w:val="center"/>
          </w:tcPr>
          <w:p w14:paraId="66469762"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FR</w:t>
            </w:r>
          </w:p>
        </w:tc>
        <w:tc>
          <w:tcPr>
            <w:tcW w:w="4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B8CCE4" w:themeFill="accent1" w:themeFillTint="66"/>
            <w:vAlign w:val="center"/>
          </w:tcPr>
          <w:p w14:paraId="3D2A7C6B"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NL</w:t>
            </w:r>
          </w:p>
        </w:tc>
        <w:tc>
          <w:tcPr>
            <w:tcW w:w="47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95B3D7" w:themeFill="accent1" w:themeFillTint="99"/>
            <w:vAlign w:val="center"/>
          </w:tcPr>
          <w:p w14:paraId="21F3EB57"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PT</w:t>
            </w:r>
          </w:p>
        </w:tc>
        <w:tc>
          <w:tcPr>
            <w:tcW w:w="46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95B3D7" w:themeFill="accent1" w:themeFillTint="99"/>
            <w:vAlign w:val="center"/>
          </w:tcPr>
          <w:p w14:paraId="2598339C"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SK</w:t>
            </w:r>
          </w:p>
        </w:tc>
        <w:tc>
          <w:tcPr>
            <w:tcW w:w="4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B00BAB1"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606FC08" w14:textId="77777777" w:rsidR="004C0AA6" w:rsidRPr="00B22401" w:rsidRDefault="004C0AA6" w:rsidP="00D8338D">
            <w:pPr>
              <w:spacing w:before="20" w:after="20"/>
              <w:jc w:val="center"/>
              <w:rPr>
                <w:rFonts w:ascii="Segoe UI" w:hAnsi="Segoe UI" w:cs="Segoe UI"/>
                <w:sz w:val="18"/>
                <w:szCs w:val="18"/>
              </w:rPr>
            </w:pPr>
          </w:p>
        </w:tc>
        <w:tc>
          <w:tcPr>
            <w:tcW w:w="42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4FF8FAF" w14:textId="77777777" w:rsidR="004C0AA6" w:rsidRPr="00B22401" w:rsidRDefault="004C0AA6" w:rsidP="00D8338D">
            <w:pPr>
              <w:spacing w:before="20" w:after="20"/>
              <w:jc w:val="center"/>
              <w:rPr>
                <w:rFonts w:ascii="Segoe UI" w:hAnsi="Segoe UI" w:cs="Segoe UI"/>
                <w:sz w:val="18"/>
                <w:szCs w:val="18"/>
              </w:rPr>
            </w:pPr>
          </w:p>
        </w:tc>
        <w:tc>
          <w:tcPr>
            <w:tcW w:w="45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B37D8B5"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8817112" w14:textId="77777777" w:rsidR="004C0AA6" w:rsidRPr="00B22401" w:rsidRDefault="004C0AA6" w:rsidP="00D8338D">
            <w:pPr>
              <w:spacing w:before="20" w:after="20"/>
              <w:jc w:val="center"/>
              <w:rPr>
                <w:rFonts w:ascii="Segoe UI" w:hAnsi="Segoe UI" w:cs="Segoe UI"/>
                <w:color w:val="FFFFFF" w:themeColor="background1"/>
                <w:sz w:val="18"/>
                <w:szCs w:val="18"/>
              </w:rPr>
            </w:pPr>
          </w:p>
        </w:tc>
        <w:tc>
          <w:tcPr>
            <w:tcW w:w="4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38DB86CC" w14:textId="77777777" w:rsidR="004C0AA6" w:rsidRPr="00B22401" w:rsidRDefault="004C0AA6" w:rsidP="00D8338D">
            <w:pPr>
              <w:spacing w:before="20" w:after="20"/>
              <w:jc w:val="center"/>
              <w:rPr>
                <w:rFonts w:ascii="Segoe UI" w:hAnsi="Segoe UI" w:cs="Segoe UI"/>
                <w:color w:val="FFFFFF" w:themeColor="background1"/>
                <w:sz w:val="18"/>
                <w:szCs w:val="18"/>
              </w:rPr>
            </w:pPr>
          </w:p>
        </w:tc>
        <w:tc>
          <w:tcPr>
            <w:tcW w:w="42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8CF0FFB"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auto"/>
            </w:tcBorders>
            <w:shd w:val="clear" w:color="auto" w:fill="auto"/>
            <w:vAlign w:val="center"/>
          </w:tcPr>
          <w:p w14:paraId="1AA50227" w14:textId="77777777" w:rsidR="004C0AA6" w:rsidRPr="00B22401" w:rsidRDefault="004C0AA6" w:rsidP="00D8338D">
            <w:pPr>
              <w:spacing w:before="20" w:after="20"/>
              <w:jc w:val="center"/>
              <w:rPr>
                <w:rFonts w:ascii="Segoe UI" w:hAnsi="Segoe UI" w:cs="Segoe UI"/>
                <w:sz w:val="18"/>
                <w:szCs w:val="18"/>
              </w:rPr>
            </w:pPr>
          </w:p>
        </w:tc>
      </w:tr>
      <w:tr w:rsidR="004C0AA6" w:rsidRPr="00736A50" w14:paraId="5B3CF2F3" w14:textId="77777777" w:rsidTr="00A43153">
        <w:trPr>
          <w:trHeight w:val="418"/>
          <w:jc w:val="center"/>
        </w:trPr>
        <w:tc>
          <w:tcPr>
            <w:tcW w:w="4212" w:type="dxa"/>
            <w:tcBorders>
              <w:top w:val="single" w:sz="4" w:space="0" w:color="auto"/>
              <w:left w:val="single" w:sz="4" w:space="0" w:color="auto"/>
              <w:bottom w:val="single" w:sz="4" w:space="0" w:color="auto"/>
              <w:right w:val="single" w:sz="4" w:space="0" w:color="auto"/>
            </w:tcBorders>
            <w:shd w:val="clear" w:color="auto" w:fill="auto"/>
          </w:tcPr>
          <w:p w14:paraId="6F21EA60" w14:textId="77777777" w:rsidR="004C0AA6" w:rsidRPr="00B22401" w:rsidRDefault="004C0AA6" w:rsidP="00D8338D">
            <w:pPr>
              <w:spacing w:before="20" w:after="20"/>
              <w:rPr>
                <w:rFonts w:ascii="Segoe UI" w:hAnsi="Segoe UI" w:cs="Segoe UI"/>
                <w:sz w:val="18"/>
                <w:szCs w:val="18"/>
              </w:rPr>
            </w:pPr>
            <w:r w:rsidRPr="00B22401">
              <w:rPr>
                <w:rFonts w:ascii="Segoe UI" w:hAnsi="Segoe UI" w:cs="Segoe UI"/>
                <w:sz w:val="18"/>
                <w:szCs w:val="18"/>
              </w:rPr>
              <w:t>General State budget</w:t>
            </w:r>
          </w:p>
        </w:tc>
        <w:tc>
          <w:tcPr>
            <w:tcW w:w="542" w:type="dxa"/>
            <w:tcBorders>
              <w:top w:val="single" w:sz="4" w:space="0" w:color="auto"/>
              <w:left w:val="single" w:sz="4" w:space="0" w:color="auto"/>
              <w:bottom w:val="single" w:sz="4" w:space="0" w:color="auto"/>
              <w:right w:val="single" w:sz="4" w:space="0" w:color="FFFFFF" w:themeColor="background1"/>
            </w:tcBorders>
            <w:shd w:val="clear" w:color="auto" w:fill="B8CCE4" w:themeFill="accent1" w:themeFillTint="66"/>
            <w:vAlign w:val="center"/>
          </w:tcPr>
          <w:p w14:paraId="03295F03"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SE</w:t>
            </w:r>
          </w:p>
        </w:tc>
        <w:tc>
          <w:tcPr>
            <w:tcW w:w="4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652EAC90" w14:textId="77777777" w:rsidR="004C0AA6" w:rsidRPr="00B22401" w:rsidRDefault="004C0AA6" w:rsidP="00D8338D">
            <w:pPr>
              <w:spacing w:before="20" w:after="20"/>
              <w:jc w:val="center"/>
              <w:rPr>
                <w:rFonts w:ascii="Segoe UI" w:hAnsi="Segoe UI" w:cs="Segoe UI"/>
                <w:sz w:val="18"/>
                <w:szCs w:val="18"/>
              </w:rPr>
            </w:pPr>
          </w:p>
        </w:tc>
        <w:tc>
          <w:tcPr>
            <w:tcW w:w="47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A9EEC2D" w14:textId="77777777" w:rsidR="004C0AA6" w:rsidRPr="00B22401" w:rsidRDefault="004C0AA6" w:rsidP="00D8338D">
            <w:pPr>
              <w:spacing w:before="20" w:after="20"/>
              <w:jc w:val="center"/>
              <w:rPr>
                <w:rFonts w:ascii="Segoe UI" w:hAnsi="Segoe UI" w:cs="Segoe UI"/>
                <w:sz w:val="18"/>
                <w:szCs w:val="18"/>
              </w:rPr>
            </w:pPr>
          </w:p>
        </w:tc>
        <w:tc>
          <w:tcPr>
            <w:tcW w:w="46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DD75F5A" w14:textId="77777777" w:rsidR="004C0AA6" w:rsidRPr="00B22401" w:rsidRDefault="004C0AA6" w:rsidP="00D8338D">
            <w:pPr>
              <w:spacing w:before="20" w:after="20"/>
              <w:jc w:val="center"/>
              <w:rPr>
                <w:rFonts w:ascii="Segoe UI" w:hAnsi="Segoe UI" w:cs="Segoe UI"/>
                <w:sz w:val="18"/>
                <w:szCs w:val="18"/>
              </w:rPr>
            </w:pPr>
          </w:p>
        </w:tc>
        <w:tc>
          <w:tcPr>
            <w:tcW w:w="4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A71D3D7"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BD8B845" w14:textId="77777777" w:rsidR="004C0AA6" w:rsidRPr="00B22401" w:rsidRDefault="004C0AA6" w:rsidP="00D8338D">
            <w:pPr>
              <w:spacing w:before="20" w:after="20"/>
              <w:jc w:val="center"/>
              <w:rPr>
                <w:rFonts w:ascii="Segoe UI" w:hAnsi="Segoe UI" w:cs="Segoe UI"/>
                <w:sz w:val="18"/>
                <w:szCs w:val="18"/>
              </w:rPr>
            </w:pPr>
          </w:p>
        </w:tc>
        <w:tc>
          <w:tcPr>
            <w:tcW w:w="42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4220EC0" w14:textId="77777777" w:rsidR="004C0AA6" w:rsidRPr="00B22401" w:rsidRDefault="004C0AA6" w:rsidP="00D8338D">
            <w:pPr>
              <w:spacing w:before="20" w:after="20"/>
              <w:jc w:val="center"/>
              <w:rPr>
                <w:rFonts w:ascii="Segoe UI" w:hAnsi="Segoe UI" w:cs="Segoe UI"/>
                <w:sz w:val="18"/>
                <w:szCs w:val="18"/>
              </w:rPr>
            </w:pPr>
          </w:p>
        </w:tc>
        <w:tc>
          <w:tcPr>
            <w:tcW w:w="45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499CB3DE"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BAD1681"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A4517F2" w14:textId="77777777" w:rsidR="004C0AA6" w:rsidRPr="00B22401" w:rsidRDefault="004C0AA6" w:rsidP="00D8338D">
            <w:pPr>
              <w:spacing w:before="20" w:after="20"/>
              <w:jc w:val="center"/>
              <w:rPr>
                <w:rFonts w:ascii="Segoe UI" w:hAnsi="Segoe UI" w:cs="Segoe UI"/>
                <w:sz w:val="18"/>
                <w:szCs w:val="18"/>
              </w:rPr>
            </w:pPr>
          </w:p>
        </w:tc>
        <w:tc>
          <w:tcPr>
            <w:tcW w:w="42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7B48AE3"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auto"/>
            </w:tcBorders>
            <w:shd w:val="clear" w:color="auto" w:fill="auto"/>
          </w:tcPr>
          <w:p w14:paraId="5440F67D" w14:textId="77777777" w:rsidR="004C0AA6" w:rsidRPr="00B22401" w:rsidRDefault="004C0AA6" w:rsidP="00D8338D">
            <w:pPr>
              <w:spacing w:before="20" w:after="20"/>
              <w:jc w:val="center"/>
              <w:rPr>
                <w:rFonts w:ascii="Segoe UI" w:hAnsi="Segoe UI" w:cs="Segoe UI"/>
                <w:sz w:val="18"/>
                <w:szCs w:val="18"/>
              </w:rPr>
            </w:pPr>
          </w:p>
        </w:tc>
      </w:tr>
      <w:tr w:rsidR="004C0AA6" w:rsidRPr="00736A50" w14:paraId="20722FAC" w14:textId="77777777" w:rsidTr="00A43153">
        <w:trPr>
          <w:trHeight w:val="411"/>
          <w:jc w:val="center"/>
        </w:trPr>
        <w:tc>
          <w:tcPr>
            <w:tcW w:w="4212" w:type="dxa"/>
            <w:tcBorders>
              <w:top w:val="single" w:sz="4" w:space="0" w:color="auto"/>
              <w:left w:val="single" w:sz="4" w:space="0" w:color="auto"/>
              <w:bottom w:val="single" w:sz="4" w:space="0" w:color="auto"/>
              <w:right w:val="single" w:sz="4" w:space="0" w:color="auto"/>
            </w:tcBorders>
            <w:shd w:val="clear" w:color="auto" w:fill="auto"/>
          </w:tcPr>
          <w:p w14:paraId="4C413070"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Compensation to farmers and research on pesticides pollution</w:t>
            </w:r>
          </w:p>
        </w:tc>
        <w:tc>
          <w:tcPr>
            <w:tcW w:w="542" w:type="dxa"/>
            <w:tcBorders>
              <w:top w:val="single" w:sz="4" w:space="0" w:color="auto"/>
              <w:left w:val="single" w:sz="4" w:space="0" w:color="auto"/>
              <w:bottom w:val="single" w:sz="4" w:space="0" w:color="auto"/>
              <w:right w:val="single" w:sz="4" w:space="0" w:color="FFFFFF" w:themeColor="background1"/>
            </w:tcBorders>
            <w:shd w:val="clear" w:color="auto" w:fill="B8CCE4" w:themeFill="accent1" w:themeFillTint="66"/>
            <w:vAlign w:val="center"/>
          </w:tcPr>
          <w:p w14:paraId="7BEC228F"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DK</w:t>
            </w:r>
          </w:p>
        </w:tc>
        <w:tc>
          <w:tcPr>
            <w:tcW w:w="4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CF6BB0A" w14:textId="77777777" w:rsidR="004C0AA6" w:rsidRPr="00B22401" w:rsidRDefault="004C0AA6" w:rsidP="00D8338D">
            <w:pPr>
              <w:spacing w:before="20" w:after="20"/>
              <w:jc w:val="center"/>
              <w:rPr>
                <w:rFonts w:ascii="Segoe UI" w:hAnsi="Segoe UI" w:cs="Segoe UI"/>
                <w:sz w:val="18"/>
                <w:szCs w:val="18"/>
              </w:rPr>
            </w:pPr>
          </w:p>
        </w:tc>
        <w:tc>
          <w:tcPr>
            <w:tcW w:w="47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072487A" w14:textId="77777777" w:rsidR="004C0AA6" w:rsidRPr="00B22401" w:rsidRDefault="004C0AA6" w:rsidP="00D8338D">
            <w:pPr>
              <w:spacing w:before="20" w:after="20"/>
              <w:jc w:val="center"/>
              <w:rPr>
                <w:rFonts w:ascii="Segoe UI" w:hAnsi="Segoe UI" w:cs="Segoe UI"/>
                <w:sz w:val="18"/>
                <w:szCs w:val="18"/>
              </w:rPr>
            </w:pPr>
          </w:p>
        </w:tc>
        <w:tc>
          <w:tcPr>
            <w:tcW w:w="46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0B531BA2" w14:textId="77777777" w:rsidR="004C0AA6" w:rsidRPr="00B22401" w:rsidRDefault="004C0AA6" w:rsidP="00D8338D">
            <w:pPr>
              <w:spacing w:before="20" w:after="20"/>
              <w:jc w:val="center"/>
              <w:rPr>
                <w:rFonts w:ascii="Segoe UI" w:hAnsi="Segoe UI" w:cs="Segoe UI"/>
                <w:sz w:val="18"/>
                <w:szCs w:val="18"/>
              </w:rPr>
            </w:pPr>
          </w:p>
        </w:tc>
        <w:tc>
          <w:tcPr>
            <w:tcW w:w="4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0E57C8E2"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58C22DF6" w14:textId="77777777" w:rsidR="004C0AA6" w:rsidRPr="00B22401" w:rsidRDefault="004C0AA6" w:rsidP="00D8338D">
            <w:pPr>
              <w:spacing w:before="20" w:after="20"/>
              <w:jc w:val="center"/>
              <w:rPr>
                <w:rFonts w:ascii="Segoe UI" w:hAnsi="Segoe UI" w:cs="Segoe UI"/>
                <w:sz w:val="18"/>
                <w:szCs w:val="18"/>
              </w:rPr>
            </w:pPr>
          </w:p>
        </w:tc>
        <w:tc>
          <w:tcPr>
            <w:tcW w:w="42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2C6A287C" w14:textId="77777777" w:rsidR="004C0AA6" w:rsidRPr="00B22401" w:rsidRDefault="004C0AA6" w:rsidP="00D8338D">
            <w:pPr>
              <w:spacing w:before="20" w:after="20"/>
              <w:jc w:val="center"/>
              <w:rPr>
                <w:rFonts w:ascii="Segoe UI" w:hAnsi="Segoe UI" w:cs="Segoe UI"/>
                <w:sz w:val="18"/>
                <w:szCs w:val="18"/>
              </w:rPr>
            </w:pPr>
          </w:p>
        </w:tc>
        <w:tc>
          <w:tcPr>
            <w:tcW w:w="45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7F9FE905"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34BB6C10"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52D7669" w14:textId="77777777" w:rsidR="004C0AA6" w:rsidRPr="00B22401" w:rsidRDefault="004C0AA6" w:rsidP="00D8338D">
            <w:pPr>
              <w:spacing w:before="20" w:after="20"/>
              <w:jc w:val="center"/>
              <w:rPr>
                <w:rFonts w:ascii="Segoe UI" w:hAnsi="Segoe UI" w:cs="Segoe UI"/>
                <w:sz w:val="18"/>
                <w:szCs w:val="18"/>
              </w:rPr>
            </w:pPr>
          </w:p>
        </w:tc>
        <w:tc>
          <w:tcPr>
            <w:tcW w:w="42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0C245065"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auto"/>
            </w:tcBorders>
            <w:shd w:val="clear" w:color="auto" w:fill="auto"/>
          </w:tcPr>
          <w:p w14:paraId="682CF9A5" w14:textId="77777777" w:rsidR="004C0AA6" w:rsidRPr="00B22401" w:rsidRDefault="004C0AA6" w:rsidP="00D8338D">
            <w:pPr>
              <w:spacing w:before="20" w:after="20"/>
              <w:jc w:val="center"/>
              <w:rPr>
                <w:rFonts w:ascii="Segoe UI" w:hAnsi="Segoe UI" w:cs="Segoe UI"/>
                <w:sz w:val="18"/>
                <w:szCs w:val="18"/>
              </w:rPr>
            </w:pPr>
          </w:p>
        </w:tc>
      </w:tr>
      <w:tr w:rsidR="004C0AA6" w:rsidRPr="00736A50" w14:paraId="4D400BB3" w14:textId="77777777" w:rsidTr="00A43153">
        <w:trPr>
          <w:trHeight w:val="417"/>
          <w:jc w:val="center"/>
        </w:trPr>
        <w:tc>
          <w:tcPr>
            <w:tcW w:w="4212" w:type="dxa"/>
            <w:tcBorders>
              <w:top w:val="single" w:sz="4" w:space="0" w:color="auto"/>
              <w:left w:val="single" w:sz="4" w:space="0" w:color="auto"/>
              <w:bottom w:val="single" w:sz="4" w:space="0" w:color="auto"/>
              <w:right w:val="single" w:sz="4" w:space="0" w:color="auto"/>
            </w:tcBorders>
            <w:shd w:val="clear" w:color="auto" w:fill="auto"/>
          </w:tcPr>
          <w:p w14:paraId="579B8F35" w14:textId="77777777" w:rsidR="004C0AA6" w:rsidRPr="004C0AA6" w:rsidRDefault="004C0AA6" w:rsidP="00D8338D">
            <w:pPr>
              <w:spacing w:before="20" w:after="20"/>
              <w:rPr>
                <w:rFonts w:ascii="Segoe UI" w:hAnsi="Segoe UI" w:cs="Segoe UI"/>
                <w:sz w:val="18"/>
                <w:szCs w:val="18"/>
                <w:lang w:val="en-US"/>
              </w:rPr>
            </w:pPr>
            <w:r w:rsidRPr="004C0AA6">
              <w:rPr>
                <w:rFonts w:ascii="Segoe UI" w:hAnsi="Segoe UI" w:cs="Segoe UI"/>
                <w:sz w:val="18"/>
                <w:szCs w:val="18"/>
                <w:lang w:val="en-US"/>
              </w:rPr>
              <w:t>No info/ unclear/ several uses</w:t>
            </w:r>
          </w:p>
        </w:tc>
        <w:tc>
          <w:tcPr>
            <w:tcW w:w="542" w:type="dxa"/>
            <w:tcBorders>
              <w:top w:val="single" w:sz="4" w:space="0" w:color="auto"/>
              <w:left w:val="single" w:sz="4" w:space="0" w:color="auto"/>
              <w:bottom w:val="single" w:sz="4" w:space="0" w:color="auto"/>
              <w:right w:val="single" w:sz="4" w:space="0" w:color="FFFFFF" w:themeColor="background1"/>
            </w:tcBorders>
            <w:shd w:val="clear" w:color="auto" w:fill="B8CCE4" w:themeFill="accent1" w:themeFillTint="66"/>
            <w:vAlign w:val="center"/>
          </w:tcPr>
          <w:p w14:paraId="05D1C72A"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BG</w:t>
            </w:r>
          </w:p>
        </w:tc>
        <w:tc>
          <w:tcPr>
            <w:tcW w:w="4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B8CCE4" w:themeFill="accent1" w:themeFillTint="66"/>
            <w:vAlign w:val="center"/>
          </w:tcPr>
          <w:p w14:paraId="5BD240BE"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IT</w:t>
            </w:r>
          </w:p>
        </w:tc>
        <w:tc>
          <w:tcPr>
            <w:tcW w:w="47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95B3D7" w:themeFill="accent1" w:themeFillTint="99"/>
            <w:vAlign w:val="center"/>
          </w:tcPr>
          <w:p w14:paraId="2C0A927D"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MT</w:t>
            </w:r>
          </w:p>
        </w:tc>
        <w:tc>
          <w:tcPr>
            <w:tcW w:w="46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95B3D7" w:themeFill="accent1" w:themeFillTint="99"/>
            <w:vAlign w:val="center"/>
          </w:tcPr>
          <w:p w14:paraId="2CA29A9B"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SI</w:t>
            </w:r>
          </w:p>
        </w:tc>
        <w:tc>
          <w:tcPr>
            <w:tcW w:w="4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511F3F0"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ES</w:t>
            </w:r>
          </w:p>
        </w:tc>
        <w:tc>
          <w:tcPr>
            <w:tcW w:w="4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CC830E7" w14:textId="77777777" w:rsidR="004C0AA6" w:rsidRPr="00B22401" w:rsidRDefault="004C0AA6" w:rsidP="00D8338D">
            <w:pPr>
              <w:spacing w:before="20" w:after="20"/>
              <w:jc w:val="center"/>
              <w:rPr>
                <w:rFonts w:ascii="Segoe UI" w:hAnsi="Segoe UI" w:cs="Segoe UI"/>
                <w:sz w:val="18"/>
                <w:szCs w:val="18"/>
              </w:rPr>
            </w:pPr>
            <w:r w:rsidRPr="00B22401">
              <w:rPr>
                <w:rFonts w:ascii="Segoe UI" w:hAnsi="Segoe UI" w:cs="Segoe UI"/>
                <w:sz w:val="18"/>
                <w:szCs w:val="18"/>
              </w:rPr>
              <w:t>AT</w:t>
            </w:r>
          </w:p>
        </w:tc>
        <w:tc>
          <w:tcPr>
            <w:tcW w:w="42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3708EB5B" w14:textId="77777777" w:rsidR="004C0AA6" w:rsidRPr="00B22401" w:rsidRDefault="004C0AA6" w:rsidP="00D8338D">
            <w:pPr>
              <w:spacing w:before="20" w:after="20"/>
              <w:jc w:val="center"/>
              <w:rPr>
                <w:rFonts w:ascii="Segoe UI" w:hAnsi="Segoe UI" w:cs="Segoe UI"/>
                <w:sz w:val="18"/>
                <w:szCs w:val="18"/>
              </w:rPr>
            </w:pPr>
          </w:p>
        </w:tc>
        <w:tc>
          <w:tcPr>
            <w:tcW w:w="45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6C39C8F0"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7FDE98F1" w14:textId="77777777" w:rsidR="004C0AA6" w:rsidRPr="00B22401" w:rsidRDefault="004C0AA6" w:rsidP="00D8338D">
            <w:pPr>
              <w:spacing w:before="20" w:after="20"/>
              <w:jc w:val="center"/>
              <w:rPr>
                <w:rFonts w:ascii="Segoe UI" w:hAnsi="Segoe UI" w:cs="Segoe UI"/>
                <w:sz w:val="18"/>
                <w:szCs w:val="18"/>
              </w:rPr>
            </w:pPr>
          </w:p>
        </w:tc>
        <w:tc>
          <w:tcPr>
            <w:tcW w:w="4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199E5C33" w14:textId="77777777" w:rsidR="004C0AA6" w:rsidRPr="00B22401" w:rsidRDefault="004C0AA6" w:rsidP="00D8338D">
            <w:pPr>
              <w:spacing w:before="20" w:after="20"/>
              <w:jc w:val="center"/>
              <w:rPr>
                <w:rFonts w:ascii="Segoe UI" w:hAnsi="Segoe UI" w:cs="Segoe UI"/>
                <w:sz w:val="18"/>
                <w:szCs w:val="18"/>
              </w:rPr>
            </w:pPr>
          </w:p>
        </w:tc>
        <w:tc>
          <w:tcPr>
            <w:tcW w:w="42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14:paraId="6B43D3BC" w14:textId="77777777" w:rsidR="004C0AA6" w:rsidRPr="00B22401" w:rsidRDefault="004C0AA6" w:rsidP="00D8338D">
            <w:pPr>
              <w:spacing w:before="20" w:after="20"/>
              <w:jc w:val="center"/>
              <w:rPr>
                <w:rFonts w:ascii="Segoe UI" w:hAnsi="Segoe UI" w:cs="Segoe UI"/>
                <w:sz w:val="18"/>
                <w:szCs w:val="18"/>
              </w:rPr>
            </w:pPr>
          </w:p>
        </w:tc>
        <w:tc>
          <w:tcPr>
            <w:tcW w:w="436" w:type="dxa"/>
            <w:tcBorders>
              <w:top w:val="single" w:sz="4" w:space="0" w:color="auto"/>
              <w:left w:val="single" w:sz="4" w:space="0" w:color="FFFFFF" w:themeColor="background1"/>
              <w:bottom w:val="single" w:sz="4" w:space="0" w:color="auto"/>
              <w:right w:val="single" w:sz="4" w:space="0" w:color="auto"/>
            </w:tcBorders>
            <w:shd w:val="clear" w:color="auto" w:fill="auto"/>
          </w:tcPr>
          <w:p w14:paraId="241ED0E1" w14:textId="77777777" w:rsidR="004C0AA6" w:rsidRPr="00B22401" w:rsidRDefault="004C0AA6" w:rsidP="00D8338D">
            <w:pPr>
              <w:spacing w:before="20" w:after="20"/>
              <w:jc w:val="center"/>
              <w:rPr>
                <w:rFonts w:ascii="Segoe UI" w:hAnsi="Segoe UI" w:cs="Segoe UI"/>
                <w:sz w:val="18"/>
                <w:szCs w:val="18"/>
              </w:rPr>
            </w:pPr>
          </w:p>
        </w:tc>
      </w:tr>
    </w:tbl>
    <w:p w14:paraId="2D0DA234" w14:textId="77777777" w:rsidR="004C0AA6" w:rsidRPr="00736A50" w:rsidRDefault="004C0AA6" w:rsidP="004C0AA6">
      <w:pPr>
        <w:pStyle w:val="WDBullets"/>
        <w:numPr>
          <w:ilvl w:val="0"/>
          <w:numId w:val="0"/>
        </w:numPr>
      </w:pPr>
    </w:p>
    <w:p w14:paraId="7F146600" w14:textId="77777777" w:rsidR="004C0AA6" w:rsidRPr="001A7166" w:rsidRDefault="004C0AA6" w:rsidP="00A43153">
      <w:pPr>
        <w:pStyle w:val="Body"/>
        <w:rPr>
          <w:lang w:val="en-US"/>
        </w:rPr>
      </w:pPr>
      <w:r w:rsidRPr="001A7166">
        <w:rPr>
          <w:lang w:val="en-US"/>
        </w:rPr>
        <w:t xml:space="preserve">An innovative way to increase financial resources available for water management is the creation of </w:t>
      </w:r>
      <w:r w:rsidRPr="001A7166">
        <w:rPr>
          <w:b/>
          <w:bCs/>
          <w:lang w:val="en-US"/>
        </w:rPr>
        <w:t>attractive investment cases</w:t>
      </w:r>
      <w:r w:rsidRPr="001A7166">
        <w:rPr>
          <w:lang w:val="en-US"/>
        </w:rPr>
        <w:t xml:space="preserve"> benefiting people and nature – and this is the case with restoration projects, green infrastructures and nature-based solutions. As often mentioned, these measures pursue multiple purposes and deliver multiple benefits (e.g. water purification, flood protection, support to biodiversity, etc.), so they are usually indicated as cost-effective measures. But this can be brought a step forward, by designing strategies and measures addressing not only environmental challenges, but also pursuing social and/or economic objectives – thus attracting funding sources usually employed in other policy areas. In the Weser catchment area, for example, several local authorities along the rivers Werre and Else decided to combine water restoration measures with job opportunities. A common and integrated programme was established and run in cooperation with further relevant bodies (e.g. employment administration). As a result, more than 100 long-term unemployed people were (temporarily) employed and – simultaneously – gained a qualification. Furthermore, at least one fifth of the employees got a long-term job following their work on this project (EEB, 2015</w:t>
      </w:r>
      <w:r w:rsidRPr="00736A50">
        <w:rPr>
          <w:rStyle w:val="FootnoteReference"/>
        </w:rPr>
        <w:footnoteReference w:id="56"/>
      </w:r>
      <w:r w:rsidRPr="001A7166">
        <w:rPr>
          <w:lang w:val="en-US"/>
        </w:rPr>
        <w:t>).</w:t>
      </w:r>
    </w:p>
    <w:p w14:paraId="4C9A0848" w14:textId="77777777" w:rsidR="004C0AA6" w:rsidRPr="001A7166" w:rsidRDefault="004C0AA6" w:rsidP="00A43153">
      <w:pPr>
        <w:pStyle w:val="Body"/>
        <w:rPr>
          <w:lang w:val="en-US"/>
        </w:rPr>
      </w:pPr>
      <w:r w:rsidRPr="001A7166">
        <w:rPr>
          <w:lang w:val="en-US"/>
        </w:rPr>
        <w:t xml:space="preserve">In some countries, revenues from abstraction and/or pollution charges, as well as (some) revenues from other water-related charges, are allocated to </w:t>
      </w:r>
      <w:r w:rsidRPr="001A7166">
        <w:rPr>
          <w:b/>
          <w:bCs/>
          <w:lang w:val="en-US"/>
        </w:rPr>
        <w:t>Water (or Environmental) Funds</w:t>
      </w:r>
      <w:r w:rsidRPr="001A7166">
        <w:rPr>
          <w:lang w:val="en-US"/>
        </w:rPr>
        <w:t xml:space="preserve">, which are then used to finance water management or, in some cases, environmental management as a whole. This is the case of Belgium, Luxembourg, Portugal, Slovakia and Slovenia. </w:t>
      </w:r>
    </w:p>
    <w:p w14:paraId="4C3C9CC7" w14:textId="77777777" w:rsidR="004C0AA6" w:rsidRPr="001A7166" w:rsidRDefault="004C0AA6" w:rsidP="00A43153">
      <w:pPr>
        <w:pStyle w:val="Body"/>
        <w:rPr>
          <w:lang w:val="en-US"/>
        </w:rPr>
      </w:pPr>
      <w:r w:rsidRPr="001A7166">
        <w:rPr>
          <w:lang w:val="en-US"/>
        </w:rPr>
        <w:t>In Slovakia, in particular, revenues from groundwater abstraction and water pollution charges feed the Environmental Fund and are used for environmental purposes at large; while revenues of surface water abstraction charges are received by a river basin authority directly (the Slovak Water Management Enterprise, state company - administrator of watercourses and river basins in Slovakia).</w:t>
      </w:r>
    </w:p>
    <w:p w14:paraId="086CE6B4" w14:textId="55420E31" w:rsidR="00E26EB4" w:rsidRPr="004C0AA6" w:rsidRDefault="00E26EB4" w:rsidP="00A5371E">
      <w:pPr>
        <w:pStyle w:val="Body"/>
        <w:rPr>
          <w:lang w:val="en-GB"/>
        </w:rPr>
      </w:pPr>
    </w:p>
    <w:p w14:paraId="622757E6" w14:textId="487C6E88" w:rsidR="00696E04" w:rsidRDefault="00696E04" w:rsidP="003B304A">
      <w:pPr>
        <w:pStyle w:val="Body"/>
        <w:rPr>
          <w:lang w:val="en-GB"/>
        </w:rPr>
      </w:pPr>
    </w:p>
    <w:p w14:paraId="68A928C7" w14:textId="60ED241F" w:rsidR="00696E04" w:rsidRDefault="00633EF6" w:rsidP="00633EF6">
      <w:pPr>
        <w:pStyle w:val="Heading2"/>
        <w:rPr>
          <w:lang w:val="en-GB"/>
        </w:rPr>
      </w:pPr>
      <w:bookmarkStart w:id="102" w:name="_Toc59180782"/>
      <w:bookmarkStart w:id="103" w:name="_Toc62825946"/>
      <w:r w:rsidRPr="00633EF6">
        <w:rPr>
          <w:lang w:val="en-US"/>
        </w:rPr>
        <w:t>What are implications on cost-recovery?</w:t>
      </w:r>
      <w:bookmarkEnd w:id="102"/>
      <w:bookmarkEnd w:id="103"/>
    </w:p>
    <w:p w14:paraId="0C0AAA34" w14:textId="77777777" w:rsidR="000F3909" w:rsidRPr="00E14072" w:rsidRDefault="000F3909" w:rsidP="00E14072">
      <w:pPr>
        <w:pStyle w:val="Body"/>
        <w:rPr>
          <w:rFonts w:eastAsiaTheme="minorHAnsi"/>
          <w:lang w:val="en-US"/>
        </w:rPr>
      </w:pPr>
      <w:r w:rsidRPr="00E14072">
        <w:rPr>
          <w:rFonts w:eastAsiaTheme="minorHAnsi"/>
          <w:lang w:val="en-US"/>
        </w:rPr>
        <w:t xml:space="preserve">As shown in the previous section, revenues from tariffs on water supply and sanitation (WSS) constitute the largest funding source in the EU for water management. In fact, within water management as a whole, WSS is the sector with the largest financial flows from both public and private funding. </w:t>
      </w:r>
    </w:p>
    <w:p w14:paraId="103037C1" w14:textId="77777777" w:rsidR="000F3909" w:rsidRPr="00E14072" w:rsidRDefault="000F3909" w:rsidP="00E14072">
      <w:pPr>
        <w:pStyle w:val="Body"/>
        <w:rPr>
          <w:rFonts w:eastAsiaTheme="minorHAnsi"/>
          <w:lang w:val="en-US"/>
        </w:rPr>
      </w:pPr>
      <w:r w:rsidRPr="00E14072">
        <w:rPr>
          <w:rFonts w:eastAsiaTheme="minorHAnsi"/>
          <w:lang w:val="en-US"/>
        </w:rPr>
        <w:t xml:space="preserve">The following figure provides an </w:t>
      </w:r>
      <w:r w:rsidRPr="00E14072">
        <w:rPr>
          <w:rFonts w:eastAsiaTheme="minorHAnsi"/>
          <w:b/>
          <w:bCs/>
          <w:lang w:val="en-US"/>
        </w:rPr>
        <w:t>overview of financial cost recovery for water and sanitation services in the EU</w:t>
      </w:r>
      <w:r w:rsidRPr="00736A50">
        <w:rPr>
          <w:rFonts w:eastAsiaTheme="minorHAnsi"/>
          <w:vertAlign w:val="superscript"/>
        </w:rPr>
        <w:footnoteReference w:id="57"/>
      </w:r>
      <w:r w:rsidRPr="00E14072">
        <w:rPr>
          <w:rFonts w:eastAsiaTheme="minorHAnsi"/>
          <w:lang w:val="en-US"/>
        </w:rPr>
        <w:t xml:space="preserve"> – please note that the graph does not include irrigation, as in several MS irrigation water is managed independently (e.g. by irrigation consortia) from water and sanitation services for households, industry and services. In addition (or as a consequence of this) specific data for the irrigation sector are not available in several countries (as shown later in this section). </w:t>
      </w:r>
    </w:p>
    <w:p w14:paraId="24D796B2" w14:textId="77777777" w:rsidR="000F3909" w:rsidRPr="00E14072" w:rsidRDefault="000F3909" w:rsidP="00E14072">
      <w:pPr>
        <w:pStyle w:val="Body"/>
        <w:rPr>
          <w:rFonts w:eastAsiaTheme="minorHAnsi"/>
          <w:lang w:val="en-US"/>
        </w:rPr>
      </w:pPr>
      <w:r w:rsidRPr="00E14072">
        <w:rPr>
          <w:rFonts w:eastAsiaTheme="minorHAnsi"/>
          <w:lang w:val="en-US"/>
        </w:rPr>
        <w:t xml:space="preserve">In nine MS out of 27, cost recovery is 100% or higher, with cost-recovery between 90 and 100% in five additional MS. In six MS cost recovery levels are between 80 and 90% and cost recovery levels are below 80% in four MS. Information that can support cost-recovery assessment was not available in three MS. Overall, the implementation of full cost-recovery still presents some weaknesses at the EU level, although improvements have taken place since 2006 – following the WFD implementation. </w:t>
      </w:r>
    </w:p>
    <w:p w14:paraId="5399E61E" w14:textId="09A5CBF2" w:rsidR="000F3909" w:rsidRPr="001A7166" w:rsidRDefault="001A7166" w:rsidP="001A7166">
      <w:pPr>
        <w:pStyle w:val="Caption"/>
        <w:rPr>
          <w:rFonts w:ascii="Verdana" w:hAnsi="Verdana"/>
          <w:color w:val="548DD4" w:themeColor="text2" w:themeTint="99"/>
          <w:sz w:val="18"/>
          <w:szCs w:val="18"/>
          <w:lang w:val="en-US"/>
        </w:rPr>
      </w:pPr>
      <w:r w:rsidRPr="001A7166">
        <w:rPr>
          <w:rFonts w:ascii="Verdana" w:hAnsi="Verdana"/>
          <w:color w:val="548DD4" w:themeColor="text2" w:themeTint="99"/>
          <w:sz w:val="18"/>
          <w:szCs w:val="18"/>
          <w:lang w:val="en-US"/>
        </w:rPr>
        <w:t xml:space="preserve">Figure </w:t>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STYLEREF 1 \s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6</w:t>
      </w:r>
      <w:r w:rsidR="00E14072">
        <w:rPr>
          <w:rFonts w:ascii="Verdana" w:hAnsi="Verdana"/>
          <w:color w:val="548DD4" w:themeColor="text2" w:themeTint="99"/>
          <w:sz w:val="18"/>
          <w:szCs w:val="18"/>
          <w:lang w:val="en-US"/>
        </w:rPr>
        <w:fldChar w:fldCharType="end"/>
      </w:r>
      <w:r w:rsidR="00E14072">
        <w:rPr>
          <w:rFonts w:ascii="Verdana" w:hAnsi="Verdana"/>
          <w:color w:val="548DD4" w:themeColor="text2" w:themeTint="99"/>
          <w:sz w:val="18"/>
          <w:szCs w:val="18"/>
          <w:lang w:val="en-US"/>
        </w:rPr>
        <w:noBreakHyphen/>
      </w:r>
      <w:r w:rsidR="00E14072">
        <w:rPr>
          <w:rFonts w:ascii="Verdana" w:hAnsi="Verdana"/>
          <w:color w:val="548DD4" w:themeColor="text2" w:themeTint="99"/>
          <w:sz w:val="18"/>
          <w:szCs w:val="18"/>
          <w:lang w:val="en-US"/>
        </w:rPr>
        <w:fldChar w:fldCharType="begin"/>
      </w:r>
      <w:r w:rsidR="00E14072">
        <w:rPr>
          <w:rFonts w:ascii="Verdana" w:hAnsi="Verdana"/>
          <w:color w:val="548DD4" w:themeColor="text2" w:themeTint="99"/>
          <w:sz w:val="18"/>
          <w:szCs w:val="18"/>
          <w:lang w:val="en-US"/>
        </w:rPr>
        <w:instrText xml:space="preserve"> SEQ Figure \* ARABIC \s 1 </w:instrText>
      </w:r>
      <w:r w:rsidR="00E14072">
        <w:rPr>
          <w:rFonts w:ascii="Verdana" w:hAnsi="Verdana"/>
          <w:color w:val="548DD4" w:themeColor="text2" w:themeTint="99"/>
          <w:sz w:val="18"/>
          <w:szCs w:val="18"/>
          <w:lang w:val="en-US"/>
        </w:rPr>
        <w:fldChar w:fldCharType="separate"/>
      </w:r>
      <w:r w:rsidR="00E14072">
        <w:rPr>
          <w:rFonts w:ascii="Verdana" w:hAnsi="Verdana"/>
          <w:noProof/>
          <w:color w:val="548DD4" w:themeColor="text2" w:themeTint="99"/>
          <w:sz w:val="18"/>
          <w:szCs w:val="18"/>
          <w:lang w:val="en-US"/>
        </w:rPr>
        <w:t>7</w:t>
      </w:r>
      <w:r w:rsidR="00E14072">
        <w:rPr>
          <w:rFonts w:ascii="Verdana" w:hAnsi="Verdana"/>
          <w:color w:val="548DD4" w:themeColor="text2" w:themeTint="99"/>
          <w:sz w:val="18"/>
          <w:szCs w:val="18"/>
          <w:lang w:val="en-US"/>
        </w:rPr>
        <w:fldChar w:fldCharType="end"/>
      </w:r>
      <w:r w:rsidRPr="001A7166">
        <w:rPr>
          <w:rFonts w:ascii="Verdana" w:hAnsi="Verdana"/>
          <w:color w:val="548DD4" w:themeColor="text2" w:themeTint="99"/>
          <w:sz w:val="18"/>
          <w:szCs w:val="18"/>
          <w:lang w:val="en-US"/>
        </w:rPr>
        <w:t xml:space="preserve"> </w:t>
      </w:r>
      <w:r w:rsidR="000F3909" w:rsidRPr="001A7166">
        <w:rPr>
          <w:rFonts w:ascii="Verdana" w:hAnsi="Verdana"/>
          <w:color w:val="548DD4" w:themeColor="text2" w:themeTint="99"/>
          <w:sz w:val="18"/>
          <w:szCs w:val="18"/>
          <w:lang w:val="en-US"/>
        </w:rPr>
        <w:t>Cost-recovery levels in EU MSs</w:t>
      </w:r>
    </w:p>
    <w:p w14:paraId="521DEE14" w14:textId="77777777" w:rsidR="000F3909" w:rsidRPr="00736A50" w:rsidRDefault="000F3909" w:rsidP="000F3909">
      <w:pPr>
        <w:spacing w:line="240" w:lineRule="atLeast"/>
        <w:jc w:val="center"/>
        <w:rPr>
          <w:rFonts w:ascii="Segoe UI" w:eastAsiaTheme="minorHAnsi" w:hAnsi="Segoe UI" w:cstheme="minorBidi"/>
          <w:color w:val="000000"/>
          <w:sz w:val="20"/>
        </w:rPr>
      </w:pPr>
      <w:r>
        <w:rPr>
          <w:rFonts w:ascii="Segoe UI" w:eastAsiaTheme="minorHAnsi" w:hAnsi="Segoe UI" w:cstheme="minorBidi"/>
          <w:noProof/>
          <w:color w:val="000000"/>
          <w:sz w:val="20"/>
          <w:lang w:val="en-US"/>
        </w:rPr>
        <w:drawing>
          <wp:inline distT="0" distB="0" distL="0" distR="0" wp14:anchorId="12691687" wp14:editId="6491F1D6">
            <wp:extent cx="5448300" cy="2855792"/>
            <wp:effectExtent l="0" t="0" r="0" b="190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59530" cy="2861678"/>
                    </a:xfrm>
                    <a:prstGeom prst="rect">
                      <a:avLst/>
                    </a:prstGeom>
                    <a:noFill/>
                  </pic:spPr>
                </pic:pic>
              </a:graphicData>
            </a:graphic>
          </wp:inline>
        </w:drawing>
      </w:r>
    </w:p>
    <w:p w14:paraId="614365A8" w14:textId="77777777" w:rsidR="000F3909" w:rsidRPr="000F3909" w:rsidRDefault="000F3909" w:rsidP="000F3909">
      <w:pPr>
        <w:spacing w:line="240" w:lineRule="atLeast"/>
        <w:rPr>
          <w:rFonts w:ascii="Segoe UI" w:eastAsiaTheme="minorHAnsi" w:hAnsi="Segoe UI" w:cstheme="minorBidi"/>
          <w:color w:val="000000"/>
          <w:sz w:val="20"/>
          <w:lang w:val="en-US"/>
        </w:rPr>
      </w:pPr>
      <w:r w:rsidRPr="000F3909">
        <w:rPr>
          <w:rFonts w:ascii="Segoe UI" w:eastAsiaTheme="minorHAnsi" w:hAnsi="Segoe UI" w:cstheme="minorBidi"/>
          <w:color w:val="000000"/>
          <w:sz w:val="16"/>
          <w:szCs w:val="16"/>
          <w:lang w:val="en-US"/>
        </w:rPr>
        <w:t>Source: Data extracted from the country fiches by the project team</w:t>
      </w:r>
    </w:p>
    <w:p w14:paraId="719FC98D" w14:textId="77777777" w:rsidR="000F3909" w:rsidRPr="000F3909" w:rsidRDefault="000F3909" w:rsidP="00E14072">
      <w:pPr>
        <w:pStyle w:val="Body"/>
        <w:rPr>
          <w:rFonts w:eastAsiaTheme="minorHAnsi"/>
          <w:lang w:val="en-US"/>
        </w:rPr>
      </w:pPr>
      <w:r w:rsidRPr="000F3909">
        <w:rPr>
          <w:rFonts w:eastAsiaTheme="minorHAnsi"/>
          <w:lang w:val="en-US"/>
        </w:rPr>
        <w:t xml:space="preserve">The figure below provides individual </w:t>
      </w:r>
      <w:r w:rsidRPr="000F3909">
        <w:rPr>
          <w:rFonts w:eastAsiaTheme="minorHAnsi"/>
          <w:b/>
          <w:bCs/>
          <w:lang w:val="en-US"/>
        </w:rPr>
        <w:t>cost recovery levels in each EU MS</w:t>
      </w:r>
      <w:r w:rsidRPr="000F3909">
        <w:rPr>
          <w:rFonts w:eastAsiaTheme="minorHAnsi"/>
          <w:lang w:val="en-US"/>
        </w:rPr>
        <w:t>, reflecting data availability. In some countries, separate cost recovery levels are available for water supply and for wastewater collection and treatment, whereas in other countries an aggregated cost-recovery level is available.</w:t>
      </w:r>
    </w:p>
    <w:p w14:paraId="1A04192A" w14:textId="77777777" w:rsidR="000F3909" w:rsidRPr="000F3909" w:rsidRDefault="000F3909" w:rsidP="000F3909">
      <w:pPr>
        <w:spacing w:after="0"/>
        <w:rPr>
          <w:rFonts w:ascii="Segoe UI" w:hAnsi="Segoe UI" w:cstheme="majorBidi"/>
          <w:iCs/>
          <w:color w:val="884C91"/>
          <w:sz w:val="20"/>
          <w:szCs w:val="26"/>
          <w:lang w:val="en-US"/>
        </w:rPr>
      </w:pPr>
      <w:r w:rsidRPr="000F3909">
        <w:rPr>
          <w:lang w:val="en-US"/>
        </w:rPr>
        <w:br w:type="page"/>
      </w:r>
    </w:p>
    <w:p w14:paraId="611EBA8C" w14:textId="7262405C" w:rsidR="000F3909" w:rsidRPr="00E14072" w:rsidRDefault="00E14072" w:rsidP="00E14072">
      <w:pPr>
        <w:pStyle w:val="Caption"/>
        <w:rPr>
          <w:rFonts w:ascii="Verdana" w:hAnsi="Verdana"/>
          <w:color w:val="548DD4" w:themeColor="text2" w:themeTint="99"/>
          <w:sz w:val="18"/>
          <w:szCs w:val="18"/>
          <w:lang w:val="en-US"/>
        </w:rPr>
      </w:pPr>
      <w:r w:rsidRPr="00E14072">
        <w:rPr>
          <w:rFonts w:ascii="Verdana" w:hAnsi="Verdana"/>
          <w:color w:val="548DD4" w:themeColor="text2" w:themeTint="99"/>
          <w:sz w:val="18"/>
          <w:szCs w:val="18"/>
          <w:lang w:val="en-US"/>
        </w:rPr>
        <w:t xml:space="preserve">Figure </w:t>
      </w:r>
      <w:r>
        <w:rPr>
          <w:rFonts w:ascii="Verdana" w:hAnsi="Verdana"/>
          <w:color w:val="548DD4" w:themeColor="text2" w:themeTint="99"/>
          <w:sz w:val="18"/>
          <w:szCs w:val="18"/>
          <w:lang w:val="en-US"/>
        </w:rPr>
        <w:fldChar w:fldCharType="begin"/>
      </w:r>
      <w:r>
        <w:rPr>
          <w:rFonts w:ascii="Verdana" w:hAnsi="Verdana"/>
          <w:color w:val="548DD4" w:themeColor="text2" w:themeTint="99"/>
          <w:sz w:val="18"/>
          <w:szCs w:val="18"/>
          <w:lang w:val="en-US"/>
        </w:rPr>
        <w:instrText xml:space="preserve"> STYLEREF 1 \s </w:instrText>
      </w:r>
      <w:r>
        <w:rPr>
          <w:rFonts w:ascii="Verdana" w:hAnsi="Verdana"/>
          <w:color w:val="548DD4" w:themeColor="text2" w:themeTint="99"/>
          <w:sz w:val="18"/>
          <w:szCs w:val="18"/>
          <w:lang w:val="en-US"/>
        </w:rPr>
        <w:fldChar w:fldCharType="separate"/>
      </w:r>
      <w:r>
        <w:rPr>
          <w:rFonts w:ascii="Verdana" w:hAnsi="Verdana"/>
          <w:noProof/>
          <w:color w:val="548DD4" w:themeColor="text2" w:themeTint="99"/>
          <w:sz w:val="18"/>
          <w:szCs w:val="18"/>
          <w:lang w:val="en-US"/>
        </w:rPr>
        <w:t>6</w:t>
      </w:r>
      <w:r>
        <w:rPr>
          <w:rFonts w:ascii="Verdana" w:hAnsi="Verdana"/>
          <w:color w:val="548DD4" w:themeColor="text2" w:themeTint="99"/>
          <w:sz w:val="18"/>
          <w:szCs w:val="18"/>
          <w:lang w:val="en-US"/>
        </w:rPr>
        <w:fldChar w:fldCharType="end"/>
      </w:r>
      <w:r>
        <w:rPr>
          <w:rFonts w:ascii="Verdana" w:hAnsi="Verdana"/>
          <w:color w:val="548DD4" w:themeColor="text2" w:themeTint="99"/>
          <w:sz w:val="18"/>
          <w:szCs w:val="18"/>
          <w:lang w:val="en-US"/>
        </w:rPr>
        <w:noBreakHyphen/>
      </w:r>
      <w:r>
        <w:rPr>
          <w:rFonts w:ascii="Verdana" w:hAnsi="Verdana"/>
          <w:color w:val="548DD4" w:themeColor="text2" w:themeTint="99"/>
          <w:sz w:val="18"/>
          <w:szCs w:val="18"/>
          <w:lang w:val="en-US"/>
        </w:rPr>
        <w:fldChar w:fldCharType="begin"/>
      </w:r>
      <w:r>
        <w:rPr>
          <w:rFonts w:ascii="Verdana" w:hAnsi="Verdana"/>
          <w:color w:val="548DD4" w:themeColor="text2" w:themeTint="99"/>
          <w:sz w:val="18"/>
          <w:szCs w:val="18"/>
          <w:lang w:val="en-US"/>
        </w:rPr>
        <w:instrText xml:space="preserve"> SEQ Figure \* ARABIC \s 1 </w:instrText>
      </w:r>
      <w:r>
        <w:rPr>
          <w:rFonts w:ascii="Verdana" w:hAnsi="Verdana"/>
          <w:color w:val="548DD4" w:themeColor="text2" w:themeTint="99"/>
          <w:sz w:val="18"/>
          <w:szCs w:val="18"/>
          <w:lang w:val="en-US"/>
        </w:rPr>
        <w:fldChar w:fldCharType="separate"/>
      </w:r>
      <w:r>
        <w:rPr>
          <w:rFonts w:ascii="Verdana" w:hAnsi="Verdana"/>
          <w:noProof/>
          <w:color w:val="548DD4" w:themeColor="text2" w:themeTint="99"/>
          <w:sz w:val="18"/>
          <w:szCs w:val="18"/>
          <w:lang w:val="en-US"/>
        </w:rPr>
        <w:t>8</w:t>
      </w:r>
      <w:r>
        <w:rPr>
          <w:rFonts w:ascii="Verdana" w:hAnsi="Verdana"/>
          <w:color w:val="548DD4" w:themeColor="text2" w:themeTint="99"/>
          <w:sz w:val="18"/>
          <w:szCs w:val="18"/>
          <w:lang w:val="en-US"/>
        </w:rPr>
        <w:fldChar w:fldCharType="end"/>
      </w:r>
      <w:r w:rsidRPr="00E14072">
        <w:rPr>
          <w:rFonts w:ascii="Verdana" w:hAnsi="Verdana"/>
          <w:color w:val="548DD4" w:themeColor="text2" w:themeTint="99"/>
          <w:sz w:val="18"/>
          <w:szCs w:val="18"/>
          <w:lang w:val="en-US"/>
        </w:rPr>
        <w:t xml:space="preserve"> </w:t>
      </w:r>
      <w:r w:rsidR="000F3909" w:rsidRPr="00E14072">
        <w:rPr>
          <w:rFonts w:ascii="Verdana" w:hAnsi="Verdana"/>
          <w:color w:val="548DD4" w:themeColor="text2" w:themeTint="99"/>
          <w:sz w:val="18"/>
          <w:szCs w:val="18"/>
          <w:lang w:val="en-US"/>
        </w:rPr>
        <w:t>Cost-recovery levels in EU MSs (the red lines indicate the levels of 80% and 100%)</w:t>
      </w:r>
      <w:r w:rsidR="000F3909" w:rsidRPr="00E14072">
        <w:rPr>
          <w:rFonts w:ascii="Verdana" w:hAnsi="Verdana"/>
          <w:color w:val="548DD4" w:themeColor="text2" w:themeTint="99"/>
          <w:sz w:val="18"/>
          <w:szCs w:val="18"/>
          <w:vertAlign w:val="superscript"/>
          <w:lang w:val="en-US"/>
        </w:rPr>
        <w:footnoteReference w:id="58"/>
      </w:r>
    </w:p>
    <w:p w14:paraId="36B140C8" w14:textId="17AF0FF1" w:rsidR="000F3909" w:rsidRPr="00736A50" w:rsidRDefault="00E14072" w:rsidP="00E14072">
      <w:pPr>
        <w:spacing w:after="120" w:line="240" w:lineRule="atLeast"/>
        <w:jc w:val="left"/>
        <w:rPr>
          <w:rFonts w:ascii="Segoe UI" w:eastAsiaTheme="minorHAnsi" w:hAnsi="Segoe UI" w:cstheme="minorBidi"/>
          <w:color w:val="000000"/>
          <w:sz w:val="20"/>
        </w:rPr>
      </w:pPr>
      <w:r w:rsidRPr="00EC417F">
        <w:rPr>
          <w:rFonts w:eastAsiaTheme="minorHAnsi"/>
          <w:noProof/>
          <w:lang w:val="en-US"/>
        </w:rPr>
        <w:drawing>
          <wp:anchor distT="0" distB="0" distL="114300" distR="114300" simplePos="0" relativeHeight="251684864" behindDoc="0" locked="0" layoutInCell="1" allowOverlap="1" wp14:anchorId="65980098" wp14:editId="3DD8AFE6">
            <wp:simplePos x="0" y="0"/>
            <wp:positionH relativeFrom="column">
              <wp:posOffset>3427730</wp:posOffset>
            </wp:positionH>
            <wp:positionV relativeFrom="margin">
              <wp:posOffset>3716020</wp:posOffset>
            </wp:positionV>
            <wp:extent cx="3108960" cy="557514"/>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08960" cy="557514"/>
                    </a:xfrm>
                    <a:prstGeom prst="rect">
                      <a:avLst/>
                    </a:prstGeom>
                    <a:noFill/>
                    <a:ln>
                      <a:noFill/>
                    </a:ln>
                  </pic:spPr>
                </pic:pic>
              </a:graphicData>
            </a:graphic>
            <wp14:sizeRelH relativeFrom="page">
              <wp14:pctWidth>0</wp14:pctWidth>
            </wp14:sizeRelH>
            <wp14:sizeRelV relativeFrom="page">
              <wp14:pctHeight>0</wp14:pctHeight>
            </wp14:sizeRelV>
          </wp:anchor>
        </w:drawing>
      </w:r>
      <w:r w:rsidR="000F3909" w:rsidRPr="007778D4">
        <w:rPr>
          <w:rFonts w:ascii="Segoe UI" w:eastAsiaTheme="minorHAnsi" w:hAnsi="Segoe UI" w:cstheme="minorBidi"/>
          <w:noProof/>
          <w:color w:val="000000"/>
          <w:sz w:val="20"/>
          <w:lang w:val="en-US"/>
        </w:rPr>
        <w:drawing>
          <wp:inline distT="0" distB="0" distL="0" distR="0" wp14:anchorId="4DF792CE" wp14:editId="0C3E69C8">
            <wp:extent cx="7600956" cy="4585180"/>
            <wp:effectExtent l="3175" t="0" r="3175" b="317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rot="5400000">
                      <a:off x="0" y="0"/>
                      <a:ext cx="7619829" cy="4596565"/>
                    </a:xfrm>
                    <a:prstGeom prst="rect">
                      <a:avLst/>
                    </a:prstGeom>
                  </pic:spPr>
                </pic:pic>
              </a:graphicData>
            </a:graphic>
          </wp:inline>
        </w:drawing>
      </w:r>
    </w:p>
    <w:p w14:paraId="490F0036" w14:textId="77777777" w:rsidR="000F3909" w:rsidRPr="00E14072" w:rsidRDefault="000F3909" w:rsidP="000F3909">
      <w:pPr>
        <w:spacing w:line="240" w:lineRule="atLeast"/>
        <w:rPr>
          <w:rFonts w:ascii="Verdana" w:eastAsiaTheme="minorHAnsi" w:hAnsi="Verdana" w:cstheme="minorBidi"/>
          <w:color w:val="000000"/>
          <w:sz w:val="20"/>
          <w:lang w:val="en-US"/>
        </w:rPr>
      </w:pPr>
      <w:r w:rsidRPr="00E14072">
        <w:rPr>
          <w:rFonts w:ascii="Verdana" w:eastAsiaTheme="minorHAnsi" w:hAnsi="Verdana" w:cstheme="minorBidi"/>
          <w:color w:val="000000"/>
          <w:sz w:val="16"/>
          <w:szCs w:val="16"/>
          <w:lang w:val="en-US"/>
        </w:rPr>
        <w:t>Source: Data extracted from the country fiches by the project team</w:t>
      </w:r>
    </w:p>
    <w:p w14:paraId="5F88035D" w14:textId="77777777" w:rsidR="000F3909" w:rsidRPr="000F3909" w:rsidRDefault="000F3909" w:rsidP="00E14072">
      <w:pPr>
        <w:pStyle w:val="Body"/>
        <w:rPr>
          <w:rFonts w:eastAsiaTheme="minorHAnsi"/>
          <w:lang w:val="en-US"/>
        </w:rPr>
      </w:pPr>
      <w:r w:rsidRPr="000F3909">
        <w:rPr>
          <w:rFonts w:eastAsiaTheme="minorHAnsi"/>
          <w:lang w:val="en-US"/>
        </w:rPr>
        <w:t xml:space="preserve">In most countries revenues from water and sanitation tariffs are the major, if not only, source of funding for these services. But what are the </w:t>
      </w:r>
      <w:r w:rsidRPr="000F3909">
        <w:rPr>
          <w:rFonts w:eastAsiaTheme="minorHAnsi"/>
          <w:b/>
          <w:bCs/>
          <w:lang w:val="en-US"/>
        </w:rPr>
        <w:t>implications of high cost-recovery rates on affordability of water and sanitation services</w:t>
      </w:r>
      <w:r w:rsidRPr="000F3909">
        <w:rPr>
          <w:rFonts w:eastAsiaTheme="minorHAnsi"/>
          <w:lang w:val="en-US"/>
        </w:rPr>
        <w:t>? The following graphs provide data attempting to build an answer to this question.</w:t>
      </w:r>
    </w:p>
    <w:p w14:paraId="7FF5E843" w14:textId="77777777" w:rsidR="000F3909" w:rsidRPr="000F3909" w:rsidRDefault="000F3909" w:rsidP="00E14072">
      <w:pPr>
        <w:pStyle w:val="Body"/>
        <w:rPr>
          <w:rFonts w:eastAsiaTheme="minorHAnsi"/>
          <w:lang w:val="en-US"/>
        </w:rPr>
      </w:pPr>
      <w:r w:rsidRPr="000F3909">
        <w:rPr>
          <w:rFonts w:eastAsiaTheme="minorHAnsi"/>
          <w:lang w:val="en-US"/>
        </w:rPr>
        <w:t xml:space="preserve">The first figure provides an </w:t>
      </w:r>
      <w:r w:rsidRPr="000F3909">
        <w:rPr>
          <w:rFonts w:eastAsiaTheme="minorHAnsi"/>
          <w:b/>
          <w:bCs/>
          <w:lang w:val="en-US"/>
        </w:rPr>
        <w:t>overview of average domestic water tariffs in EU MS</w:t>
      </w:r>
      <w:r w:rsidRPr="000F3909">
        <w:rPr>
          <w:rFonts w:eastAsiaTheme="minorHAnsi"/>
          <w:lang w:val="en-US"/>
        </w:rPr>
        <w:t xml:space="preserve"> – data exclude irrigation and combine water supply, sewage collection and wastewater treatment; </w:t>
      </w:r>
      <w:r w:rsidRPr="000F3909">
        <w:rPr>
          <w:rFonts w:eastAsiaTheme="minorHAnsi"/>
          <w:b/>
          <w:bCs/>
          <w:lang w:val="en-US"/>
        </w:rPr>
        <w:t>separate information on industrial water tariffs is not available in several countries</w:t>
      </w:r>
      <w:r w:rsidRPr="000F3909">
        <w:rPr>
          <w:rFonts w:eastAsiaTheme="minorHAnsi"/>
          <w:lang w:val="en-US"/>
        </w:rPr>
        <w:t>, which is why here only domestic tariffs are presented. In most countries, the average price includes households, industry and services. In 9 MS out of 27, water supply and sanitation tariffs are set between 1 and 2 EUR/m</w:t>
      </w:r>
      <w:r w:rsidRPr="000F3909">
        <w:rPr>
          <w:rFonts w:eastAsiaTheme="minorHAnsi"/>
          <w:vertAlign w:val="superscript"/>
          <w:lang w:val="en-US"/>
        </w:rPr>
        <w:t>3</w:t>
      </w:r>
      <w:r w:rsidRPr="000F3909">
        <w:rPr>
          <w:rFonts w:eastAsiaTheme="minorHAnsi"/>
          <w:lang w:val="en-US"/>
        </w:rPr>
        <w:t>, in 7 MS between 2 and 3 EUR/m</w:t>
      </w:r>
      <w:r w:rsidRPr="000F3909">
        <w:rPr>
          <w:rFonts w:eastAsiaTheme="minorHAnsi"/>
          <w:vertAlign w:val="superscript"/>
          <w:lang w:val="en-US"/>
        </w:rPr>
        <w:t>3</w:t>
      </w:r>
      <w:r w:rsidRPr="000F3909">
        <w:rPr>
          <w:rFonts w:eastAsiaTheme="minorHAnsi"/>
          <w:lang w:val="en-US"/>
        </w:rPr>
        <w:t>; and in 5 MS, tariffs above 5 EUR/m</w:t>
      </w:r>
      <w:r w:rsidRPr="000F3909">
        <w:rPr>
          <w:rFonts w:eastAsiaTheme="minorHAnsi"/>
          <w:vertAlign w:val="superscript"/>
          <w:lang w:val="en-US"/>
        </w:rPr>
        <w:t>3</w:t>
      </w:r>
      <w:r w:rsidRPr="000F3909">
        <w:rPr>
          <w:rFonts w:eastAsiaTheme="minorHAnsi"/>
          <w:lang w:val="en-US"/>
        </w:rPr>
        <w:t xml:space="preserve">. </w:t>
      </w:r>
    </w:p>
    <w:p w14:paraId="7C263B58" w14:textId="5F092A14" w:rsidR="000F3909" w:rsidRPr="00E14072" w:rsidRDefault="00E14072" w:rsidP="00E14072">
      <w:pPr>
        <w:pStyle w:val="Caption"/>
        <w:rPr>
          <w:rFonts w:ascii="Verdana" w:hAnsi="Verdana"/>
          <w:color w:val="548DD4" w:themeColor="text2" w:themeTint="99"/>
          <w:sz w:val="18"/>
          <w:szCs w:val="18"/>
          <w:lang w:val="en-US"/>
        </w:rPr>
      </w:pPr>
      <w:r w:rsidRPr="00E14072">
        <w:rPr>
          <w:rFonts w:ascii="Verdana" w:hAnsi="Verdana"/>
          <w:color w:val="548DD4" w:themeColor="text2" w:themeTint="99"/>
          <w:sz w:val="18"/>
          <w:szCs w:val="18"/>
          <w:lang w:val="en-US"/>
        </w:rPr>
        <w:t xml:space="preserve">Figure </w:t>
      </w:r>
      <w:r>
        <w:rPr>
          <w:rFonts w:ascii="Verdana" w:hAnsi="Verdana"/>
          <w:color w:val="548DD4" w:themeColor="text2" w:themeTint="99"/>
          <w:sz w:val="18"/>
          <w:szCs w:val="18"/>
          <w:lang w:val="en-US"/>
        </w:rPr>
        <w:fldChar w:fldCharType="begin"/>
      </w:r>
      <w:r>
        <w:rPr>
          <w:rFonts w:ascii="Verdana" w:hAnsi="Verdana"/>
          <w:color w:val="548DD4" w:themeColor="text2" w:themeTint="99"/>
          <w:sz w:val="18"/>
          <w:szCs w:val="18"/>
          <w:lang w:val="en-US"/>
        </w:rPr>
        <w:instrText xml:space="preserve"> STYLEREF 1 \s </w:instrText>
      </w:r>
      <w:r>
        <w:rPr>
          <w:rFonts w:ascii="Verdana" w:hAnsi="Verdana"/>
          <w:color w:val="548DD4" w:themeColor="text2" w:themeTint="99"/>
          <w:sz w:val="18"/>
          <w:szCs w:val="18"/>
          <w:lang w:val="en-US"/>
        </w:rPr>
        <w:fldChar w:fldCharType="separate"/>
      </w:r>
      <w:r>
        <w:rPr>
          <w:rFonts w:ascii="Verdana" w:hAnsi="Verdana"/>
          <w:noProof/>
          <w:color w:val="548DD4" w:themeColor="text2" w:themeTint="99"/>
          <w:sz w:val="18"/>
          <w:szCs w:val="18"/>
          <w:lang w:val="en-US"/>
        </w:rPr>
        <w:t>6</w:t>
      </w:r>
      <w:r>
        <w:rPr>
          <w:rFonts w:ascii="Verdana" w:hAnsi="Verdana"/>
          <w:color w:val="548DD4" w:themeColor="text2" w:themeTint="99"/>
          <w:sz w:val="18"/>
          <w:szCs w:val="18"/>
          <w:lang w:val="en-US"/>
        </w:rPr>
        <w:fldChar w:fldCharType="end"/>
      </w:r>
      <w:r>
        <w:rPr>
          <w:rFonts w:ascii="Verdana" w:hAnsi="Verdana"/>
          <w:color w:val="548DD4" w:themeColor="text2" w:themeTint="99"/>
          <w:sz w:val="18"/>
          <w:szCs w:val="18"/>
          <w:lang w:val="en-US"/>
        </w:rPr>
        <w:noBreakHyphen/>
      </w:r>
      <w:r>
        <w:rPr>
          <w:rFonts w:ascii="Verdana" w:hAnsi="Verdana"/>
          <w:color w:val="548DD4" w:themeColor="text2" w:themeTint="99"/>
          <w:sz w:val="18"/>
          <w:szCs w:val="18"/>
          <w:lang w:val="en-US"/>
        </w:rPr>
        <w:fldChar w:fldCharType="begin"/>
      </w:r>
      <w:r>
        <w:rPr>
          <w:rFonts w:ascii="Verdana" w:hAnsi="Verdana"/>
          <w:color w:val="548DD4" w:themeColor="text2" w:themeTint="99"/>
          <w:sz w:val="18"/>
          <w:szCs w:val="18"/>
          <w:lang w:val="en-US"/>
        </w:rPr>
        <w:instrText xml:space="preserve"> SEQ Figure \* ARABIC \s 1 </w:instrText>
      </w:r>
      <w:r>
        <w:rPr>
          <w:rFonts w:ascii="Verdana" w:hAnsi="Verdana"/>
          <w:color w:val="548DD4" w:themeColor="text2" w:themeTint="99"/>
          <w:sz w:val="18"/>
          <w:szCs w:val="18"/>
          <w:lang w:val="en-US"/>
        </w:rPr>
        <w:fldChar w:fldCharType="separate"/>
      </w:r>
      <w:r>
        <w:rPr>
          <w:rFonts w:ascii="Verdana" w:hAnsi="Verdana"/>
          <w:noProof/>
          <w:color w:val="548DD4" w:themeColor="text2" w:themeTint="99"/>
          <w:sz w:val="18"/>
          <w:szCs w:val="18"/>
          <w:lang w:val="en-US"/>
        </w:rPr>
        <w:t>9</w:t>
      </w:r>
      <w:r>
        <w:rPr>
          <w:rFonts w:ascii="Verdana" w:hAnsi="Verdana"/>
          <w:color w:val="548DD4" w:themeColor="text2" w:themeTint="99"/>
          <w:sz w:val="18"/>
          <w:szCs w:val="18"/>
          <w:lang w:val="en-US"/>
        </w:rPr>
        <w:fldChar w:fldCharType="end"/>
      </w:r>
      <w:r w:rsidRPr="00E14072">
        <w:rPr>
          <w:rFonts w:ascii="Verdana" w:hAnsi="Verdana"/>
          <w:color w:val="548DD4" w:themeColor="text2" w:themeTint="99"/>
          <w:sz w:val="18"/>
          <w:szCs w:val="18"/>
          <w:lang w:val="en-US"/>
        </w:rPr>
        <w:t xml:space="preserve"> </w:t>
      </w:r>
      <w:r w:rsidR="000F3909" w:rsidRPr="00E14072">
        <w:rPr>
          <w:rFonts w:ascii="Verdana" w:hAnsi="Verdana"/>
          <w:color w:val="548DD4" w:themeColor="text2" w:themeTint="99"/>
          <w:sz w:val="18"/>
          <w:szCs w:val="18"/>
          <w:lang w:val="en-US"/>
        </w:rPr>
        <w:t>Average domestic water and sanitation tariffs in the EU - overview</w:t>
      </w:r>
    </w:p>
    <w:p w14:paraId="61BF9368" w14:textId="77777777" w:rsidR="000F3909" w:rsidRPr="00736A50" w:rsidRDefault="000F3909" w:rsidP="000F3909">
      <w:pPr>
        <w:spacing w:line="240" w:lineRule="atLeast"/>
        <w:rPr>
          <w:rFonts w:ascii="Segoe UI" w:eastAsiaTheme="minorHAnsi" w:hAnsi="Segoe UI" w:cstheme="minorBidi"/>
          <w:color w:val="000000"/>
          <w:sz w:val="20"/>
        </w:rPr>
      </w:pPr>
      <w:r>
        <w:rPr>
          <w:rFonts w:ascii="Segoe UI" w:eastAsiaTheme="minorHAnsi" w:hAnsi="Segoe UI" w:cstheme="minorBidi"/>
          <w:noProof/>
          <w:color w:val="000000"/>
          <w:sz w:val="20"/>
          <w:lang w:val="en-US"/>
        </w:rPr>
        <w:drawing>
          <wp:inline distT="0" distB="0" distL="0" distR="0" wp14:anchorId="3DE8267E" wp14:editId="0E197C34">
            <wp:extent cx="4183380" cy="2656138"/>
            <wp:effectExtent l="0" t="0" r="762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6093" cy="2657860"/>
                    </a:xfrm>
                    <a:prstGeom prst="rect">
                      <a:avLst/>
                    </a:prstGeom>
                    <a:noFill/>
                  </pic:spPr>
                </pic:pic>
              </a:graphicData>
            </a:graphic>
          </wp:inline>
        </w:drawing>
      </w:r>
    </w:p>
    <w:p w14:paraId="0D86E11D" w14:textId="77777777" w:rsidR="000F3909" w:rsidRPr="000F3909" w:rsidRDefault="000F3909" w:rsidP="000F3909">
      <w:pPr>
        <w:spacing w:line="240" w:lineRule="atLeast"/>
        <w:rPr>
          <w:rFonts w:ascii="Segoe UI" w:eastAsiaTheme="minorHAnsi" w:hAnsi="Segoe UI" w:cstheme="minorBidi"/>
          <w:color w:val="000000"/>
          <w:sz w:val="20"/>
          <w:lang w:val="en-US"/>
        </w:rPr>
      </w:pPr>
      <w:r w:rsidRPr="000F3909">
        <w:rPr>
          <w:rFonts w:ascii="Segoe UI" w:eastAsiaTheme="minorHAnsi" w:hAnsi="Segoe UI" w:cstheme="minorBidi"/>
          <w:color w:val="000000"/>
          <w:sz w:val="16"/>
          <w:szCs w:val="16"/>
          <w:lang w:val="en-US"/>
        </w:rPr>
        <w:t>Source: Data extracted from the country fiches by the project team</w:t>
      </w:r>
    </w:p>
    <w:p w14:paraId="0A76D155" w14:textId="77777777" w:rsidR="000F3909" w:rsidRPr="000F3909" w:rsidRDefault="000F3909" w:rsidP="00E14072">
      <w:pPr>
        <w:pStyle w:val="Body"/>
        <w:rPr>
          <w:rFonts w:eastAsiaTheme="minorHAnsi"/>
          <w:lang w:val="en-US"/>
        </w:rPr>
      </w:pPr>
    </w:p>
    <w:p w14:paraId="0B495B69" w14:textId="77777777" w:rsidR="000F3909" w:rsidRPr="000F3909" w:rsidRDefault="000F3909" w:rsidP="00E14072">
      <w:pPr>
        <w:pStyle w:val="Body"/>
        <w:rPr>
          <w:rFonts w:eastAsiaTheme="minorHAnsi"/>
          <w:lang w:val="en-US"/>
        </w:rPr>
      </w:pPr>
      <w:r w:rsidRPr="000F3909">
        <w:rPr>
          <w:rFonts w:eastAsiaTheme="minorHAnsi"/>
          <w:lang w:val="en-US"/>
        </w:rPr>
        <w:t xml:space="preserve">The next figure presents </w:t>
      </w:r>
      <w:r w:rsidRPr="000F3909">
        <w:rPr>
          <w:rFonts w:eastAsiaTheme="minorHAnsi"/>
          <w:b/>
          <w:bCs/>
          <w:lang w:val="en-US"/>
        </w:rPr>
        <w:t>water tariffs at the MS level</w:t>
      </w:r>
      <w:r w:rsidRPr="000F3909">
        <w:rPr>
          <w:rFonts w:eastAsiaTheme="minorHAnsi"/>
          <w:lang w:val="en-US"/>
        </w:rPr>
        <w:t xml:space="preserve">, combined with </w:t>
      </w:r>
      <w:r w:rsidRPr="000F3909">
        <w:rPr>
          <w:rFonts w:eastAsiaTheme="minorHAnsi"/>
          <w:b/>
          <w:bCs/>
          <w:lang w:val="en-US"/>
        </w:rPr>
        <w:t>information on financial cost recovery levels</w:t>
      </w:r>
      <w:r w:rsidRPr="000F3909">
        <w:rPr>
          <w:rFonts w:eastAsiaTheme="minorHAnsi"/>
          <w:lang w:val="en-US"/>
        </w:rPr>
        <w:t>: MS with cost recovery levels equal to, or higher than 100% are highlighted in dark green, whereas MS with cost recovery levels between 90 and 100% are marked in light green. Different rates allow for achieving full or high cost recovery levels: this might reflect a difference in the costs of water management in the different MS, but it could also highlight different levels of cost-effectiveness in the management of water and sanitation services. The data collected in the context of this study do not allow for such an analysis, but this is something that might be worth investigating in further economic studies of water management in the EU.</w:t>
      </w:r>
    </w:p>
    <w:p w14:paraId="18448118" w14:textId="77777777" w:rsidR="000F3909" w:rsidRPr="000F3909" w:rsidRDefault="000F3909" w:rsidP="000F3909">
      <w:pPr>
        <w:spacing w:after="0"/>
        <w:rPr>
          <w:rFonts w:ascii="Segoe UI" w:eastAsiaTheme="minorHAnsi" w:hAnsi="Segoe UI" w:cstheme="minorBidi"/>
          <w:color w:val="000000"/>
          <w:sz w:val="20"/>
          <w:lang w:val="en-US"/>
        </w:rPr>
      </w:pPr>
      <w:r w:rsidRPr="000F3909">
        <w:rPr>
          <w:lang w:val="en-US"/>
        </w:rPr>
        <w:br w:type="page"/>
      </w:r>
    </w:p>
    <w:p w14:paraId="3FCC011B" w14:textId="0D1A381D" w:rsidR="000F3909" w:rsidRPr="00E14072" w:rsidRDefault="00E14072" w:rsidP="00E14072">
      <w:pPr>
        <w:pStyle w:val="Caption"/>
        <w:rPr>
          <w:rFonts w:ascii="Verdana" w:hAnsi="Verdana"/>
          <w:color w:val="548DD4" w:themeColor="text2" w:themeTint="99"/>
          <w:sz w:val="18"/>
          <w:szCs w:val="18"/>
          <w:lang w:val="en-US"/>
        </w:rPr>
      </w:pPr>
      <w:r w:rsidRPr="00E14072">
        <w:rPr>
          <w:rFonts w:ascii="Verdana" w:hAnsi="Verdana"/>
          <w:color w:val="548DD4" w:themeColor="text2" w:themeTint="99"/>
          <w:sz w:val="18"/>
          <w:szCs w:val="18"/>
          <w:lang w:val="en-US"/>
        </w:rPr>
        <w:t xml:space="preserve">Figure </w:t>
      </w:r>
      <w:r>
        <w:rPr>
          <w:rFonts w:ascii="Verdana" w:hAnsi="Verdana"/>
          <w:color w:val="548DD4" w:themeColor="text2" w:themeTint="99"/>
          <w:sz w:val="18"/>
          <w:szCs w:val="18"/>
          <w:lang w:val="en-US"/>
        </w:rPr>
        <w:fldChar w:fldCharType="begin"/>
      </w:r>
      <w:r>
        <w:rPr>
          <w:rFonts w:ascii="Verdana" w:hAnsi="Verdana"/>
          <w:color w:val="548DD4" w:themeColor="text2" w:themeTint="99"/>
          <w:sz w:val="18"/>
          <w:szCs w:val="18"/>
          <w:lang w:val="en-US"/>
        </w:rPr>
        <w:instrText xml:space="preserve"> STYLEREF 1 \s </w:instrText>
      </w:r>
      <w:r>
        <w:rPr>
          <w:rFonts w:ascii="Verdana" w:hAnsi="Verdana"/>
          <w:color w:val="548DD4" w:themeColor="text2" w:themeTint="99"/>
          <w:sz w:val="18"/>
          <w:szCs w:val="18"/>
          <w:lang w:val="en-US"/>
        </w:rPr>
        <w:fldChar w:fldCharType="separate"/>
      </w:r>
      <w:r>
        <w:rPr>
          <w:rFonts w:ascii="Verdana" w:hAnsi="Verdana"/>
          <w:noProof/>
          <w:color w:val="548DD4" w:themeColor="text2" w:themeTint="99"/>
          <w:sz w:val="18"/>
          <w:szCs w:val="18"/>
          <w:lang w:val="en-US"/>
        </w:rPr>
        <w:t>6</w:t>
      </w:r>
      <w:r>
        <w:rPr>
          <w:rFonts w:ascii="Verdana" w:hAnsi="Verdana"/>
          <w:color w:val="548DD4" w:themeColor="text2" w:themeTint="99"/>
          <w:sz w:val="18"/>
          <w:szCs w:val="18"/>
          <w:lang w:val="en-US"/>
        </w:rPr>
        <w:fldChar w:fldCharType="end"/>
      </w:r>
      <w:r>
        <w:rPr>
          <w:rFonts w:ascii="Verdana" w:hAnsi="Verdana"/>
          <w:color w:val="548DD4" w:themeColor="text2" w:themeTint="99"/>
          <w:sz w:val="18"/>
          <w:szCs w:val="18"/>
          <w:lang w:val="en-US"/>
        </w:rPr>
        <w:noBreakHyphen/>
      </w:r>
      <w:r>
        <w:rPr>
          <w:rFonts w:ascii="Verdana" w:hAnsi="Verdana"/>
          <w:color w:val="548DD4" w:themeColor="text2" w:themeTint="99"/>
          <w:sz w:val="18"/>
          <w:szCs w:val="18"/>
          <w:lang w:val="en-US"/>
        </w:rPr>
        <w:fldChar w:fldCharType="begin"/>
      </w:r>
      <w:r>
        <w:rPr>
          <w:rFonts w:ascii="Verdana" w:hAnsi="Verdana"/>
          <w:color w:val="548DD4" w:themeColor="text2" w:themeTint="99"/>
          <w:sz w:val="18"/>
          <w:szCs w:val="18"/>
          <w:lang w:val="en-US"/>
        </w:rPr>
        <w:instrText xml:space="preserve"> SEQ Figure \* ARABIC \s 1 </w:instrText>
      </w:r>
      <w:r>
        <w:rPr>
          <w:rFonts w:ascii="Verdana" w:hAnsi="Verdana"/>
          <w:color w:val="548DD4" w:themeColor="text2" w:themeTint="99"/>
          <w:sz w:val="18"/>
          <w:szCs w:val="18"/>
          <w:lang w:val="en-US"/>
        </w:rPr>
        <w:fldChar w:fldCharType="separate"/>
      </w:r>
      <w:r>
        <w:rPr>
          <w:rFonts w:ascii="Verdana" w:hAnsi="Verdana"/>
          <w:noProof/>
          <w:color w:val="548DD4" w:themeColor="text2" w:themeTint="99"/>
          <w:sz w:val="18"/>
          <w:szCs w:val="18"/>
          <w:lang w:val="en-US"/>
        </w:rPr>
        <w:t>10</w:t>
      </w:r>
      <w:r>
        <w:rPr>
          <w:rFonts w:ascii="Verdana" w:hAnsi="Verdana"/>
          <w:color w:val="548DD4" w:themeColor="text2" w:themeTint="99"/>
          <w:sz w:val="18"/>
          <w:szCs w:val="18"/>
          <w:lang w:val="en-US"/>
        </w:rPr>
        <w:fldChar w:fldCharType="end"/>
      </w:r>
      <w:r w:rsidRPr="00E14072">
        <w:rPr>
          <w:rFonts w:ascii="Verdana" w:hAnsi="Verdana"/>
          <w:color w:val="548DD4" w:themeColor="text2" w:themeTint="99"/>
          <w:sz w:val="18"/>
          <w:szCs w:val="18"/>
          <w:lang w:val="en-US"/>
        </w:rPr>
        <w:t xml:space="preserve"> </w:t>
      </w:r>
      <w:r w:rsidR="000F3909" w:rsidRPr="00E14072">
        <w:rPr>
          <w:rFonts w:ascii="Verdana" w:hAnsi="Verdana"/>
          <w:color w:val="548DD4" w:themeColor="text2" w:themeTint="99"/>
          <w:sz w:val="18"/>
          <w:szCs w:val="18"/>
          <w:lang w:val="en-US"/>
        </w:rPr>
        <w:t>Average domestic water and sanitation tariffs in EU MS</w:t>
      </w:r>
      <w:r w:rsidR="000F3909" w:rsidRPr="00E14072">
        <w:rPr>
          <w:rFonts w:ascii="Verdana" w:hAnsi="Verdana"/>
          <w:color w:val="548DD4" w:themeColor="text2" w:themeTint="99"/>
          <w:sz w:val="18"/>
          <w:szCs w:val="18"/>
          <w:vertAlign w:val="superscript"/>
          <w:lang w:val="en-US"/>
        </w:rPr>
        <w:footnoteReference w:id="59"/>
      </w:r>
      <w:r w:rsidR="000F3909" w:rsidRPr="00E14072">
        <w:rPr>
          <w:rFonts w:ascii="Verdana" w:hAnsi="Verdana"/>
          <w:color w:val="548DD4" w:themeColor="text2" w:themeTint="99"/>
          <w:sz w:val="18"/>
          <w:szCs w:val="18"/>
          <w:lang w:val="en-US"/>
        </w:rPr>
        <w:t xml:space="preserve"> and countries with cost-recovery levels ≥ 100% and between 90% and 100%</w:t>
      </w:r>
    </w:p>
    <w:p w14:paraId="654D6AAE" w14:textId="01EA7761" w:rsidR="000F3909" w:rsidRPr="00736A50" w:rsidRDefault="00E14072" w:rsidP="00E14072">
      <w:pPr>
        <w:spacing w:after="120" w:line="240" w:lineRule="atLeast"/>
        <w:jc w:val="left"/>
        <w:rPr>
          <w:rFonts w:ascii="Segoe UI" w:eastAsiaTheme="minorHAnsi" w:hAnsi="Segoe UI" w:cstheme="minorBidi"/>
          <w:color w:val="000000"/>
          <w:sz w:val="20"/>
        </w:rPr>
      </w:pPr>
      <w:r w:rsidRPr="00667A66">
        <w:rPr>
          <w:rFonts w:ascii="Segoe UI" w:eastAsiaTheme="minorHAnsi" w:hAnsi="Segoe UI" w:cstheme="minorBidi"/>
          <w:noProof/>
          <w:color w:val="000000"/>
          <w:sz w:val="20"/>
          <w:lang w:val="en-US"/>
        </w:rPr>
        <w:drawing>
          <wp:anchor distT="0" distB="0" distL="114300" distR="114300" simplePos="0" relativeHeight="251687936" behindDoc="0" locked="0" layoutInCell="1" allowOverlap="1" wp14:anchorId="0A3A7F61" wp14:editId="41CFDBE4">
            <wp:simplePos x="0" y="0"/>
            <wp:positionH relativeFrom="column">
              <wp:posOffset>4166870</wp:posOffset>
            </wp:positionH>
            <wp:positionV relativeFrom="margin">
              <wp:posOffset>3746500</wp:posOffset>
            </wp:positionV>
            <wp:extent cx="2118360" cy="751055"/>
            <wp:effectExtent l="0" t="0" r="0" b="0"/>
            <wp:wrapNone/>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18360" cy="751055"/>
                    </a:xfrm>
                    <a:prstGeom prst="rect">
                      <a:avLst/>
                    </a:prstGeom>
                  </pic:spPr>
                </pic:pic>
              </a:graphicData>
            </a:graphic>
            <wp14:sizeRelH relativeFrom="page">
              <wp14:pctWidth>0</wp14:pctWidth>
            </wp14:sizeRelH>
            <wp14:sizeRelV relativeFrom="page">
              <wp14:pctHeight>0</wp14:pctHeight>
            </wp14:sizeRelV>
          </wp:anchor>
        </w:drawing>
      </w:r>
      <w:r w:rsidR="000F3909" w:rsidRPr="009E5E9C">
        <w:rPr>
          <w:rFonts w:ascii="Segoe UI" w:eastAsiaTheme="minorHAnsi" w:hAnsi="Segoe UI" w:cstheme="minorBidi"/>
          <w:noProof/>
          <w:color w:val="000000"/>
          <w:sz w:val="20"/>
          <w:lang w:val="en-US"/>
        </w:rPr>
        <w:drawing>
          <wp:inline distT="0" distB="0" distL="0" distR="0" wp14:anchorId="02BE94DC" wp14:editId="476049E4">
            <wp:extent cx="7678716" cy="5153137"/>
            <wp:effectExtent l="5397" t="0" r="4128" b="4127"/>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rot="5400000">
                      <a:off x="0" y="0"/>
                      <a:ext cx="7695832" cy="5164623"/>
                    </a:xfrm>
                    <a:prstGeom prst="rect">
                      <a:avLst/>
                    </a:prstGeom>
                  </pic:spPr>
                </pic:pic>
              </a:graphicData>
            </a:graphic>
          </wp:inline>
        </w:drawing>
      </w:r>
    </w:p>
    <w:p w14:paraId="6602921D" w14:textId="77777777" w:rsidR="000F3909" w:rsidRPr="00E14072" w:rsidRDefault="000F3909" w:rsidP="000F3909">
      <w:pPr>
        <w:spacing w:after="0"/>
        <w:rPr>
          <w:rFonts w:ascii="Verdana" w:eastAsiaTheme="minorHAnsi" w:hAnsi="Verdana" w:cstheme="minorBidi"/>
          <w:color w:val="000000"/>
          <w:sz w:val="16"/>
          <w:lang w:val="en-US"/>
        </w:rPr>
      </w:pPr>
      <w:r w:rsidRPr="00E14072">
        <w:rPr>
          <w:rFonts w:ascii="Verdana" w:eastAsiaTheme="minorHAnsi" w:hAnsi="Verdana" w:cstheme="minorBidi"/>
          <w:color w:val="000000"/>
          <w:sz w:val="16"/>
          <w:szCs w:val="16"/>
          <w:lang w:val="en-US"/>
        </w:rPr>
        <w:t>Source: Data extracted from the country fiche by the project team</w:t>
      </w:r>
      <w:r w:rsidRPr="00E14072">
        <w:rPr>
          <w:rFonts w:ascii="Verdana" w:eastAsiaTheme="minorHAnsi" w:hAnsi="Verdana" w:cstheme="minorBidi"/>
          <w:color w:val="000000"/>
          <w:sz w:val="16"/>
          <w:lang w:val="en-US"/>
        </w:rPr>
        <w:t xml:space="preserve"> * In Ireland, households pay water tariffs only for volumes exceeding 213 000 l/year</w:t>
      </w:r>
    </w:p>
    <w:p w14:paraId="6E26EBE9" w14:textId="77777777" w:rsidR="000F3909" w:rsidRPr="000F3909" w:rsidRDefault="000F3909" w:rsidP="00E14072">
      <w:pPr>
        <w:pStyle w:val="Body"/>
        <w:rPr>
          <w:rFonts w:eastAsiaTheme="minorHAnsi"/>
          <w:lang w:val="en-US"/>
        </w:rPr>
      </w:pPr>
      <w:r w:rsidRPr="000F3909">
        <w:rPr>
          <w:rFonts w:eastAsiaTheme="minorHAnsi"/>
          <w:lang w:val="en-US"/>
        </w:rPr>
        <w:t xml:space="preserve">The following figure presents </w:t>
      </w:r>
      <w:r w:rsidRPr="000F3909">
        <w:rPr>
          <w:rFonts w:eastAsiaTheme="minorHAnsi"/>
          <w:b/>
          <w:bCs/>
          <w:lang w:val="en-US"/>
        </w:rPr>
        <w:t>affordability levels in EU MS</w:t>
      </w:r>
      <w:r w:rsidRPr="000F3909">
        <w:rPr>
          <w:rFonts w:eastAsiaTheme="minorHAnsi"/>
          <w:lang w:val="en-US"/>
        </w:rPr>
        <w:t xml:space="preserve">, presenting average affordability levels (thus expressed as the percentage of the average water bill over the average income in the country) and affordability levels for the vulnerable groups, expressed as the percentage of the average water bill over the lowest income decile – in the latter case, the average water bill is considered, and not the actual water bill which would include social tariffs and other affordability measures, which are in place in several countries. The graph also includes the projected affordability levels for the lowest income decile in case full cost recovery (full cost-recovery equivalent).   </w:t>
      </w:r>
    </w:p>
    <w:p w14:paraId="66352DBF" w14:textId="77777777" w:rsidR="000F3909" w:rsidRPr="000F3909" w:rsidRDefault="000F3909" w:rsidP="000F3909">
      <w:pPr>
        <w:spacing w:after="0"/>
        <w:rPr>
          <w:lang w:val="en-US"/>
        </w:rPr>
      </w:pPr>
      <w:r w:rsidRPr="000F3909">
        <w:rPr>
          <w:lang w:val="en-US"/>
        </w:rPr>
        <w:br w:type="page"/>
      </w:r>
    </w:p>
    <w:p w14:paraId="2128EC01" w14:textId="435F14FF" w:rsidR="000F3909" w:rsidRPr="00E14072" w:rsidRDefault="00E14072" w:rsidP="00E14072">
      <w:pPr>
        <w:pStyle w:val="Caption"/>
        <w:rPr>
          <w:rFonts w:ascii="Verdana" w:hAnsi="Verdana"/>
          <w:color w:val="548DD4" w:themeColor="text2" w:themeTint="99"/>
          <w:sz w:val="18"/>
          <w:szCs w:val="18"/>
          <w:lang w:val="en-US"/>
        </w:rPr>
      </w:pPr>
      <w:r w:rsidRPr="00E14072">
        <w:rPr>
          <w:rFonts w:ascii="Verdana" w:hAnsi="Verdana"/>
          <w:color w:val="548DD4" w:themeColor="text2" w:themeTint="99"/>
          <w:sz w:val="18"/>
          <w:szCs w:val="18"/>
          <w:lang w:val="en-US"/>
        </w:rPr>
        <w:t xml:space="preserve">Figure </w:t>
      </w:r>
      <w:r>
        <w:rPr>
          <w:rFonts w:ascii="Verdana" w:hAnsi="Verdana"/>
          <w:color w:val="548DD4" w:themeColor="text2" w:themeTint="99"/>
          <w:sz w:val="18"/>
          <w:szCs w:val="18"/>
          <w:lang w:val="en-US"/>
        </w:rPr>
        <w:fldChar w:fldCharType="begin"/>
      </w:r>
      <w:r>
        <w:rPr>
          <w:rFonts w:ascii="Verdana" w:hAnsi="Verdana"/>
          <w:color w:val="548DD4" w:themeColor="text2" w:themeTint="99"/>
          <w:sz w:val="18"/>
          <w:szCs w:val="18"/>
          <w:lang w:val="en-US"/>
        </w:rPr>
        <w:instrText xml:space="preserve"> STYLEREF 1 \s </w:instrText>
      </w:r>
      <w:r>
        <w:rPr>
          <w:rFonts w:ascii="Verdana" w:hAnsi="Verdana"/>
          <w:color w:val="548DD4" w:themeColor="text2" w:themeTint="99"/>
          <w:sz w:val="18"/>
          <w:szCs w:val="18"/>
          <w:lang w:val="en-US"/>
        </w:rPr>
        <w:fldChar w:fldCharType="separate"/>
      </w:r>
      <w:r>
        <w:rPr>
          <w:rFonts w:ascii="Verdana" w:hAnsi="Verdana"/>
          <w:noProof/>
          <w:color w:val="548DD4" w:themeColor="text2" w:themeTint="99"/>
          <w:sz w:val="18"/>
          <w:szCs w:val="18"/>
          <w:lang w:val="en-US"/>
        </w:rPr>
        <w:t>6</w:t>
      </w:r>
      <w:r>
        <w:rPr>
          <w:rFonts w:ascii="Verdana" w:hAnsi="Verdana"/>
          <w:color w:val="548DD4" w:themeColor="text2" w:themeTint="99"/>
          <w:sz w:val="18"/>
          <w:szCs w:val="18"/>
          <w:lang w:val="en-US"/>
        </w:rPr>
        <w:fldChar w:fldCharType="end"/>
      </w:r>
      <w:r>
        <w:rPr>
          <w:rFonts w:ascii="Verdana" w:hAnsi="Verdana"/>
          <w:color w:val="548DD4" w:themeColor="text2" w:themeTint="99"/>
          <w:sz w:val="18"/>
          <w:szCs w:val="18"/>
          <w:lang w:val="en-US"/>
        </w:rPr>
        <w:noBreakHyphen/>
      </w:r>
      <w:r>
        <w:rPr>
          <w:rFonts w:ascii="Verdana" w:hAnsi="Verdana"/>
          <w:color w:val="548DD4" w:themeColor="text2" w:themeTint="99"/>
          <w:sz w:val="18"/>
          <w:szCs w:val="18"/>
          <w:lang w:val="en-US"/>
        </w:rPr>
        <w:fldChar w:fldCharType="begin"/>
      </w:r>
      <w:r>
        <w:rPr>
          <w:rFonts w:ascii="Verdana" w:hAnsi="Verdana"/>
          <w:color w:val="548DD4" w:themeColor="text2" w:themeTint="99"/>
          <w:sz w:val="18"/>
          <w:szCs w:val="18"/>
          <w:lang w:val="en-US"/>
        </w:rPr>
        <w:instrText xml:space="preserve"> SEQ Figure \* ARABIC \s 1 </w:instrText>
      </w:r>
      <w:r>
        <w:rPr>
          <w:rFonts w:ascii="Verdana" w:hAnsi="Verdana"/>
          <w:color w:val="548DD4" w:themeColor="text2" w:themeTint="99"/>
          <w:sz w:val="18"/>
          <w:szCs w:val="18"/>
          <w:lang w:val="en-US"/>
        </w:rPr>
        <w:fldChar w:fldCharType="separate"/>
      </w:r>
      <w:r>
        <w:rPr>
          <w:rFonts w:ascii="Verdana" w:hAnsi="Verdana"/>
          <w:noProof/>
          <w:color w:val="548DD4" w:themeColor="text2" w:themeTint="99"/>
          <w:sz w:val="18"/>
          <w:szCs w:val="18"/>
          <w:lang w:val="en-US"/>
        </w:rPr>
        <w:t>11</w:t>
      </w:r>
      <w:r>
        <w:rPr>
          <w:rFonts w:ascii="Verdana" w:hAnsi="Verdana"/>
          <w:color w:val="548DD4" w:themeColor="text2" w:themeTint="99"/>
          <w:sz w:val="18"/>
          <w:szCs w:val="18"/>
          <w:lang w:val="en-US"/>
        </w:rPr>
        <w:fldChar w:fldCharType="end"/>
      </w:r>
      <w:r w:rsidRPr="00E14072">
        <w:rPr>
          <w:rFonts w:ascii="Verdana" w:hAnsi="Verdana"/>
          <w:color w:val="548DD4" w:themeColor="text2" w:themeTint="99"/>
          <w:sz w:val="18"/>
          <w:szCs w:val="18"/>
          <w:lang w:val="en-US"/>
        </w:rPr>
        <w:t xml:space="preserve"> </w:t>
      </w:r>
      <w:r w:rsidR="000F3909" w:rsidRPr="00E14072">
        <w:rPr>
          <w:rFonts w:ascii="Verdana" w:hAnsi="Verdana"/>
          <w:color w:val="548DD4" w:themeColor="text2" w:themeTint="99"/>
          <w:sz w:val="18"/>
          <w:szCs w:val="18"/>
          <w:lang w:val="en-US"/>
        </w:rPr>
        <w:t xml:space="preserve">Affordability levels in EU MS </w:t>
      </w:r>
      <w:r w:rsidR="000F3909" w:rsidRPr="00E14072">
        <w:rPr>
          <w:rFonts w:ascii="Verdana" w:hAnsi="Verdana"/>
          <w:color w:val="548DD4" w:themeColor="text2" w:themeTint="99"/>
          <w:sz w:val="18"/>
          <w:szCs w:val="18"/>
          <w:lang w:val="en-US"/>
        </w:rPr>
        <w:footnoteReference w:id="60"/>
      </w:r>
      <w:r w:rsidR="000F3909" w:rsidRPr="00E14072">
        <w:rPr>
          <w:rFonts w:ascii="Verdana" w:hAnsi="Verdana"/>
          <w:color w:val="548DD4" w:themeColor="text2" w:themeTint="99"/>
          <w:sz w:val="18"/>
          <w:szCs w:val="18"/>
          <w:lang w:val="en-US"/>
        </w:rPr>
        <w:t xml:space="preserve"> (Red</w:t>
      </w:r>
      <w:r w:rsidR="004679C7">
        <w:rPr>
          <w:rFonts w:ascii="Verdana" w:hAnsi="Verdana"/>
          <w:color w:val="548DD4" w:themeColor="text2" w:themeTint="99"/>
          <w:sz w:val="18"/>
          <w:szCs w:val="18"/>
          <w:lang w:val="en-US"/>
        </w:rPr>
        <w:t xml:space="preserve"> </w:t>
      </w:r>
      <w:r w:rsidR="000F3909" w:rsidRPr="00E14072">
        <w:rPr>
          <w:rFonts w:ascii="Verdana" w:hAnsi="Verdana"/>
          <w:color w:val="548DD4" w:themeColor="text2" w:themeTint="99"/>
          <w:sz w:val="18"/>
          <w:szCs w:val="18"/>
          <w:lang w:val="en-US"/>
        </w:rPr>
        <w:t>lines - 3% and 5% thresholds; dark and light green boxes indicate MS with 100% and 90÷100% cost recovery levels respectively)</w:t>
      </w:r>
    </w:p>
    <w:p w14:paraId="39F2A041" w14:textId="77777777" w:rsidR="000F3909" w:rsidRPr="00736A50" w:rsidRDefault="000F3909" w:rsidP="00E14072">
      <w:pPr>
        <w:spacing w:after="0"/>
        <w:jc w:val="center"/>
        <w:rPr>
          <w:noProof/>
        </w:rPr>
      </w:pPr>
      <w:r w:rsidRPr="00D8338D">
        <w:rPr>
          <w:noProof/>
          <w:lang w:val="en-US"/>
        </w:rPr>
        <w:drawing>
          <wp:inline distT="0" distB="0" distL="0" distR="0" wp14:anchorId="75B75765" wp14:editId="73B12E6F">
            <wp:extent cx="7711223" cy="5287345"/>
            <wp:effectExtent l="0" t="7302" r="0" b="0"/>
            <wp:docPr id="88"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82">
                      <a:extLst>
                        <a:ext uri="{28A0092B-C50C-407E-A947-70E740481C1C}">
                          <a14:useLocalDpi xmlns:a14="http://schemas.microsoft.com/office/drawing/2010/main" val="0"/>
                        </a:ext>
                      </a:extLst>
                    </a:blip>
                    <a:stretch>
                      <a:fillRect/>
                    </a:stretch>
                  </pic:blipFill>
                  <pic:spPr>
                    <a:xfrm rot="5400000">
                      <a:off x="0" y="0"/>
                      <a:ext cx="7777237" cy="5332609"/>
                    </a:xfrm>
                    <a:prstGeom prst="rect">
                      <a:avLst/>
                    </a:prstGeom>
                  </pic:spPr>
                </pic:pic>
              </a:graphicData>
            </a:graphic>
          </wp:inline>
        </w:drawing>
      </w:r>
    </w:p>
    <w:p w14:paraId="2BFAB8CD" w14:textId="77777777" w:rsidR="000F3909" w:rsidRPr="000F3909" w:rsidRDefault="000F3909" w:rsidP="000F3909">
      <w:pPr>
        <w:spacing w:line="240" w:lineRule="atLeast"/>
        <w:rPr>
          <w:rFonts w:ascii="Segoe UI" w:eastAsiaTheme="minorHAnsi" w:hAnsi="Segoe UI" w:cstheme="minorBidi"/>
          <w:color w:val="000000"/>
          <w:sz w:val="20"/>
          <w:lang w:val="en-US"/>
        </w:rPr>
      </w:pPr>
      <w:r w:rsidRPr="000F3909">
        <w:rPr>
          <w:rFonts w:ascii="Segoe UI" w:eastAsiaTheme="minorHAnsi" w:hAnsi="Segoe UI" w:cstheme="minorBidi"/>
          <w:color w:val="000000"/>
          <w:sz w:val="16"/>
          <w:szCs w:val="16"/>
          <w:lang w:val="en-US"/>
        </w:rPr>
        <w:t>Source: Data extracted from the country fiches by the project team</w:t>
      </w:r>
    </w:p>
    <w:p w14:paraId="5B9EACFC" w14:textId="77777777" w:rsidR="000F3909" w:rsidRPr="000F3909" w:rsidRDefault="000F3909" w:rsidP="00E14072">
      <w:pPr>
        <w:pStyle w:val="Body"/>
        <w:rPr>
          <w:rFonts w:eastAsiaTheme="minorHAnsi"/>
          <w:lang w:val="en-US"/>
        </w:rPr>
      </w:pPr>
      <w:r w:rsidRPr="000F3909">
        <w:rPr>
          <w:rFonts w:eastAsiaTheme="minorHAnsi"/>
          <w:lang w:val="en-US"/>
        </w:rPr>
        <w:t xml:space="preserve">Overall, </w:t>
      </w:r>
      <w:r w:rsidRPr="000F3909">
        <w:rPr>
          <w:rFonts w:eastAsiaTheme="minorHAnsi"/>
          <w:b/>
          <w:bCs/>
          <w:lang w:val="en-US"/>
        </w:rPr>
        <w:t>water and sanitation tariffs in the EU do not present particular affordability concerns on average</w:t>
      </w:r>
      <w:r w:rsidRPr="000F3909">
        <w:rPr>
          <w:rFonts w:eastAsiaTheme="minorHAnsi"/>
          <w:lang w:val="en-US"/>
        </w:rPr>
        <w:t>, as expenditures for WSS by households in the lowest income decile is below 5% in all MS, with the noteworthy exception of Hungary (8.4%). In the case of Romania, full cost recovery in the WSS sector would result in low-income households spending 7.3% of their budget – and this also will deserve attention in the context of water pricing policies aiming to achieve full cost recovery, for example by introducing social tariffs to protect lower income groups. In two further MS (Belgium-Flanders and France), continued specific attention is be needed: for current cost-recovery levels (between 90 and 100%), lower-income groups spend between 4 and 5% of their income on water and sanitation services. This cost burden might rise if prices were to increase to achieve full cost recovery levels, so current support mechanisms to vulnerable groups might need to be adapted (social tariffs in Belgium and Housing Solidarity Fund in France)</w:t>
      </w:r>
      <w:r w:rsidRPr="000F3909">
        <w:rPr>
          <w:rFonts w:eastAsiaTheme="minorHAnsi"/>
          <w:vertAlign w:val="superscript"/>
          <w:lang w:val="en-US"/>
        </w:rPr>
        <w:t>9</w:t>
      </w:r>
      <w:r w:rsidRPr="000F3909">
        <w:rPr>
          <w:rFonts w:eastAsiaTheme="minorHAnsi"/>
          <w:lang w:val="en-US"/>
        </w:rPr>
        <w:t>. Continuous attention is already provided in Belgium: economically vulnerable customers (based on social security support categories) are granted a 80% discount on the water bill in Flanders. The criteria to identify these customers are defined by the law. In 2015 8% of the families in Flanders received support on the water invoice (WAREG, 2017).</w:t>
      </w:r>
    </w:p>
    <w:p w14:paraId="715F1483" w14:textId="77777777" w:rsidR="000F3909" w:rsidRPr="000F3909" w:rsidRDefault="000F3909" w:rsidP="00E14072">
      <w:pPr>
        <w:pStyle w:val="Body"/>
        <w:rPr>
          <w:rFonts w:eastAsiaTheme="minorHAnsi"/>
          <w:lang w:val="en-US"/>
        </w:rPr>
      </w:pPr>
      <w:r w:rsidRPr="000F3909">
        <w:rPr>
          <w:rFonts w:eastAsiaTheme="minorHAnsi"/>
          <w:lang w:val="en-US"/>
        </w:rPr>
        <w:t xml:space="preserve">Overall, a clear message emerges from the figure above: </w:t>
      </w:r>
      <w:r w:rsidRPr="000F3909">
        <w:rPr>
          <w:rFonts w:eastAsiaTheme="minorHAnsi"/>
          <w:b/>
          <w:bCs/>
          <w:lang w:val="en-US"/>
        </w:rPr>
        <w:t>full cost recovery levels</w:t>
      </w:r>
      <w:r w:rsidRPr="000F3909">
        <w:rPr>
          <w:rFonts w:eastAsiaTheme="minorHAnsi"/>
          <w:lang w:val="en-US"/>
        </w:rPr>
        <w:t xml:space="preserve"> – and also cost-recovery levels between 90 and 100% - </w:t>
      </w:r>
      <w:r w:rsidRPr="000F3909">
        <w:rPr>
          <w:rFonts w:eastAsiaTheme="minorHAnsi"/>
          <w:b/>
          <w:bCs/>
          <w:lang w:val="en-US"/>
        </w:rPr>
        <w:t>do not compromise the affordability of water services overall</w:t>
      </w:r>
      <w:r w:rsidRPr="000F3909">
        <w:rPr>
          <w:rFonts w:eastAsiaTheme="minorHAnsi"/>
          <w:lang w:val="en-US"/>
        </w:rPr>
        <w:t>: in all these MS, water and sanitation services are affordable for almost all, including households in the lowest income decile, while still some vulnerable groups might be challenged including in countries where average affordability does not seem challenging.</w:t>
      </w:r>
      <w:r w:rsidRPr="000F3909" w:rsidDel="0081487B">
        <w:rPr>
          <w:rFonts w:eastAsiaTheme="minorHAnsi"/>
          <w:lang w:val="en-US"/>
        </w:rPr>
        <w:t xml:space="preserve"> </w:t>
      </w:r>
    </w:p>
    <w:p w14:paraId="67A2E50A" w14:textId="77777777" w:rsidR="000F3909" w:rsidRPr="000F3909" w:rsidRDefault="000F3909" w:rsidP="00E14072">
      <w:pPr>
        <w:pStyle w:val="Body"/>
        <w:rPr>
          <w:rFonts w:eastAsiaTheme="minorHAnsi"/>
          <w:lang w:val="en-US"/>
        </w:rPr>
      </w:pPr>
      <w:r w:rsidRPr="000F3909">
        <w:rPr>
          <w:rFonts w:eastAsiaTheme="minorHAnsi"/>
          <w:lang w:val="en-US"/>
        </w:rPr>
        <w:t>However, this is a high-level analysis based on average data (e.g. water bills, income, lowest income decile), which delineates overall trends but hides difficult situations that still exist in the EU: some EU citizens do have problems to pay their bills, which is why measures to address affordability concerns (in place in several MS) are still important and need to be maintained and constantly revised or adapted if needed.</w:t>
      </w:r>
    </w:p>
    <w:p w14:paraId="6F39AFC9" w14:textId="487EB9AB" w:rsidR="000F3909" w:rsidRDefault="000F3909" w:rsidP="00E14072">
      <w:pPr>
        <w:pStyle w:val="Body"/>
        <w:rPr>
          <w:rFonts w:eastAsiaTheme="minorHAnsi"/>
          <w:lang w:val="en-US"/>
        </w:rPr>
      </w:pPr>
      <w:r w:rsidRPr="000F3909">
        <w:rPr>
          <w:rFonts w:eastAsiaTheme="minorHAnsi"/>
          <w:lang w:val="en-US"/>
        </w:rPr>
        <w:t xml:space="preserve">So far, the analysis focused on the domestic sector – i.e. the sector for which the largest and better-quality information is available in several MS. When it comes to </w:t>
      </w:r>
      <w:r w:rsidRPr="000F3909">
        <w:rPr>
          <w:rFonts w:eastAsiaTheme="minorHAnsi"/>
          <w:b/>
          <w:bCs/>
          <w:lang w:val="en-US"/>
        </w:rPr>
        <w:t>irrigation water tariffs and cost-recovery</w:t>
      </w:r>
      <w:r w:rsidRPr="000F3909">
        <w:rPr>
          <w:rFonts w:eastAsiaTheme="minorHAnsi"/>
          <w:lang w:val="en-US"/>
        </w:rPr>
        <w:t>, the overall picture becomes scattered and incomplete, for several reasons: information is often missing, there are large differences within the same countries regarding both tariffs and cost-recovery levels, irrigation is not in place in some countries, tariffs are not in place in some countries or only water abstraction fees are charges on farmers for irrigation, the basis for charging is different (volumes or irrigated area), often within the same country. The table below attempts to provide a summary of this complex situation, providing average data whenever possible or at least ranges of values. To be noted that, in some MS, the fiche reports “no information found”, although it is likely that irrigation plays a minor role in the country (e.g. MS with abundant precipitations), and that some irrigation water is self-abstracted in case of need; in other cases, the fiche clearly reports that water is self-supplied and that only an abstraction charge is paid by farmers, so this is reported in the table as well.</w:t>
      </w:r>
    </w:p>
    <w:p w14:paraId="40A5C058" w14:textId="31D0C709" w:rsidR="00E14072" w:rsidRDefault="00E14072" w:rsidP="00E14072">
      <w:pPr>
        <w:pStyle w:val="Body"/>
        <w:rPr>
          <w:rFonts w:eastAsiaTheme="minorHAnsi"/>
          <w:lang w:val="en-US"/>
        </w:rPr>
      </w:pPr>
    </w:p>
    <w:p w14:paraId="317080A8" w14:textId="44048572" w:rsidR="00E14072" w:rsidRDefault="00E14072" w:rsidP="00E14072">
      <w:pPr>
        <w:pStyle w:val="Body"/>
        <w:rPr>
          <w:rFonts w:eastAsiaTheme="minorHAnsi"/>
          <w:lang w:val="en-US"/>
        </w:rPr>
      </w:pPr>
    </w:p>
    <w:p w14:paraId="7C804D23" w14:textId="611C390A" w:rsidR="00E14072" w:rsidRDefault="00E14072" w:rsidP="00E14072">
      <w:pPr>
        <w:pStyle w:val="Body"/>
        <w:rPr>
          <w:rFonts w:eastAsiaTheme="minorHAnsi"/>
          <w:lang w:val="en-US"/>
        </w:rPr>
      </w:pPr>
    </w:p>
    <w:p w14:paraId="12C52242" w14:textId="2FBFE77D" w:rsidR="00E14072" w:rsidRDefault="00E14072" w:rsidP="00E14072">
      <w:pPr>
        <w:pStyle w:val="Body"/>
        <w:rPr>
          <w:rFonts w:eastAsiaTheme="minorHAnsi"/>
          <w:lang w:val="en-US"/>
        </w:rPr>
      </w:pPr>
    </w:p>
    <w:p w14:paraId="70207203" w14:textId="27C2C17F" w:rsidR="00E14072" w:rsidRDefault="00E14072" w:rsidP="00E14072">
      <w:pPr>
        <w:pStyle w:val="Body"/>
        <w:rPr>
          <w:rFonts w:eastAsiaTheme="minorHAnsi"/>
          <w:lang w:val="en-US"/>
        </w:rPr>
      </w:pPr>
    </w:p>
    <w:p w14:paraId="7585E7E5" w14:textId="2D1E3653" w:rsidR="00E14072" w:rsidRDefault="00E14072" w:rsidP="00E14072">
      <w:pPr>
        <w:pStyle w:val="Body"/>
        <w:rPr>
          <w:rFonts w:eastAsiaTheme="minorHAnsi"/>
          <w:lang w:val="en-US"/>
        </w:rPr>
      </w:pPr>
    </w:p>
    <w:p w14:paraId="7B16EAFC" w14:textId="77777777" w:rsidR="00E14072" w:rsidRPr="000F3909" w:rsidRDefault="00E14072" w:rsidP="00E14072">
      <w:pPr>
        <w:pStyle w:val="Body"/>
        <w:rPr>
          <w:rFonts w:eastAsiaTheme="minorHAnsi"/>
          <w:lang w:val="en-US"/>
        </w:rPr>
      </w:pPr>
    </w:p>
    <w:p w14:paraId="1319953A" w14:textId="188A77D0" w:rsidR="000F3909" w:rsidRPr="00E14072" w:rsidRDefault="00E14072" w:rsidP="00E14072">
      <w:pPr>
        <w:pStyle w:val="Caption"/>
        <w:rPr>
          <w:rFonts w:ascii="Verdana" w:hAnsi="Verdana"/>
          <w:color w:val="548DD4" w:themeColor="text2" w:themeTint="99"/>
          <w:sz w:val="18"/>
          <w:szCs w:val="18"/>
          <w:lang w:val="en-US"/>
        </w:rPr>
      </w:pPr>
      <w:r w:rsidRPr="00E14072">
        <w:rPr>
          <w:rFonts w:ascii="Verdana" w:hAnsi="Verdana"/>
          <w:color w:val="548DD4" w:themeColor="text2" w:themeTint="99"/>
          <w:sz w:val="18"/>
          <w:szCs w:val="18"/>
          <w:lang w:val="en-US"/>
        </w:rPr>
        <w:t xml:space="preserve">Table </w:t>
      </w:r>
      <w:r w:rsidRPr="00E14072">
        <w:rPr>
          <w:rFonts w:ascii="Verdana" w:hAnsi="Verdana"/>
          <w:color w:val="548DD4" w:themeColor="text2" w:themeTint="99"/>
          <w:sz w:val="18"/>
          <w:szCs w:val="18"/>
          <w:lang w:val="en-US"/>
        </w:rPr>
        <w:fldChar w:fldCharType="begin"/>
      </w:r>
      <w:r w:rsidRPr="00E14072">
        <w:rPr>
          <w:rFonts w:ascii="Verdana" w:hAnsi="Verdana"/>
          <w:color w:val="548DD4" w:themeColor="text2" w:themeTint="99"/>
          <w:sz w:val="18"/>
          <w:szCs w:val="18"/>
          <w:lang w:val="en-US"/>
        </w:rPr>
        <w:instrText xml:space="preserve"> STYLEREF 1 \s </w:instrText>
      </w:r>
      <w:r w:rsidRPr="00E14072">
        <w:rPr>
          <w:rFonts w:ascii="Verdana" w:hAnsi="Verdana"/>
          <w:color w:val="548DD4" w:themeColor="text2" w:themeTint="99"/>
          <w:sz w:val="18"/>
          <w:szCs w:val="18"/>
          <w:lang w:val="en-US"/>
        </w:rPr>
        <w:fldChar w:fldCharType="separate"/>
      </w:r>
      <w:r w:rsidRPr="00E14072">
        <w:rPr>
          <w:rFonts w:ascii="Verdana" w:hAnsi="Verdana"/>
          <w:color w:val="548DD4" w:themeColor="text2" w:themeTint="99"/>
          <w:sz w:val="18"/>
          <w:szCs w:val="18"/>
          <w:lang w:val="en-US"/>
        </w:rPr>
        <w:t>6</w:t>
      </w:r>
      <w:r w:rsidRPr="00E14072">
        <w:rPr>
          <w:rFonts w:ascii="Verdana" w:hAnsi="Verdana"/>
          <w:color w:val="548DD4" w:themeColor="text2" w:themeTint="99"/>
          <w:sz w:val="18"/>
          <w:szCs w:val="18"/>
          <w:lang w:val="en-US"/>
        </w:rPr>
        <w:fldChar w:fldCharType="end"/>
      </w:r>
      <w:r w:rsidRPr="00E14072">
        <w:rPr>
          <w:rFonts w:ascii="Verdana" w:hAnsi="Verdana"/>
          <w:color w:val="548DD4" w:themeColor="text2" w:themeTint="99"/>
          <w:sz w:val="18"/>
          <w:szCs w:val="18"/>
          <w:lang w:val="en-US"/>
        </w:rPr>
        <w:noBreakHyphen/>
      </w:r>
      <w:r w:rsidRPr="00E14072">
        <w:rPr>
          <w:rFonts w:ascii="Verdana" w:hAnsi="Verdana"/>
          <w:color w:val="548DD4" w:themeColor="text2" w:themeTint="99"/>
          <w:sz w:val="18"/>
          <w:szCs w:val="18"/>
          <w:lang w:val="en-US"/>
        </w:rPr>
        <w:fldChar w:fldCharType="begin"/>
      </w:r>
      <w:r w:rsidRPr="00E14072">
        <w:rPr>
          <w:rFonts w:ascii="Verdana" w:hAnsi="Verdana"/>
          <w:color w:val="548DD4" w:themeColor="text2" w:themeTint="99"/>
          <w:sz w:val="18"/>
          <w:szCs w:val="18"/>
          <w:lang w:val="en-US"/>
        </w:rPr>
        <w:instrText xml:space="preserve"> SEQ Table \* ARABIC \s 1 </w:instrText>
      </w:r>
      <w:r w:rsidRPr="00E14072">
        <w:rPr>
          <w:rFonts w:ascii="Verdana" w:hAnsi="Verdana"/>
          <w:color w:val="548DD4" w:themeColor="text2" w:themeTint="99"/>
          <w:sz w:val="18"/>
          <w:szCs w:val="18"/>
          <w:lang w:val="en-US"/>
        </w:rPr>
        <w:fldChar w:fldCharType="separate"/>
      </w:r>
      <w:r w:rsidRPr="00E14072">
        <w:rPr>
          <w:rFonts w:ascii="Verdana" w:hAnsi="Verdana"/>
          <w:color w:val="548DD4" w:themeColor="text2" w:themeTint="99"/>
          <w:sz w:val="18"/>
          <w:szCs w:val="18"/>
          <w:lang w:val="en-US"/>
        </w:rPr>
        <w:t>4</w:t>
      </w:r>
      <w:r w:rsidRPr="00E14072">
        <w:rPr>
          <w:rFonts w:ascii="Verdana" w:hAnsi="Verdana"/>
          <w:color w:val="548DD4" w:themeColor="text2" w:themeTint="99"/>
          <w:sz w:val="18"/>
          <w:szCs w:val="18"/>
          <w:lang w:val="en-US"/>
        </w:rPr>
        <w:fldChar w:fldCharType="end"/>
      </w:r>
      <w:r w:rsidRPr="00E14072">
        <w:rPr>
          <w:rFonts w:ascii="Verdana" w:hAnsi="Verdana"/>
          <w:color w:val="548DD4" w:themeColor="text2" w:themeTint="99"/>
          <w:sz w:val="18"/>
          <w:szCs w:val="18"/>
          <w:lang w:val="en-US"/>
        </w:rPr>
        <w:t xml:space="preserve"> </w:t>
      </w:r>
      <w:r w:rsidR="000F3909" w:rsidRPr="00E14072">
        <w:rPr>
          <w:rFonts w:ascii="Verdana" w:hAnsi="Verdana"/>
          <w:color w:val="548DD4" w:themeColor="text2" w:themeTint="99"/>
          <w:sz w:val="18"/>
          <w:szCs w:val="18"/>
          <w:lang w:val="en-US"/>
        </w:rPr>
        <w:t>Irrigation water tariffs and cost-recovery in EU MS – Overview of data and information provided by the MS fiches</w:t>
      </w:r>
    </w:p>
    <w:p w14:paraId="577E986D" w14:textId="77777777" w:rsidR="000F3909" w:rsidRPr="00736A50" w:rsidRDefault="000F3909" w:rsidP="000F3909">
      <w:pPr>
        <w:spacing w:line="240" w:lineRule="atLeast"/>
        <w:rPr>
          <w:rFonts w:ascii="Segoe UI" w:eastAsiaTheme="minorHAnsi" w:hAnsi="Segoe UI" w:cstheme="minorBidi"/>
          <w:color w:val="000000"/>
          <w:sz w:val="20"/>
        </w:rPr>
      </w:pPr>
      <w:r w:rsidRPr="0017459C">
        <w:rPr>
          <w:noProof/>
          <w:lang w:val="en-US"/>
        </w:rPr>
        <w:drawing>
          <wp:anchor distT="0" distB="0" distL="114300" distR="114300" simplePos="0" relativeHeight="251680768" behindDoc="0" locked="0" layoutInCell="1" allowOverlap="1" wp14:anchorId="4F8E3AE9" wp14:editId="6E20CB39">
            <wp:simplePos x="0" y="0"/>
            <wp:positionH relativeFrom="column">
              <wp:posOffset>4652010</wp:posOffset>
            </wp:positionH>
            <wp:positionV relativeFrom="paragraph">
              <wp:posOffset>1553210</wp:posOffset>
            </wp:positionV>
            <wp:extent cx="1493520" cy="829056"/>
            <wp:effectExtent l="0" t="0" r="0" b="9525"/>
            <wp:wrapNone/>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3520" cy="829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391">
        <w:rPr>
          <w:rFonts w:eastAsiaTheme="minorHAnsi"/>
          <w:noProof/>
          <w:lang w:val="en-US"/>
        </w:rPr>
        <w:drawing>
          <wp:inline distT="0" distB="0" distL="0" distR="0" wp14:anchorId="535F1E91" wp14:editId="032485FC">
            <wp:extent cx="4459611" cy="7307580"/>
            <wp:effectExtent l="0" t="0" r="0" b="762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61558" cy="7310770"/>
                    </a:xfrm>
                    <a:prstGeom prst="rect">
                      <a:avLst/>
                    </a:prstGeom>
                    <a:noFill/>
                    <a:ln>
                      <a:noFill/>
                    </a:ln>
                  </pic:spPr>
                </pic:pic>
              </a:graphicData>
            </a:graphic>
          </wp:inline>
        </w:drawing>
      </w:r>
    </w:p>
    <w:p w14:paraId="2EAA7CF1" w14:textId="77777777" w:rsidR="000F3909" w:rsidRPr="00E14072" w:rsidRDefault="000F3909" w:rsidP="00E14072">
      <w:pPr>
        <w:pStyle w:val="Body"/>
      </w:pPr>
    </w:p>
    <w:p w14:paraId="5D88003E" w14:textId="77777777" w:rsidR="000F3909" w:rsidRPr="00E14072" w:rsidRDefault="000F3909" w:rsidP="00E14072">
      <w:pPr>
        <w:pStyle w:val="Body"/>
        <w:rPr>
          <w:rFonts w:eastAsiaTheme="minorHAnsi"/>
          <w:lang w:val="en-US"/>
        </w:rPr>
      </w:pPr>
      <w:r w:rsidRPr="00E14072">
        <w:rPr>
          <w:rFonts w:eastAsiaTheme="minorHAnsi"/>
          <w:lang w:val="en-US"/>
        </w:rPr>
        <w:t>With such fragmented data, is difficult to come up with some overall considerations; nevertheless, it is still possible to make a synthesis of financial cost-recovery levels in those countries where irrigation tariffs are in place on top of water abstraction charges – thus excluding those countries where only water abstraction fees are charged on farmers, as these fees are not aimed at recovering the financial costs of water provision but rather to cover the environmental costs of water abstraction.</w:t>
      </w:r>
    </w:p>
    <w:p w14:paraId="142EAAFC" w14:textId="68CE939B" w:rsidR="000F3909" w:rsidRPr="00E14072" w:rsidRDefault="00E14072" w:rsidP="00E14072">
      <w:pPr>
        <w:pStyle w:val="Caption"/>
        <w:rPr>
          <w:rFonts w:ascii="Verdana" w:hAnsi="Verdana"/>
          <w:color w:val="548DD4" w:themeColor="text2" w:themeTint="99"/>
          <w:sz w:val="18"/>
          <w:szCs w:val="18"/>
          <w:lang w:val="en-US"/>
        </w:rPr>
      </w:pPr>
      <w:r w:rsidRPr="00E14072">
        <w:rPr>
          <w:rFonts w:ascii="Verdana" w:hAnsi="Verdana"/>
          <w:color w:val="548DD4" w:themeColor="text2" w:themeTint="99"/>
          <w:sz w:val="18"/>
          <w:szCs w:val="18"/>
          <w:lang w:val="en-US"/>
        </w:rPr>
        <w:t xml:space="preserve">Figure </w:t>
      </w:r>
      <w:r w:rsidRPr="00E14072">
        <w:rPr>
          <w:rFonts w:ascii="Verdana" w:hAnsi="Verdana"/>
          <w:color w:val="548DD4" w:themeColor="text2" w:themeTint="99"/>
          <w:sz w:val="18"/>
          <w:szCs w:val="18"/>
          <w:lang w:val="en-US"/>
        </w:rPr>
        <w:fldChar w:fldCharType="begin"/>
      </w:r>
      <w:r w:rsidRPr="00E14072">
        <w:rPr>
          <w:rFonts w:ascii="Verdana" w:hAnsi="Verdana"/>
          <w:color w:val="548DD4" w:themeColor="text2" w:themeTint="99"/>
          <w:sz w:val="18"/>
          <w:szCs w:val="18"/>
          <w:lang w:val="en-US"/>
        </w:rPr>
        <w:instrText xml:space="preserve"> STYLEREF 1 \s </w:instrText>
      </w:r>
      <w:r w:rsidRPr="00E14072">
        <w:rPr>
          <w:rFonts w:ascii="Verdana" w:hAnsi="Verdana"/>
          <w:color w:val="548DD4" w:themeColor="text2" w:themeTint="99"/>
          <w:sz w:val="18"/>
          <w:szCs w:val="18"/>
          <w:lang w:val="en-US"/>
        </w:rPr>
        <w:fldChar w:fldCharType="separate"/>
      </w:r>
      <w:r w:rsidRPr="00E14072">
        <w:rPr>
          <w:rFonts w:ascii="Verdana" w:hAnsi="Verdana"/>
          <w:color w:val="548DD4" w:themeColor="text2" w:themeTint="99"/>
          <w:sz w:val="18"/>
          <w:szCs w:val="18"/>
          <w:lang w:val="en-US"/>
        </w:rPr>
        <w:t>6</w:t>
      </w:r>
      <w:r w:rsidRPr="00E14072">
        <w:rPr>
          <w:rFonts w:ascii="Verdana" w:hAnsi="Verdana"/>
          <w:color w:val="548DD4" w:themeColor="text2" w:themeTint="99"/>
          <w:sz w:val="18"/>
          <w:szCs w:val="18"/>
          <w:lang w:val="en-US"/>
        </w:rPr>
        <w:fldChar w:fldCharType="end"/>
      </w:r>
      <w:r w:rsidRPr="00E14072">
        <w:rPr>
          <w:rFonts w:ascii="Verdana" w:hAnsi="Verdana"/>
          <w:color w:val="548DD4" w:themeColor="text2" w:themeTint="99"/>
          <w:sz w:val="18"/>
          <w:szCs w:val="18"/>
          <w:lang w:val="en-US"/>
        </w:rPr>
        <w:noBreakHyphen/>
      </w:r>
      <w:r w:rsidRPr="00E14072">
        <w:rPr>
          <w:rFonts w:ascii="Verdana" w:hAnsi="Verdana"/>
          <w:color w:val="548DD4" w:themeColor="text2" w:themeTint="99"/>
          <w:sz w:val="18"/>
          <w:szCs w:val="18"/>
          <w:lang w:val="en-US"/>
        </w:rPr>
        <w:fldChar w:fldCharType="begin"/>
      </w:r>
      <w:r w:rsidRPr="00E14072">
        <w:rPr>
          <w:rFonts w:ascii="Verdana" w:hAnsi="Verdana"/>
          <w:color w:val="548DD4" w:themeColor="text2" w:themeTint="99"/>
          <w:sz w:val="18"/>
          <w:szCs w:val="18"/>
          <w:lang w:val="en-US"/>
        </w:rPr>
        <w:instrText xml:space="preserve"> SEQ Figure \* ARABIC \s 1 </w:instrText>
      </w:r>
      <w:r w:rsidRPr="00E14072">
        <w:rPr>
          <w:rFonts w:ascii="Verdana" w:hAnsi="Verdana"/>
          <w:color w:val="548DD4" w:themeColor="text2" w:themeTint="99"/>
          <w:sz w:val="18"/>
          <w:szCs w:val="18"/>
          <w:lang w:val="en-US"/>
        </w:rPr>
        <w:fldChar w:fldCharType="separate"/>
      </w:r>
      <w:r w:rsidRPr="00E14072">
        <w:rPr>
          <w:rFonts w:ascii="Verdana" w:hAnsi="Verdana"/>
          <w:color w:val="548DD4" w:themeColor="text2" w:themeTint="99"/>
          <w:sz w:val="18"/>
          <w:szCs w:val="18"/>
          <w:lang w:val="en-US"/>
        </w:rPr>
        <w:t>12</w:t>
      </w:r>
      <w:r w:rsidRPr="00E14072">
        <w:rPr>
          <w:rFonts w:ascii="Verdana" w:hAnsi="Verdana"/>
          <w:color w:val="548DD4" w:themeColor="text2" w:themeTint="99"/>
          <w:sz w:val="18"/>
          <w:szCs w:val="18"/>
          <w:lang w:val="en-US"/>
        </w:rPr>
        <w:fldChar w:fldCharType="end"/>
      </w:r>
      <w:r w:rsidR="000F3909" w:rsidRPr="00E14072">
        <w:rPr>
          <w:rFonts w:ascii="Verdana" w:hAnsi="Verdana"/>
          <w:color w:val="548DD4" w:themeColor="text2" w:themeTint="99"/>
          <w:sz w:val="18"/>
          <w:szCs w:val="18"/>
          <w:lang w:val="en-US"/>
        </w:rPr>
        <w:t xml:space="preserve"> Financial cost-recovery rates for irrigation water provision in those countries where irrigation water tariffs are in place</w:t>
      </w:r>
    </w:p>
    <w:p w14:paraId="5D624409" w14:textId="77777777" w:rsidR="000F3909" w:rsidRDefault="000F3909" w:rsidP="00E14072">
      <w:pPr>
        <w:pStyle w:val="Body"/>
        <w:rPr>
          <w:rFonts w:ascii="Calibri" w:hAnsi="Calibri" w:cs="Calibri"/>
          <w:sz w:val="22"/>
          <w:lang w:eastAsia="en-GB"/>
        </w:rPr>
      </w:pPr>
      <w:r>
        <w:rPr>
          <w:rFonts w:ascii="Calibri" w:hAnsi="Calibri" w:cs="Calibri"/>
          <w:noProof/>
          <w:sz w:val="22"/>
          <w:lang w:val="en-US"/>
        </w:rPr>
        <w:drawing>
          <wp:inline distT="0" distB="0" distL="0" distR="0" wp14:anchorId="2B34B7D7" wp14:editId="207D7BCA">
            <wp:extent cx="4762500" cy="2830748"/>
            <wp:effectExtent l="0" t="0" r="0" b="8255"/>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6959" cy="2833399"/>
                    </a:xfrm>
                    <a:prstGeom prst="rect">
                      <a:avLst/>
                    </a:prstGeom>
                    <a:noFill/>
                  </pic:spPr>
                </pic:pic>
              </a:graphicData>
            </a:graphic>
          </wp:inline>
        </w:drawing>
      </w:r>
    </w:p>
    <w:p w14:paraId="1DD8F9D8" w14:textId="77777777" w:rsidR="000F3909" w:rsidRPr="00E14072" w:rsidRDefault="000F3909" w:rsidP="000F3909">
      <w:pPr>
        <w:pStyle w:val="Body"/>
        <w:rPr>
          <w:rFonts w:cs="Calibri"/>
          <w:sz w:val="16"/>
          <w:szCs w:val="16"/>
          <w:lang w:val="en-US" w:eastAsia="en-GB"/>
        </w:rPr>
      </w:pPr>
      <w:r w:rsidRPr="00E14072">
        <w:rPr>
          <w:rFonts w:cs="Calibri"/>
          <w:sz w:val="16"/>
          <w:szCs w:val="16"/>
          <w:lang w:val="en-US" w:eastAsia="en-GB"/>
        </w:rPr>
        <w:t>Source: MS fiches</w:t>
      </w:r>
    </w:p>
    <w:p w14:paraId="27F58E84" w14:textId="77777777" w:rsidR="000F3909" w:rsidRPr="000F3909" w:rsidRDefault="000F3909" w:rsidP="000F3909">
      <w:pPr>
        <w:spacing w:line="240" w:lineRule="atLeast"/>
        <w:rPr>
          <w:rFonts w:ascii="Segoe UI" w:eastAsiaTheme="minorHAnsi" w:hAnsi="Segoe UI" w:cstheme="minorBidi"/>
          <w:color w:val="000000"/>
          <w:sz w:val="20"/>
          <w:lang w:val="en-US"/>
        </w:rPr>
      </w:pPr>
      <w:r w:rsidRPr="000F3909">
        <w:rPr>
          <w:rFonts w:ascii="Segoe UI" w:eastAsiaTheme="minorHAnsi" w:hAnsi="Segoe UI" w:cstheme="minorBidi"/>
          <w:color w:val="000000"/>
          <w:sz w:val="20"/>
          <w:lang w:val="en-US"/>
        </w:rPr>
        <w:t>As c</w:t>
      </w:r>
      <w:r w:rsidRPr="00D8338D">
        <w:rPr>
          <w:rFonts w:ascii="Segoe UI" w:eastAsiaTheme="minorHAnsi" w:hAnsi="Segoe UI" w:cstheme="minorBidi"/>
          <w:color w:val="000000"/>
          <w:sz w:val="20"/>
          <w:lang w:val="en-GB"/>
        </w:rPr>
        <w:t xml:space="preserve">ompared to the domestic sector, where detailed financial data are generally available in several MS, and where great attention has been given to cost-recovery issues, </w:t>
      </w:r>
      <w:r w:rsidRPr="00D8338D">
        <w:rPr>
          <w:rFonts w:ascii="Segoe UI" w:eastAsiaTheme="minorHAnsi" w:hAnsi="Segoe UI" w:cstheme="minorBidi"/>
          <w:b/>
          <w:bCs/>
          <w:color w:val="000000"/>
          <w:sz w:val="20"/>
          <w:lang w:val="en-GB"/>
        </w:rPr>
        <w:t>the financial aspects of the provision of irrigation water seem to be given less attention at the EU level</w:t>
      </w:r>
      <w:r w:rsidRPr="00D8338D">
        <w:rPr>
          <w:rFonts w:ascii="Segoe UI" w:eastAsiaTheme="minorHAnsi" w:hAnsi="Segoe UI" w:cstheme="minorBidi"/>
          <w:color w:val="000000"/>
          <w:sz w:val="20"/>
          <w:lang w:val="en-GB"/>
        </w:rPr>
        <w:t xml:space="preserve">. Data are often scattered, and the implementation of the cost-recovery principle is often weak. </w:t>
      </w:r>
    </w:p>
    <w:p w14:paraId="51EE35F2" w14:textId="75839524" w:rsidR="00696E04" w:rsidRPr="000F3909" w:rsidRDefault="00696E04" w:rsidP="003B304A">
      <w:pPr>
        <w:pStyle w:val="Body"/>
        <w:rPr>
          <w:lang w:val="en-US"/>
        </w:rPr>
      </w:pPr>
    </w:p>
    <w:p w14:paraId="53FD7EDD" w14:textId="5B1245EC" w:rsidR="00696E04" w:rsidRDefault="00696E04" w:rsidP="003B304A">
      <w:pPr>
        <w:pStyle w:val="Body"/>
        <w:rPr>
          <w:lang w:val="en-GB"/>
        </w:rPr>
      </w:pPr>
    </w:p>
    <w:p w14:paraId="671155FC" w14:textId="2D80164A" w:rsidR="007D49B8" w:rsidRDefault="007D49B8" w:rsidP="003B304A">
      <w:pPr>
        <w:pStyle w:val="Body"/>
        <w:rPr>
          <w:lang w:val="en-GB"/>
        </w:rPr>
      </w:pPr>
      <w:r>
        <w:rPr>
          <w:lang w:val="en-GB"/>
        </w:rPr>
        <w:br w:type="page"/>
      </w:r>
    </w:p>
    <w:p w14:paraId="5639302E" w14:textId="77777777" w:rsidR="004B63C2" w:rsidRPr="004B63C2" w:rsidRDefault="004B63C2" w:rsidP="004B63C2">
      <w:pPr>
        <w:pStyle w:val="Heading1"/>
        <w:rPr>
          <w:lang w:val="en-US"/>
        </w:rPr>
      </w:pPr>
      <w:bookmarkStart w:id="104" w:name="_Toc62825947"/>
      <w:r w:rsidRPr="004B63C2">
        <w:rPr>
          <w:lang w:val="en-US"/>
        </w:rPr>
        <w:t>Putting main results into a wider perspective</w:t>
      </w:r>
      <w:bookmarkEnd w:id="104"/>
      <w:r w:rsidRPr="004B63C2">
        <w:rPr>
          <w:lang w:val="en-US"/>
        </w:rPr>
        <w:t xml:space="preserve"> </w:t>
      </w:r>
    </w:p>
    <w:p w14:paraId="642A439D" w14:textId="77777777" w:rsidR="00ED381A" w:rsidRPr="00ED381A" w:rsidRDefault="00ED381A" w:rsidP="00ED381A">
      <w:pPr>
        <w:pStyle w:val="Heading2"/>
        <w:rPr>
          <w:rFonts w:eastAsia="Calibri"/>
          <w:lang w:val="en-US"/>
        </w:rPr>
      </w:pPr>
      <w:bookmarkStart w:id="105" w:name="_Toc59180783"/>
      <w:bookmarkStart w:id="106" w:name="_Toc62825948"/>
      <w:r w:rsidRPr="00ED381A">
        <w:rPr>
          <w:rFonts w:eastAsia="Calibri"/>
          <w:lang w:val="en-US"/>
        </w:rPr>
        <w:t>Main results: Assessing the costs of the Water Framework Directive</w:t>
      </w:r>
      <w:bookmarkEnd w:id="105"/>
      <w:bookmarkEnd w:id="106"/>
    </w:p>
    <w:p w14:paraId="5D719533" w14:textId="77777777" w:rsidR="00A01317" w:rsidRPr="00A01317" w:rsidRDefault="00A01317" w:rsidP="00A01317">
      <w:pPr>
        <w:pStyle w:val="Body"/>
        <w:rPr>
          <w:rFonts w:eastAsia="Calibri"/>
          <w:lang w:val="en-US"/>
        </w:rPr>
      </w:pPr>
      <w:r w:rsidRPr="00A01317">
        <w:rPr>
          <w:rFonts w:eastAsia="Calibri"/>
          <w:lang w:val="en-US"/>
        </w:rPr>
        <w:t xml:space="preserve">In spite of progress achieved in improving the </w:t>
      </w:r>
      <w:r w:rsidRPr="00A01317">
        <w:rPr>
          <w:rFonts w:eastAsia="Calibri"/>
          <w:b/>
          <w:lang w:val="en-US"/>
        </w:rPr>
        <w:t>status of surface and groundwater bodies</w:t>
      </w:r>
      <w:r w:rsidRPr="00A01317">
        <w:rPr>
          <w:rFonts w:eastAsia="Calibri"/>
          <w:lang w:val="en-US"/>
        </w:rPr>
        <w:t xml:space="preserve"> in the EU since the first cycle of river basin management planning further work and investment are required to improve the condition of aquatic environment. In particular, in the 2</w:t>
      </w:r>
      <w:r w:rsidRPr="00A01317">
        <w:rPr>
          <w:rFonts w:eastAsia="Calibri"/>
          <w:vertAlign w:val="superscript"/>
          <w:lang w:val="en-US"/>
        </w:rPr>
        <w:t>nd</w:t>
      </w:r>
      <w:r w:rsidRPr="00A01317">
        <w:rPr>
          <w:rFonts w:eastAsia="Calibri"/>
          <w:lang w:val="en-US"/>
        </w:rPr>
        <w:t xml:space="preserve"> river basin management planning cycle </w:t>
      </w:r>
      <w:r w:rsidRPr="00A01317">
        <w:rPr>
          <w:rFonts w:eastAsia="Calibri"/>
          <w:b/>
          <w:lang w:val="en-US"/>
        </w:rPr>
        <w:t>40% of surface waters</w:t>
      </w:r>
      <w:r w:rsidRPr="00A01317">
        <w:rPr>
          <w:rFonts w:eastAsia="Calibri"/>
          <w:lang w:val="en-US"/>
        </w:rPr>
        <w:t xml:space="preserve"> were in</w:t>
      </w:r>
      <w:r w:rsidRPr="00A01317">
        <w:rPr>
          <w:rFonts w:eastAsia="Calibri"/>
          <w:b/>
          <w:lang w:val="en-US"/>
        </w:rPr>
        <w:t xml:space="preserve"> good ecological status or potential </w:t>
      </w:r>
      <w:r w:rsidRPr="00A01317">
        <w:rPr>
          <w:rFonts w:eastAsia="Calibri"/>
          <w:lang w:val="en-US"/>
        </w:rPr>
        <w:t xml:space="preserve">and </w:t>
      </w:r>
      <w:r w:rsidRPr="00A01317">
        <w:rPr>
          <w:rFonts w:eastAsia="Calibri"/>
          <w:b/>
          <w:lang w:val="en-US"/>
        </w:rPr>
        <w:t>33% in good chemical status</w:t>
      </w:r>
      <w:r w:rsidRPr="00A01317">
        <w:rPr>
          <w:rFonts w:eastAsia="Calibri"/>
          <w:lang w:val="en-US"/>
        </w:rPr>
        <w:t xml:space="preserve">. </w:t>
      </w:r>
      <w:r w:rsidRPr="00A01317">
        <w:rPr>
          <w:rFonts w:eastAsia="Calibri" w:cs="Segoe UI"/>
          <w:lang w:val="en-US"/>
        </w:rPr>
        <w:t xml:space="preserve">It should be noted, that in </w:t>
      </w:r>
      <w:r w:rsidRPr="00A01317">
        <w:rPr>
          <w:rFonts w:cs="Segoe UI"/>
          <w:lang w:val="en-US"/>
        </w:rPr>
        <w:t xml:space="preserve">most Member States, a few priority substances account for poor chemical status (e.g. mercury). </w:t>
      </w:r>
      <w:r w:rsidRPr="00A01317">
        <w:rPr>
          <w:rFonts w:eastAsia="Calibri" w:cs="Segoe UI"/>
          <w:lang w:val="en-US"/>
        </w:rPr>
        <w:t xml:space="preserve"> </w:t>
      </w:r>
      <w:r w:rsidRPr="00A01317">
        <w:rPr>
          <w:rFonts w:cs="Segoe UI"/>
          <w:lang w:val="en-US"/>
        </w:rPr>
        <w:t xml:space="preserve">Member States are making progress in tackling sources of contamination, but these improvements are usually visible at the level of individual quality elements or pollutants and often do not translate into improved status overall. </w:t>
      </w:r>
      <w:r w:rsidRPr="00A01317">
        <w:rPr>
          <w:rFonts w:eastAsia="Calibri"/>
          <w:lang w:val="en-US"/>
        </w:rPr>
        <w:t>The proportion of water bodies with unknown status has also decreased and confidence in status assessment has grown in relation to both ecological and chemical status/potential of surface water bodies.</w:t>
      </w:r>
    </w:p>
    <w:p w14:paraId="6975BCF6" w14:textId="77777777" w:rsidR="00A01317" w:rsidRPr="00A01317" w:rsidRDefault="00A01317" w:rsidP="00A01317">
      <w:pPr>
        <w:pStyle w:val="Body"/>
        <w:rPr>
          <w:rFonts w:cs="Segoe UI"/>
          <w:lang w:val="en-US"/>
        </w:rPr>
      </w:pPr>
      <w:r w:rsidRPr="00A01317">
        <w:rPr>
          <w:rFonts w:cs="Segoe UI"/>
          <w:lang w:val="en-US"/>
        </w:rPr>
        <w:t xml:space="preserve">Overall, surface water bodies were affected by </w:t>
      </w:r>
      <w:r w:rsidRPr="00A01317">
        <w:rPr>
          <w:rFonts w:cs="Segoe UI"/>
          <w:b/>
          <w:lang w:val="en-US"/>
        </w:rPr>
        <w:t xml:space="preserve">pressures </w:t>
      </w:r>
      <w:r w:rsidRPr="00A01317">
        <w:rPr>
          <w:rFonts w:cs="Segoe UI"/>
          <w:lang w:val="en-US"/>
        </w:rPr>
        <w:t>from hydromorphological changes (39%), diffuse sources (39%), point sources (17%) and abstraction pressures (7%).</w:t>
      </w:r>
      <w:r w:rsidRPr="00A01317">
        <w:rPr>
          <w:rFonts w:eastAsia="Calibri" w:cs="Segoe UI"/>
          <w:lang w:val="en-US"/>
        </w:rPr>
        <w:t xml:space="preserve"> The main </w:t>
      </w:r>
      <w:r w:rsidRPr="00A01317">
        <w:rPr>
          <w:rFonts w:eastAsia="Calibri" w:cs="Segoe UI"/>
          <w:b/>
          <w:lang w:val="en-US"/>
        </w:rPr>
        <w:t>impacts</w:t>
      </w:r>
      <w:r w:rsidRPr="00A01317">
        <w:rPr>
          <w:rFonts w:eastAsia="Calibri" w:cs="Segoe UI"/>
          <w:lang w:val="en-US"/>
        </w:rPr>
        <w:t xml:space="preserve"> on surface water bodies include </w:t>
      </w:r>
      <w:r w:rsidRPr="00A01317">
        <w:rPr>
          <w:rFonts w:cs="Segoe UI"/>
          <w:lang w:val="en-US"/>
        </w:rPr>
        <w:t xml:space="preserve">chemical pollution (50%), altered habitats due to morphological changes (37%) and nutrient pollution (27%) </w:t>
      </w:r>
    </w:p>
    <w:p w14:paraId="64DF17BC" w14:textId="77777777" w:rsidR="00A01317" w:rsidRPr="00A01317" w:rsidRDefault="00A01317" w:rsidP="00A01317">
      <w:pPr>
        <w:pStyle w:val="Body"/>
        <w:rPr>
          <w:rFonts w:eastAsia="Calibri"/>
          <w:lang w:val="en-US"/>
        </w:rPr>
      </w:pPr>
      <w:r w:rsidRPr="00A01317">
        <w:rPr>
          <w:rFonts w:eastAsia="Calibri" w:cs="Segoe UI"/>
          <w:lang w:val="en-US"/>
        </w:rPr>
        <w:t xml:space="preserve">In comparison, </w:t>
      </w:r>
      <w:r w:rsidRPr="00A01317">
        <w:rPr>
          <w:rFonts w:eastAsia="Calibri"/>
          <w:b/>
          <w:lang w:val="en-US"/>
        </w:rPr>
        <w:t>92% of groundwater bodies</w:t>
      </w:r>
      <w:r w:rsidRPr="00A01317">
        <w:rPr>
          <w:rFonts w:eastAsia="Calibri"/>
          <w:lang w:val="en-US"/>
        </w:rPr>
        <w:t xml:space="preserve"> </w:t>
      </w:r>
      <w:r w:rsidRPr="00A01317">
        <w:rPr>
          <w:rFonts w:eastAsia="Calibri"/>
          <w:b/>
          <w:lang w:val="en-US"/>
        </w:rPr>
        <w:t>were in good quantitative status</w:t>
      </w:r>
      <w:r w:rsidRPr="00A01317">
        <w:rPr>
          <w:rFonts w:eastAsia="Calibri"/>
          <w:lang w:val="en-US"/>
        </w:rPr>
        <w:t xml:space="preserve"> and </w:t>
      </w:r>
      <w:r w:rsidRPr="00A01317">
        <w:rPr>
          <w:rFonts w:eastAsia="Calibri"/>
          <w:b/>
          <w:lang w:val="en-US"/>
        </w:rPr>
        <w:t>82% in good chemical status</w:t>
      </w:r>
      <w:r w:rsidRPr="00A01317">
        <w:rPr>
          <w:rFonts w:eastAsia="Calibri"/>
          <w:lang w:val="en-US"/>
        </w:rPr>
        <w:t xml:space="preserve">. Similarly to the surface waters, groundwater bodies were affected by </w:t>
      </w:r>
      <w:r w:rsidRPr="00A01317">
        <w:rPr>
          <w:rFonts w:eastAsia="Calibri"/>
          <w:b/>
          <w:lang w:val="en-US"/>
        </w:rPr>
        <w:t xml:space="preserve">pressures </w:t>
      </w:r>
      <w:r w:rsidRPr="00A01317">
        <w:rPr>
          <w:rFonts w:eastAsia="Calibri"/>
          <w:lang w:val="en-US"/>
        </w:rPr>
        <w:t xml:space="preserve">from diffuse sources (25%), point sources (12%) and abstraction (10%). In particular, in the EU, agriculture is the main cause of groundwater's failure to achieve good chemical status, as it leads to diffuse pollution from nitrates and pesticides. The main </w:t>
      </w:r>
      <w:r w:rsidRPr="00A01317">
        <w:rPr>
          <w:rFonts w:eastAsia="Calibri"/>
          <w:b/>
          <w:lang w:val="en-US"/>
        </w:rPr>
        <w:t xml:space="preserve">impacts on groundwater bodies </w:t>
      </w:r>
      <w:r w:rsidRPr="00A01317">
        <w:rPr>
          <w:rFonts w:eastAsia="Calibri"/>
          <w:lang w:val="en-US"/>
        </w:rPr>
        <w:t>are</w:t>
      </w:r>
      <w:r w:rsidRPr="00A01317">
        <w:rPr>
          <w:rFonts w:eastAsia="Calibri"/>
          <w:b/>
          <w:lang w:val="en-US"/>
        </w:rPr>
        <w:t xml:space="preserve"> </w:t>
      </w:r>
      <w:r w:rsidRPr="00A01317">
        <w:rPr>
          <w:rFonts w:eastAsia="Calibri"/>
          <w:lang w:val="en-US"/>
        </w:rPr>
        <w:t>chemical pollution (13%) and nutrient pollution (9%).</w:t>
      </w:r>
    </w:p>
    <w:p w14:paraId="5D9E767D" w14:textId="77777777" w:rsidR="00A01317" w:rsidRPr="00A01317" w:rsidRDefault="00A01317" w:rsidP="00A01317">
      <w:pPr>
        <w:pStyle w:val="Body"/>
        <w:rPr>
          <w:lang w:val="en-US"/>
        </w:rPr>
      </w:pPr>
      <w:r w:rsidRPr="00A01317">
        <w:rPr>
          <w:b/>
          <w:lang w:val="en-US"/>
        </w:rPr>
        <w:t>Costs of achieving good status</w:t>
      </w:r>
      <w:r w:rsidRPr="00A01317">
        <w:rPr>
          <w:lang w:val="en-US"/>
        </w:rPr>
        <w:t xml:space="preserve"> for over 111 000 surface water bodies and over 13 000 groundwater bodies in the EU27 have been significant. In total, </w:t>
      </w:r>
      <w:r w:rsidRPr="00A01317">
        <w:rPr>
          <w:b/>
          <w:lang w:val="en-US"/>
        </w:rPr>
        <w:t xml:space="preserve">capital investment costs of the measures </w:t>
      </w:r>
      <w:r w:rsidRPr="00A01317">
        <w:rPr>
          <w:lang w:val="en-US"/>
        </w:rPr>
        <w:t>planned in the 2</w:t>
      </w:r>
      <w:r w:rsidRPr="00A01317">
        <w:rPr>
          <w:vertAlign w:val="superscript"/>
          <w:lang w:val="en-US"/>
        </w:rPr>
        <w:t>nd</w:t>
      </w:r>
      <w:r w:rsidRPr="00A01317">
        <w:rPr>
          <w:lang w:val="en-US"/>
        </w:rPr>
        <w:t xml:space="preserve"> RBMPs</w:t>
      </w:r>
      <w:r w:rsidRPr="00A01317">
        <w:rPr>
          <w:b/>
          <w:lang w:val="en-US"/>
        </w:rPr>
        <w:t xml:space="preserve"> reach at least EUR 130 billion </w:t>
      </w:r>
      <w:r w:rsidRPr="00A01317">
        <w:rPr>
          <w:lang w:val="en-US"/>
        </w:rPr>
        <w:t xml:space="preserve">(noting that these cost estimates are incomplete). While majority of countries estimate and report costs of planned measures in their RBMPs, </w:t>
      </w:r>
      <w:r w:rsidRPr="00A01317">
        <w:rPr>
          <w:b/>
          <w:lang w:val="en-US"/>
        </w:rPr>
        <w:t>knowledge base on costs of planned measures is</w:t>
      </w:r>
      <w:r w:rsidRPr="00A01317">
        <w:rPr>
          <w:lang w:val="en-US"/>
        </w:rPr>
        <w:t xml:space="preserve"> </w:t>
      </w:r>
      <w:r w:rsidRPr="00A01317">
        <w:rPr>
          <w:b/>
          <w:lang w:val="en-US"/>
        </w:rPr>
        <w:t>heterogeneous and incomplete</w:t>
      </w:r>
      <w:r w:rsidRPr="00A01317">
        <w:rPr>
          <w:lang w:val="en-US"/>
        </w:rPr>
        <w:t xml:space="preserve"> across the EU27. First of all, cost estimates are partial, as these largely cover capital investment costs with no corresponding estimates of annual operational and maintenance costs (these are known in about third of the countries). </w:t>
      </w:r>
    </w:p>
    <w:p w14:paraId="23348888" w14:textId="77777777" w:rsidR="00A01317" w:rsidRPr="00A01317" w:rsidRDefault="00A01317" w:rsidP="00A01317">
      <w:pPr>
        <w:pStyle w:val="Body"/>
        <w:rPr>
          <w:lang w:val="en-US"/>
        </w:rPr>
      </w:pPr>
      <w:r w:rsidRPr="00A01317">
        <w:rPr>
          <w:lang w:val="en-US"/>
        </w:rPr>
        <w:t xml:space="preserve">Furthermore, in many instances where </w:t>
      </w:r>
      <w:r w:rsidRPr="00A01317">
        <w:rPr>
          <w:b/>
          <w:lang w:val="en-US"/>
        </w:rPr>
        <w:t>cost estimates are</w:t>
      </w:r>
      <w:r w:rsidRPr="00A01317">
        <w:rPr>
          <w:lang w:val="en-US"/>
        </w:rPr>
        <w:t xml:space="preserve"> available for the countries these </w:t>
      </w:r>
      <w:r w:rsidRPr="00A01317">
        <w:rPr>
          <w:b/>
          <w:lang w:val="en-US"/>
        </w:rPr>
        <w:t xml:space="preserve">are partial </w:t>
      </w:r>
      <w:r w:rsidRPr="00A01317">
        <w:rPr>
          <w:lang w:val="en-US"/>
        </w:rPr>
        <w:t xml:space="preserve">as these only cover </w:t>
      </w:r>
      <w:r w:rsidRPr="00A01317">
        <w:rPr>
          <w:i/>
          <w:lang w:val="en-US"/>
        </w:rPr>
        <w:t>selected types of measures</w:t>
      </w:r>
      <w:r w:rsidRPr="00A01317">
        <w:rPr>
          <w:lang w:val="en-US"/>
        </w:rPr>
        <w:t xml:space="preserve"> (e.g. basic or supplementary), </w:t>
      </w:r>
      <w:r w:rsidRPr="00A01317">
        <w:rPr>
          <w:i/>
          <w:lang w:val="en-US"/>
        </w:rPr>
        <w:t>selected measures</w:t>
      </w:r>
      <w:r w:rsidRPr="00A01317">
        <w:rPr>
          <w:lang w:val="en-US"/>
        </w:rPr>
        <w:t xml:space="preserve"> (i.e. cost estimates not available for all measures include in the PoMs), </w:t>
      </w:r>
      <w:r w:rsidRPr="00A01317">
        <w:rPr>
          <w:i/>
          <w:lang w:val="en-US"/>
        </w:rPr>
        <w:t>selected areas</w:t>
      </w:r>
      <w:r w:rsidRPr="00A01317">
        <w:rPr>
          <w:lang w:val="en-US"/>
        </w:rPr>
        <w:t xml:space="preserve"> (i.e. for some River Basin Districts only) and </w:t>
      </w:r>
      <w:r w:rsidRPr="00A01317">
        <w:rPr>
          <w:i/>
          <w:lang w:val="en-US"/>
        </w:rPr>
        <w:t>selected sectors</w:t>
      </w:r>
      <w:r w:rsidRPr="00A01317">
        <w:rPr>
          <w:lang w:val="en-US"/>
        </w:rPr>
        <w:t xml:space="preserve"> (e.g. costs to public sector only).</w:t>
      </w:r>
    </w:p>
    <w:p w14:paraId="31668B32" w14:textId="77777777" w:rsidR="00A01317" w:rsidRPr="00A01317" w:rsidRDefault="00A01317" w:rsidP="00A01317">
      <w:pPr>
        <w:pStyle w:val="Body"/>
        <w:rPr>
          <w:lang w:val="en-US"/>
        </w:rPr>
      </w:pPr>
      <w:r w:rsidRPr="00A01317">
        <w:rPr>
          <w:lang w:val="en-US"/>
        </w:rPr>
        <w:t xml:space="preserve">The knowledge is even more partial when considering </w:t>
      </w:r>
      <w:r w:rsidRPr="00A01317">
        <w:rPr>
          <w:b/>
          <w:lang w:val="en-US"/>
        </w:rPr>
        <w:t>available cost data for</w:t>
      </w:r>
      <w:r w:rsidRPr="00A01317">
        <w:rPr>
          <w:lang w:val="en-US"/>
        </w:rPr>
        <w:t xml:space="preserve"> </w:t>
      </w:r>
      <w:r w:rsidRPr="00A01317">
        <w:rPr>
          <w:b/>
          <w:lang w:val="en-US"/>
        </w:rPr>
        <w:t>basic measures</w:t>
      </w:r>
      <w:r w:rsidRPr="00A01317">
        <w:rPr>
          <w:lang w:val="en-US"/>
        </w:rPr>
        <w:t xml:space="preserve"> (Art 11(3)(a), (b-l)) and </w:t>
      </w:r>
      <w:r w:rsidRPr="00A01317">
        <w:rPr>
          <w:b/>
          <w:lang w:val="en-US"/>
        </w:rPr>
        <w:t>supplementary measures</w:t>
      </w:r>
      <w:r w:rsidRPr="00A01317">
        <w:rPr>
          <w:lang w:val="en-US"/>
        </w:rPr>
        <w:t xml:space="preserve"> (Art 11(4) and 11(5)). In general, the knowledge base across the countries is stronger for the costs of supplementary measures (capital investment and operational and maintenance costs) in comparison to the costs of basic measures. This is due to the practice that in some countries, cost estimates cover only additional costs of measures for which funding needs to be sourced. </w:t>
      </w:r>
    </w:p>
    <w:p w14:paraId="45F6C312" w14:textId="77777777" w:rsidR="00A01317" w:rsidRPr="00A01317" w:rsidRDefault="00A01317" w:rsidP="00A01317">
      <w:pPr>
        <w:pStyle w:val="Body"/>
        <w:rPr>
          <w:lang w:val="en-US"/>
        </w:rPr>
      </w:pPr>
      <w:r w:rsidRPr="00A01317">
        <w:rPr>
          <w:lang w:val="en-US"/>
        </w:rPr>
        <w:t xml:space="preserve">On a country basis, there is </w:t>
      </w:r>
      <w:r w:rsidRPr="00A01317">
        <w:rPr>
          <w:b/>
          <w:lang w:val="en-US"/>
        </w:rPr>
        <w:t>significant fluctuation in the shares of basic and supplementary measures in total capital investment costs of measures</w:t>
      </w:r>
      <w:r w:rsidRPr="00A01317">
        <w:rPr>
          <w:lang w:val="en-US"/>
        </w:rPr>
        <w:t>; it ranges from 5% to 95% in Malta to 98% to 2% in Greece for basic and supplementary measures respectively</w:t>
      </w:r>
      <w:r w:rsidRPr="00736A50">
        <w:rPr>
          <w:rStyle w:val="FootnoteReference"/>
        </w:rPr>
        <w:footnoteReference w:id="61"/>
      </w:r>
      <w:r w:rsidRPr="00A01317">
        <w:rPr>
          <w:lang w:val="en-US"/>
        </w:rPr>
        <w:t xml:space="preserve">. In general, countries in Central and Eastern Europe focus capital investment efforts on basic measures (including water supply and sanitation sector measures). </w:t>
      </w:r>
    </w:p>
    <w:p w14:paraId="26A67570" w14:textId="77777777" w:rsidR="00A01317" w:rsidRPr="00A01317" w:rsidRDefault="00A01317" w:rsidP="00A01317">
      <w:pPr>
        <w:pStyle w:val="Body"/>
        <w:rPr>
          <w:lang w:val="en-US"/>
        </w:rPr>
      </w:pPr>
      <w:r w:rsidRPr="00A01317">
        <w:rPr>
          <w:lang w:val="en-US"/>
        </w:rPr>
        <w:t xml:space="preserve">Finally, </w:t>
      </w:r>
      <w:r w:rsidRPr="00A01317">
        <w:rPr>
          <w:b/>
          <w:lang w:val="en-US"/>
        </w:rPr>
        <w:t>few countries assess the total costs of achieving water policy goals</w:t>
      </w:r>
      <w:r w:rsidRPr="00A01317">
        <w:rPr>
          <w:lang w:val="en-US"/>
        </w:rPr>
        <w:t xml:space="preserve"> (i.e. costs of achieving environmental objectives as opposed to the costs of measures included in the Programmes of Measures). Some countries (e.g. Belgium), employ scenario approaches to estimate costs of achieving environmental objectives, while in other countries (e.g. Estonia, Slovakia) such assessments of future investment needs are strongly focused on water supply and sanitation infrastructure.</w:t>
      </w:r>
    </w:p>
    <w:p w14:paraId="5AF412BE" w14:textId="77777777" w:rsidR="00A01317" w:rsidRPr="00A01317" w:rsidRDefault="00A01317" w:rsidP="00A01317">
      <w:pPr>
        <w:pStyle w:val="Body"/>
        <w:rPr>
          <w:lang w:val="en-US"/>
        </w:rPr>
      </w:pPr>
      <w:r w:rsidRPr="00A01317">
        <w:rPr>
          <w:lang w:val="en-US"/>
        </w:rPr>
        <w:t xml:space="preserve">A </w:t>
      </w:r>
      <w:r w:rsidRPr="00A01317">
        <w:rPr>
          <w:b/>
          <w:lang w:val="en-US"/>
        </w:rPr>
        <w:t>wide range of measures</w:t>
      </w:r>
      <w:r w:rsidRPr="00A01317">
        <w:rPr>
          <w:lang w:val="en-US"/>
        </w:rPr>
        <w:t xml:space="preserve"> is included in the 2</w:t>
      </w:r>
      <w:r w:rsidRPr="00A01317">
        <w:rPr>
          <w:vertAlign w:val="superscript"/>
          <w:lang w:val="en-US"/>
        </w:rPr>
        <w:t>nd</w:t>
      </w:r>
      <w:r w:rsidRPr="00A01317">
        <w:rPr>
          <w:lang w:val="en-US"/>
        </w:rPr>
        <w:t xml:space="preserve"> RBMPs including measures aiming to address pressures caused by abstraction and water scarcity, pollution from agriculture, point sources and hydro-morphological alterations showing overall consistency with significant pressures and impacts.</w:t>
      </w:r>
    </w:p>
    <w:p w14:paraId="607FE0AF" w14:textId="77777777" w:rsidR="00A01317" w:rsidRPr="00A01317" w:rsidRDefault="00A01317" w:rsidP="00A01317">
      <w:pPr>
        <w:pStyle w:val="Body"/>
        <w:rPr>
          <w:lang w:val="en-US"/>
        </w:rPr>
      </w:pPr>
      <w:r w:rsidRPr="00A01317">
        <w:rPr>
          <w:lang w:val="en-US"/>
        </w:rPr>
        <w:t xml:space="preserve">While the majority of countries estimate and report costs of planned measures by sector or by type of measure in their RBMPs, there is </w:t>
      </w:r>
      <w:r w:rsidRPr="00A01317">
        <w:rPr>
          <w:bCs/>
          <w:lang w:val="en-US"/>
        </w:rPr>
        <w:t>substantial heterogeneity in available information on costs of measures by sector or type</w:t>
      </w:r>
      <w:r w:rsidRPr="00A01317">
        <w:rPr>
          <w:lang w:val="en-US"/>
        </w:rPr>
        <w:t>. Countries are using different lists of sectors, types of measures and other groupings to estimate costs of measures limiting comparability. It is, however, noted that in many countries measures in water supply and sanitation sector account for a large proportion of costs (e.g.  90% of total in Belgium). Measures aiming to reduce diffuse agricultural pollution also feature in programmes of measures attracting up to half of total costs (e.g. in Hungary ~52%).</w:t>
      </w:r>
    </w:p>
    <w:p w14:paraId="24DB755D" w14:textId="77777777" w:rsidR="00A01317" w:rsidRPr="00A01317" w:rsidRDefault="00A01317" w:rsidP="00A01317">
      <w:pPr>
        <w:pStyle w:val="Body"/>
        <w:rPr>
          <w:lang w:val="en-US"/>
        </w:rPr>
      </w:pPr>
      <w:r w:rsidRPr="00A01317">
        <w:rPr>
          <w:lang w:val="en-US"/>
        </w:rPr>
        <w:t xml:space="preserve">At the same time, measures aiming to alleviate hydro-morphological pressures, while included in the programmes of measures, attract relatively small proportion of planned investments (e.g. ~3% in Belgium, ~15% in Portugal). </w:t>
      </w:r>
    </w:p>
    <w:p w14:paraId="123237D2" w14:textId="3ECDC971" w:rsidR="00A01317" w:rsidRDefault="00A01317" w:rsidP="00A01317">
      <w:pPr>
        <w:pStyle w:val="Body"/>
        <w:rPr>
          <w:lang w:val="en-US"/>
        </w:rPr>
      </w:pPr>
      <w:r w:rsidRPr="00A01317">
        <w:rPr>
          <w:lang w:val="en-US"/>
        </w:rPr>
        <w:t xml:space="preserve">In order to identify the set of planned measures, Member States are using </w:t>
      </w:r>
      <w:r w:rsidRPr="00A01317">
        <w:rPr>
          <w:b/>
          <w:lang w:val="en-US"/>
        </w:rPr>
        <w:t>economic appraisal methods</w:t>
      </w:r>
      <w:r w:rsidRPr="00A01317">
        <w:rPr>
          <w:lang w:val="en-US"/>
        </w:rPr>
        <w:t>. The WFD stipulates that Programmes of Measures need to include a cost-effective set of measures. While most countries employ Cost-Effectiveness Analysis (CEA) of planned measures, in many instances, the analysis is applied to a sub-set of measures and in combination with qualitative appraisals. Furthermore, an integrated assessment of different types of measures is rarely applied with CEA largely focusing on pollution mitigation measures and fully fledged Cost-Benefit Analysis rarely used by countries.</w:t>
      </w:r>
    </w:p>
    <w:p w14:paraId="77B5C831" w14:textId="04889CC5" w:rsidR="00A01317" w:rsidRDefault="00A01317" w:rsidP="00A01317">
      <w:pPr>
        <w:pStyle w:val="Body"/>
        <w:rPr>
          <w:lang w:val="en-US"/>
        </w:rPr>
      </w:pPr>
    </w:p>
    <w:p w14:paraId="5DC371F1" w14:textId="77777777" w:rsidR="00524518" w:rsidRPr="00524518" w:rsidRDefault="00524518" w:rsidP="00524518">
      <w:pPr>
        <w:pStyle w:val="Heading2"/>
        <w:rPr>
          <w:rFonts w:eastAsia="Calibri"/>
          <w:lang w:val="en-US"/>
        </w:rPr>
      </w:pPr>
      <w:bookmarkStart w:id="107" w:name="_Toc59180784"/>
      <w:bookmarkStart w:id="108" w:name="_Toc62825949"/>
      <w:r w:rsidRPr="00524518">
        <w:rPr>
          <w:rFonts w:eastAsia="Calibri"/>
          <w:lang w:val="en-US"/>
        </w:rPr>
        <w:t>Main results: Assessing the costs of the Floods Directive</w:t>
      </w:r>
      <w:bookmarkEnd w:id="107"/>
      <w:bookmarkEnd w:id="108"/>
    </w:p>
    <w:p w14:paraId="3A0D1C4F" w14:textId="77777777" w:rsidR="00DC3072" w:rsidRPr="00DC3072" w:rsidRDefault="00DC3072" w:rsidP="00DC3072">
      <w:pPr>
        <w:pStyle w:val="Body"/>
        <w:rPr>
          <w:lang w:val="en-US"/>
        </w:rPr>
      </w:pPr>
      <w:r w:rsidRPr="00DC3072">
        <w:rPr>
          <w:lang w:val="en-US"/>
        </w:rPr>
        <w:t xml:space="preserve">In the context of flooding, Member States have identified 7,906 areas of potential significant flood risk (APSFRs) during the development of preliminary flood risk assessments (PFRA) and FRMPs. (Contrary to the Water Framework Directive) the Floods Directive does not define country specific measurable targets that should be fulfilled within a certain period. Instead, countries have defined their own </w:t>
      </w:r>
      <w:r w:rsidRPr="00DC3072">
        <w:rPr>
          <w:b/>
          <w:bCs/>
          <w:lang w:val="en-US"/>
        </w:rPr>
        <w:t>objectives</w:t>
      </w:r>
      <w:r w:rsidRPr="00DC3072">
        <w:rPr>
          <w:lang w:val="en-US"/>
        </w:rPr>
        <w:t xml:space="preserve"> in Flood Risk Management Plans. </w:t>
      </w:r>
    </w:p>
    <w:p w14:paraId="2403E47C" w14:textId="77777777" w:rsidR="00DC3072" w:rsidRPr="00DC3072" w:rsidRDefault="00DC3072" w:rsidP="00DC3072">
      <w:pPr>
        <w:pStyle w:val="Body"/>
        <w:rPr>
          <w:lang w:val="en-US"/>
        </w:rPr>
      </w:pPr>
      <w:r w:rsidRPr="00DC3072">
        <w:rPr>
          <w:lang w:val="en-US"/>
        </w:rPr>
        <w:t xml:space="preserve">The formulation of flood risk management objectives is heterogeneous across countries and concerns the quantification of flood risk levels, areas, impacts targeted, measure types, and coordination. Generally, objectives are not </w:t>
      </w:r>
      <w:r w:rsidRPr="00DC3072">
        <w:rPr>
          <w:b/>
          <w:bCs/>
          <w:lang w:val="en-US"/>
        </w:rPr>
        <w:t>quantified and measurable</w:t>
      </w:r>
      <w:r w:rsidRPr="00DC3072">
        <w:rPr>
          <w:lang w:val="en-US"/>
        </w:rPr>
        <w:t xml:space="preserve"> hindering the estimation of the level of effort, the linking to measures, and the estimation of costs and the cost-effectiveness of measures (including the importance given to nature-based solutions in addressing flood risk while delivering additional benefits). </w:t>
      </w:r>
    </w:p>
    <w:p w14:paraId="44611E19" w14:textId="77777777" w:rsidR="00DC3072" w:rsidRPr="00DC3072" w:rsidRDefault="00DC3072" w:rsidP="00DC3072">
      <w:pPr>
        <w:pStyle w:val="Body"/>
        <w:rPr>
          <w:lang w:val="en-US"/>
        </w:rPr>
      </w:pPr>
      <w:r w:rsidRPr="00DC3072">
        <w:rPr>
          <w:lang w:val="en-US"/>
        </w:rPr>
        <w:t xml:space="preserve">Measures aiming to reduce the adverse consequences for human health, the environment, cultural heritage and economic activity associated with floods have been put in place in the national FRMPs necessitating substantial capital investment and maintenance costs. </w:t>
      </w:r>
      <w:r w:rsidRPr="00DC3072">
        <w:rPr>
          <w:b/>
          <w:bCs/>
          <w:lang w:val="en-US"/>
        </w:rPr>
        <w:t>Total flood risk mitigation costs</w:t>
      </w:r>
      <w:r w:rsidRPr="00DC3072">
        <w:rPr>
          <w:lang w:val="en-US"/>
        </w:rPr>
        <w:t xml:space="preserve"> planned in the 1</w:t>
      </w:r>
      <w:r w:rsidRPr="00DC3072">
        <w:rPr>
          <w:vertAlign w:val="superscript"/>
          <w:lang w:val="en-US"/>
        </w:rPr>
        <w:t>st</w:t>
      </w:r>
      <w:r w:rsidRPr="00DC3072">
        <w:rPr>
          <w:lang w:val="en-US"/>
        </w:rPr>
        <w:t xml:space="preserve"> FRMPs reach at least </w:t>
      </w:r>
      <w:r w:rsidRPr="00DC3072">
        <w:rPr>
          <w:b/>
          <w:bCs/>
          <w:lang w:val="en-US"/>
        </w:rPr>
        <w:t>EUR 14 billion</w:t>
      </w:r>
      <w:r w:rsidRPr="00DC3072">
        <w:rPr>
          <w:lang w:val="en-US"/>
        </w:rPr>
        <w:t>, but these figures should be interpreted with caution as the knowledge base on costs is heterogeneous and incomplete. Not all countries report costs in 1</w:t>
      </w:r>
      <w:r w:rsidRPr="00DC3072">
        <w:rPr>
          <w:vertAlign w:val="superscript"/>
          <w:lang w:val="en-US"/>
        </w:rPr>
        <w:t>st</w:t>
      </w:r>
      <w:r w:rsidRPr="00DC3072">
        <w:rPr>
          <w:lang w:val="en-US"/>
        </w:rPr>
        <w:t xml:space="preserve"> FRMPs and cost estimations are often partial covering specific types of measures, areas or cost categories. Costs of some types of measures are location specific (spatial planning measures and nature-based solutions that depend on land prices) and therefore difficult to transfer to other countries.</w:t>
      </w:r>
    </w:p>
    <w:p w14:paraId="5CCC6FA2" w14:textId="77777777" w:rsidR="00DC3072" w:rsidRPr="00DC3072" w:rsidRDefault="00DC3072" w:rsidP="00DC3072">
      <w:pPr>
        <w:pStyle w:val="Body"/>
        <w:rPr>
          <w:lang w:val="en-US"/>
        </w:rPr>
      </w:pPr>
      <w:r w:rsidRPr="00DC3072">
        <w:rPr>
          <w:lang w:val="en-US"/>
        </w:rPr>
        <w:t xml:space="preserve">Detailed information on </w:t>
      </w:r>
      <w:r w:rsidRPr="00DC3072">
        <w:rPr>
          <w:b/>
          <w:bCs/>
          <w:lang w:val="en-US"/>
        </w:rPr>
        <w:t>costs per flood risk component</w:t>
      </w:r>
      <w:r w:rsidRPr="00DC3072">
        <w:rPr>
          <w:lang w:val="en-US"/>
        </w:rPr>
        <w:t xml:space="preserve"> (prevention, protection, preparedness, and recovery) or per type of measure (structural/non-structural) is lacking. Few countries report on future </w:t>
      </w:r>
      <w:r w:rsidRPr="00DC3072">
        <w:rPr>
          <w:b/>
          <w:bCs/>
          <w:lang w:val="en-US"/>
        </w:rPr>
        <w:t>investment needs</w:t>
      </w:r>
      <w:r w:rsidRPr="00DC3072">
        <w:rPr>
          <w:lang w:val="en-US"/>
        </w:rPr>
        <w:t xml:space="preserve"> and information is heterogeneous as concerns the use of time horizons and scenarios.</w:t>
      </w:r>
    </w:p>
    <w:p w14:paraId="29E38FCA" w14:textId="77777777" w:rsidR="00DC3072" w:rsidRPr="00DC3072" w:rsidRDefault="00DC3072" w:rsidP="00DC3072">
      <w:pPr>
        <w:pStyle w:val="Body"/>
        <w:rPr>
          <w:lang w:val="en-US"/>
        </w:rPr>
      </w:pPr>
      <w:r w:rsidRPr="00DC3072">
        <w:rPr>
          <w:lang w:val="en-US"/>
        </w:rPr>
        <w:t xml:space="preserve">A wide range of flood risk reducing measures is applied in countries targeting specifically prevention, protection, preparedness, and recovery. There seems to be a specific emphasis on structural measures. </w:t>
      </w:r>
      <w:r w:rsidRPr="00DC3072">
        <w:rPr>
          <w:b/>
          <w:bCs/>
          <w:lang w:val="en-US"/>
        </w:rPr>
        <w:t>Costs and effectiveness of non-structural measures</w:t>
      </w:r>
      <w:r w:rsidRPr="00DC3072">
        <w:rPr>
          <w:lang w:val="en-US"/>
        </w:rPr>
        <w:t xml:space="preserve"> are often difficult to quantify and, therefore, these types of measures are often discarded in economic ranking procedures. Few countries provide detailed information about the application of </w:t>
      </w:r>
      <w:r w:rsidRPr="00DC3072">
        <w:rPr>
          <w:b/>
          <w:bCs/>
          <w:lang w:val="en-US"/>
        </w:rPr>
        <w:t xml:space="preserve">natural flood management measures , </w:t>
      </w:r>
      <w:r w:rsidRPr="00DC3072">
        <w:rPr>
          <w:lang w:val="en-US"/>
        </w:rPr>
        <w:t xml:space="preserve">even though they are an interesting option that worth to be considered in analyses because of the multiple benefits they provide. </w:t>
      </w:r>
    </w:p>
    <w:p w14:paraId="1A100E7A" w14:textId="77777777" w:rsidR="00DC3072" w:rsidRPr="00DC3072" w:rsidRDefault="00DC3072" w:rsidP="00DC3072">
      <w:pPr>
        <w:pStyle w:val="Body"/>
        <w:rPr>
          <w:lang w:val="en-US"/>
        </w:rPr>
      </w:pPr>
      <w:r w:rsidRPr="00DC3072">
        <w:rPr>
          <w:lang w:val="en-US"/>
        </w:rPr>
        <w:t xml:space="preserve">Most countries apply some form of </w:t>
      </w:r>
      <w:r w:rsidRPr="00DC3072">
        <w:rPr>
          <w:b/>
          <w:bCs/>
          <w:lang w:val="en-US"/>
        </w:rPr>
        <w:t>economic appraisal approaches</w:t>
      </w:r>
      <w:r w:rsidRPr="00DC3072">
        <w:rPr>
          <w:lang w:val="en-US"/>
        </w:rPr>
        <w:t xml:space="preserve"> to evaluate measures. However, in many cases it is unclear if and how the results have been used for </w:t>
      </w:r>
      <w:r w:rsidRPr="00DC3072">
        <w:rPr>
          <w:b/>
          <w:bCs/>
          <w:lang w:val="en-US"/>
        </w:rPr>
        <w:t>the selection and prioritization of measures</w:t>
      </w:r>
      <w:r w:rsidRPr="00DC3072">
        <w:rPr>
          <w:lang w:val="en-US"/>
        </w:rPr>
        <w:t xml:space="preserve">. </w:t>
      </w:r>
    </w:p>
    <w:p w14:paraId="75082CD8" w14:textId="77777777" w:rsidR="00DC3072" w:rsidRPr="00DC3072" w:rsidRDefault="00DC3072" w:rsidP="00DC3072">
      <w:pPr>
        <w:pStyle w:val="Body"/>
        <w:rPr>
          <w:lang w:val="en-US"/>
        </w:rPr>
      </w:pPr>
      <w:r w:rsidRPr="00DC3072">
        <w:rPr>
          <w:lang w:val="en-US"/>
        </w:rPr>
        <w:t xml:space="preserve">The completeness of </w:t>
      </w:r>
      <w:r w:rsidRPr="00DC3072">
        <w:rPr>
          <w:b/>
          <w:bCs/>
          <w:lang w:val="en-US"/>
        </w:rPr>
        <w:t>cost-benefit analysis</w:t>
      </w:r>
      <w:r w:rsidRPr="00DC3072">
        <w:rPr>
          <w:lang w:val="en-US"/>
        </w:rPr>
        <w:t xml:space="preserve"> differs across countries that apply this method. </w:t>
      </w:r>
      <w:r w:rsidRPr="00DC3072">
        <w:rPr>
          <w:b/>
          <w:bCs/>
          <w:lang w:val="en-US"/>
        </w:rPr>
        <w:t>Environmental benefits</w:t>
      </w:r>
      <w:r w:rsidRPr="00DC3072">
        <w:rPr>
          <w:lang w:val="en-US"/>
        </w:rPr>
        <w:t xml:space="preserve"> are rarely considered, even though these can be especially important for the evaluation of non-structural measures and natural flood management options. In these cases, the </w:t>
      </w:r>
      <w:r w:rsidRPr="00DC3072">
        <w:rPr>
          <w:b/>
          <w:bCs/>
          <w:lang w:val="en-US"/>
        </w:rPr>
        <w:t>combination of cost-benefit analysis with multi-criteria analysis</w:t>
      </w:r>
      <w:r w:rsidRPr="00DC3072">
        <w:rPr>
          <w:lang w:val="en-US"/>
        </w:rPr>
        <w:t xml:space="preserve"> seems to be promising as it allows to capture environmental benefits that can be decisive. </w:t>
      </w:r>
    </w:p>
    <w:p w14:paraId="55AD4218" w14:textId="77777777" w:rsidR="00DC3072" w:rsidRPr="00DC3072" w:rsidRDefault="00DC3072" w:rsidP="00DC3072">
      <w:pPr>
        <w:pStyle w:val="Body"/>
        <w:rPr>
          <w:lang w:val="en-US"/>
        </w:rPr>
      </w:pPr>
      <w:r w:rsidRPr="00DC3072">
        <w:rPr>
          <w:lang w:val="en-US"/>
        </w:rPr>
        <w:t xml:space="preserve">Few countries account for synergies of so-called </w:t>
      </w:r>
      <w:r w:rsidRPr="00DC3072">
        <w:rPr>
          <w:b/>
          <w:bCs/>
          <w:lang w:val="en-US"/>
        </w:rPr>
        <w:t>“win-win measures”</w:t>
      </w:r>
      <w:r w:rsidRPr="00DC3072">
        <w:rPr>
          <w:lang w:val="en-US"/>
        </w:rPr>
        <w:t xml:space="preserve"> (measures that serve objectives of the WFD and FD) in economic evaluation procedures and in the prioritisation of measures. A method that allows to </w:t>
      </w:r>
      <w:r w:rsidRPr="00DC3072">
        <w:rPr>
          <w:b/>
          <w:bCs/>
          <w:lang w:val="en-US"/>
        </w:rPr>
        <w:t>prioritise synergistic measures</w:t>
      </w:r>
      <w:r w:rsidRPr="00DC3072">
        <w:rPr>
          <w:lang w:val="en-US"/>
        </w:rPr>
        <w:t xml:space="preserve"> is currently lacking. </w:t>
      </w:r>
    </w:p>
    <w:p w14:paraId="07F2E87E" w14:textId="77777777" w:rsidR="00A01317" w:rsidRDefault="00A01317" w:rsidP="00A01317">
      <w:pPr>
        <w:pStyle w:val="Body"/>
        <w:rPr>
          <w:lang w:val="en-US"/>
        </w:rPr>
      </w:pPr>
    </w:p>
    <w:p w14:paraId="5956320D" w14:textId="77777777" w:rsidR="00051099" w:rsidRPr="00051099" w:rsidRDefault="00051099" w:rsidP="00051099">
      <w:pPr>
        <w:pStyle w:val="Heading2"/>
        <w:rPr>
          <w:rFonts w:eastAsia="Calibri"/>
          <w:lang w:val="en-US"/>
        </w:rPr>
      </w:pPr>
      <w:bookmarkStart w:id="109" w:name="_Toc59180785"/>
      <w:bookmarkStart w:id="110" w:name="_Toc62825950"/>
      <w:r w:rsidRPr="00051099">
        <w:rPr>
          <w:rFonts w:eastAsia="Calibri"/>
          <w:lang w:val="en-US"/>
        </w:rPr>
        <w:t>Main results: Financing of Measures</w:t>
      </w:r>
      <w:bookmarkEnd w:id="109"/>
      <w:bookmarkEnd w:id="110"/>
    </w:p>
    <w:p w14:paraId="0773EAB4" w14:textId="77777777" w:rsidR="00780719" w:rsidRPr="00780719" w:rsidRDefault="00780719" w:rsidP="00780719">
      <w:pPr>
        <w:pStyle w:val="Body"/>
        <w:rPr>
          <w:lang w:val="en-US"/>
        </w:rPr>
      </w:pPr>
      <w:r w:rsidRPr="00780719">
        <w:rPr>
          <w:lang w:val="en-US"/>
        </w:rPr>
        <w:t xml:space="preserve">When it comes to </w:t>
      </w:r>
      <w:r w:rsidRPr="00780719">
        <w:rPr>
          <w:b/>
          <w:bCs/>
          <w:lang w:val="en-US"/>
        </w:rPr>
        <w:t>financing the management of water ecosystems/resources and floods</w:t>
      </w:r>
      <w:r w:rsidRPr="00780719">
        <w:rPr>
          <w:lang w:val="en-US"/>
        </w:rPr>
        <w:t>, data and information are scattered and heterogeneous across MS – and thus the analysis of the fiches has been mostly qualitative. Nevertheless, some important key messages emerge from the wealth of information included in MS fiches:</w:t>
      </w:r>
    </w:p>
    <w:p w14:paraId="04FFA4E8" w14:textId="77777777" w:rsidR="00780719" w:rsidRPr="00780719" w:rsidRDefault="00780719" w:rsidP="00A13462">
      <w:pPr>
        <w:pStyle w:val="Body"/>
        <w:numPr>
          <w:ilvl w:val="0"/>
          <w:numId w:val="39"/>
        </w:numPr>
        <w:spacing w:after="160" w:line="240" w:lineRule="atLeast"/>
        <w:rPr>
          <w:lang w:val="en-US"/>
        </w:rPr>
      </w:pPr>
      <w:r w:rsidRPr="00780719">
        <w:rPr>
          <w:lang w:val="en-US"/>
        </w:rPr>
        <w:t xml:space="preserve">The most important funding sources for water management in Europe are </w:t>
      </w:r>
      <w:r w:rsidRPr="00780719">
        <w:rPr>
          <w:b/>
          <w:bCs/>
          <w:lang w:val="en-US"/>
        </w:rPr>
        <w:t>water and sanitation tariffs, EU funds and national public funds</w:t>
      </w:r>
      <w:r w:rsidRPr="00780719">
        <w:rPr>
          <w:lang w:val="en-US"/>
        </w:rPr>
        <w:t xml:space="preserve"> – these are in place in a vast majority of MS</w:t>
      </w:r>
      <w:r w:rsidRPr="00736A50">
        <w:rPr>
          <w:rStyle w:val="FootnoteReference"/>
        </w:rPr>
        <w:footnoteReference w:id="62"/>
      </w:r>
      <w:r w:rsidRPr="00780719">
        <w:rPr>
          <w:lang w:val="en-US"/>
        </w:rPr>
        <w:t>, and the financial volumes deployed are larger than other sources;</w:t>
      </w:r>
    </w:p>
    <w:p w14:paraId="5E65FD85" w14:textId="77777777" w:rsidR="00780719" w:rsidRPr="00D14669" w:rsidRDefault="00780719" w:rsidP="00A13462">
      <w:pPr>
        <w:pStyle w:val="Body"/>
        <w:numPr>
          <w:ilvl w:val="0"/>
          <w:numId w:val="39"/>
        </w:numPr>
        <w:spacing w:after="160" w:line="240" w:lineRule="atLeast"/>
        <w:rPr>
          <w:lang w:val="en-US"/>
        </w:rPr>
      </w:pPr>
      <w:r w:rsidRPr="00780719">
        <w:rPr>
          <w:b/>
          <w:bCs/>
          <w:lang w:val="en-US"/>
        </w:rPr>
        <w:t>Abstraction and pollution charges</w:t>
      </w:r>
      <w:r w:rsidRPr="00780719">
        <w:rPr>
          <w:lang w:val="en-US"/>
        </w:rPr>
        <w:t xml:space="preserve"> are in place in several MS, and generate significant revenues. </w:t>
      </w:r>
      <w:r w:rsidRPr="00D14669">
        <w:rPr>
          <w:lang w:val="en-US"/>
        </w:rPr>
        <w:t>However, while in some MS revenues are earmarked and directed to water management – in few MS, revenues are directed to the Central Government budget or are allocated to regional, local or municipal budgets for several uses. In these countries, earmarking revenues might be a way to unlock additional revenues for water management;</w:t>
      </w:r>
    </w:p>
    <w:p w14:paraId="09BBBBB9" w14:textId="77777777" w:rsidR="00780719" w:rsidRPr="00D14669" w:rsidRDefault="00780719" w:rsidP="00A13462">
      <w:pPr>
        <w:pStyle w:val="Body"/>
        <w:numPr>
          <w:ilvl w:val="0"/>
          <w:numId w:val="39"/>
        </w:numPr>
        <w:spacing w:after="160" w:line="240" w:lineRule="atLeast"/>
        <w:rPr>
          <w:lang w:val="en-US"/>
        </w:rPr>
      </w:pPr>
      <w:r w:rsidRPr="00D14669">
        <w:rPr>
          <w:b/>
          <w:bCs/>
          <w:lang w:val="en-US"/>
        </w:rPr>
        <w:t xml:space="preserve">Private investments </w:t>
      </w:r>
      <w:r w:rsidRPr="00D14669">
        <w:rPr>
          <w:lang w:val="en-US"/>
        </w:rPr>
        <w:t>receive limited application in EU MS. Further investigations to assess the potential for additional private financing, and its potential (in particular economic and social) impacts would help identifying untapped potential for funding, and deserve further attention in the debate on financing water resource management at the EU and national level;</w:t>
      </w:r>
    </w:p>
    <w:p w14:paraId="021D6AF9" w14:textId="77777777" w:rsidR="00780719" w:rsidRPr="00D14669" w:rsidRDefault="00780719" w:rsidP="00A13462">
      <w:pPr>
        <w:pStyle w:val="Body"/>
        <w:numPr>
          <w:ilvl w:val="0"/>
          <w:numId w:val="39"/>
        </w:numPr>
        <w:spacing w:after="160" w:line="240" w:lineRule="atLeast"/>
        <w:rPr>
          <w:lang w:val="en-US"/>
        </w:rPr>
      </w:pPr>
      <w:r w:rsidRPr="00D14669">
        <w:rPr>
          <w:lang w:val="en-US"/>
        </w:rPr>
        <w:t xml:space="preserve">Some </w:t>
      </w:r>
      <w:r w:rsidRPr="00D14669">
        <w:rPr>
          <w:b/>
          <w:bCs/>
          <w:lang w:val="en-US"/>
        </w:rPr>
        <w:t>innovative funding arrangements</w:t>
      </w:r>
      <w:r w:rsidRPr="00D14669">
        <w:rPr>
          <w:lang w:val="en-US"/>
        </w:rPr>
        <w:t>, such as for example PES schemes, or financial assistance schemes combining public funding and financial participation by recipients (e.g. farmers), or an environmental fund financed by hydropower companies. Innovative funding arrangements would deserve further attention in the future, to assess their potential for funding water management measures;</w:t>
      </w:r>
    </w:p>
    <w:p w14:paraId="3D9D7FDD" w14:textId="77777777" w:rsidR="00780719" w:rsidRPr="00D14669" w:rsidRDefault="00780719" w:rsidP="00A13462">
      <w:pPr>
        <w:pStyle w:val="Body"/>
        <w:numPr>
          <w:ilvl w:val="0"/>
          <w:numId w:val="39"/>
        </w:numPr>
        <w:spacing w:after="160" w:line="240" w:lineRule="atLeast"/>
        <w:rPr>
          <w:lang w:val="en-US"/>
        </w:rPr>
      </w:pPr>
      <w:r w:rsidRPr="00D14669">
        <w:rPr>
          <w:lang w:val="en-US"/>
        </w:rPr>
        <w:t xml:space="preserve">At present, a variety of </w:t>
      </w:r>
      <w:r w:rsidRPr="00D14669">
        <w:rPr>
          <w:b/>
          <w:bCs/>
          <w:lang w:val="en-US"/>
        </w:rPr>
        <w:t>charges on other significant water uses</w:t>
      </w:r>
      <w:r w:rsidRPr="00D14669">
        <w:rPr>
          <w:lang w:val="en-US"/>
        </w:rPr>
        <w:t xml:space="preserve"> (e.g. taxes on pesticides, charges on alluvial sediment extraction) are in place in some MS, targeting different types of water users. These charges improve the implementation of the polluter- and user-pays principle, and their implementation in MS should be promoted. For example, although nitrates and pesticides are one of the main water management issues in the EU, only three MS have specific charges in place (and a fourth one is planning to have one), revealing weaknesses in the implementation of the polluter-pays principle in the EU. </w:t>
      </w:r>
    </w:p>
    <w:p w14:paraId="5E3F1DF9" w14:textId="77777777" w:rsidR="00780719" w:rsidRPr="00D14669" w:rsidRDefault="00780719" w:rsidP="00780719">
      <w:pPr>
        <w:pStyle w:val="Body"/>
        <w:rPr>
          <w:lang w:val="en-US"/>
        </w:rPr>
      </w:pPr>
      <w:r w:rsidRPr="00D14669">
        <w:rPr>
          <w:lang w:val="en-US"/>
        </w:rPr>
        <w:t>Surely, all untapped or emerging sources of funding should be carefully explored at the EU and MS level before design and implementation, to ensure that they fit into the specific architecture of the national economic, social and environmental settings</w:t>
      </w:r>
      <w:r>
        <w:rPr>
          <w:rStyle w:val="FootnoteReference"/>
        </w:rPr>
        <w:footnoteReference w:id="63"/>
      </w:r>
      <w:r w:rsidRPr="00D14669">
        <w:rPr>
          <w:lang w:val="en-US"/>
        </w:rPr>
        <w:t>.</w:t>
      </w:r>
    </w:p>
    <w:p w14:paraId="366DBE63" w14:textId="77777777" w:rsidR="00780719" w:rsidRPr="00D14669" w:rsidRDefault="00780719" w:rsidP="00780719">
      <w:pPr>
        <w:pStyle w:val="Body"/>
        <w:rPr>
          <w:lang w:val="en-US"/>
        </w:rPr>
      </w:pPr>
      <w:r w:rsidRPr="00D14669">
        <w:rPr>
          <w:lang w:val="en-US"/>
        </w:rPr>
        <w:t>Overall, the implementation of full-financial cost-recovery for the WSS sector (excluding irrigation) still presents some weaknesses in the EU, although improvements have taken place since 2006 – following WFD implementation. In 9 MS out of 27, cost recovery is 100% or higher, in further 5 countries cost-recovery rate is between 90 and 100%; in 6 MS cost recovery levels are between 80 and 90%; in 4 MS, cost recovery levels are below 80%; and in 3 MS this information was not available. In 10 MS out of 27, water and sanitation tariffs are set between 1 and 2 EUR/m</w:t>
      </w:r>
      <w:r w:rsidRPr="00D14669">
        <w:rPr>
          <w:vertAlign w:val="superscript"/>
          <w:lang w:val="en-US"/>
        </w:rPr>
        <w:t>3</w:t>
      </w:r>
      <w:r w:rsidRPr="00D14669">
        <w:rPr>
          <w:lang w:val="en-US"/>
        </w:rPr>
        <w:t>; in 6 MS between 2 and 3 EUR/m</w:t>
      </w:r>
      <w:r w:rsidRPr="00D14669">
        <w:rPr>
          <w:vertAlign w:val="superscript"/>
          <w:lang w:val="en-US"/>
        </w:rPr>
        <w:t>3</w:t>
      </w:r>
      <w:r w:rsidRPr="00D14669">
        <w:rPr>
          <w:lang w:val="en-US"/>
        </w:rPr>
        <w:t>; and in 5 MS, tariffs are above 5 EUR/m</w:t>
      </w:r>
      <w:r w:rsidRPr="00D14669">
        <w:rPr>
          <w:vertAlign w:val="superscript"/>
          <w:lang w:val="en-US"/>
        </w:rPr>
        <w:t>3</w:t>
      </w:r>
      <w:r w:rsidRPr="00D14669">
        <w:rPr>
          <w:lang w:val="en-US"/>
        </w:rPr>
        <w:t xml:space="preserve">.  Further investigation is required to better capture factors that constraint the application of the cost-recovery principle, and of possible solutions for addressing those. </w:t>
      </w:r>
    </w:p>
    <w:p w14:paraId="2B2DA925" w14:textId="77777777" w:rsidR="00780719" w:rsidRPr="00D14669" w:rsidRDefault="00780719" w:rsidP="00780719">
      <w:pPr>
        <w:pStyle w:val="Body"/>
        <w:rPr>
          <w:lang w:val="en-US"/>
        </w:rPr>
      </w:pPr>
      <w:r w:rsidRPr="00D14669">
        <w:rPr>
          <w:lang w:val="en-US"/>
        </w:rPr>
        <w:t xml:space="preserve">A comparison between cost recovery levels and affordability of water and sanitation expenditures in the EU revealed that, in general, </w:t>
      </w:r>
      <w:r w:rsidRPr="00D14669">
        <w:rPr>
          <w:b/>
          <w:bCs/>
          <w:lang w:val="en-US"/>
        </w:rPr>
        <w:t>full cost recovery levels</w:t>
      </w:r>
      <w:r w:rsidRPr="00D14669">
        <w:rPr>
          <w:lang w:val="en-US"/>
        </w:rPr>
        <w:t xml:space="preserve"> – and also cost-recovery levels between 90 and 100% - </w:t>
      </w:r>
      <w:r w:rsidRPr="00D14669">
        <w:rPr>
          <w:b/>
          <w:bCs/>
          <w:lang w:val="en-US"/>
        </w:rPr>
        <w:t>do not compromise the affordability of water services</w:t>
      </w:r>
      <w:r w:rsidRPr="00D14669">
        <w:rPr>
          <w:lang w:val="en-US"/>
        </w:rPr>
        <w:t>: in all these MSs, water and sanitation services are affordable for all, including households in the lowest income decile when considered at the aggregated level</w:t>
      </w:r>
      <w:r>
        <w:rPr>
          <w:rStyle w:val="FootnoteReference"/>
        </w:rPr>
        <w:footnoteReference w:id="64"/>
      </w:r>
      <w:r w:rsidRPr="00D14669">
        <w:rPr>
          <w:lang w:val="en-US"/>
        </w:rPr>
        <w:t>.. However, in the countries not yet reaching full cost-recovery – and planning to achieve it by raising current water and sanitation tariffs – it is recommended to carry out  ex-ante assessment of the affordability of higher water tariffs, and to implement accompanying measures (e.g. social tariffs) to mitigate any affordability-related issues.</w:t>
      </w:r>
    </w:p>
    <w:p w14:paraId="60C91959" w14:textId="1DDE5163" w:rsidR="00A01317" w:rsidRDefault="00A01317" w:rsidP="00A01317">
      <w:pPr>
        <w:pStyle w:val="Body"/>
        <w:rPr>
          <w:lang w:val="en-US"/>
        </w:rPr>
      </w:pPr>
    </w:p>
    <w:p w14:paraId="74E50593" w14:textId="1113C49A" w:rsidR="00A01317" w:rsidRDefault="00A01317" w:rsidP="00A01317">
      <w:pPr>
        <w:pStyle w:val="Body"/>
        <w:rPr>
          <w:lang w:val="en-US"/>
        </w:rPr>
      </w:pPr>
    </w:p>
    <w:p w14:paraId="2B10FB3A" w14:textId="77777777" w:rsidR="00966BF2" w:rsidRPr="00966BF2" w:rsidRDefault="00966BF2" w:rsidP="00966BF2">
      <w:pPr>
        <w:pStyle w:val="Heading2"/>
        <w:rPr>
          <w:rFonts w:eastAsia="Calibri"/>
          <w:lang w:val="en-US"/>
        </w:rPr>
      </w:pPr>
      <w:bookmarkStart w:id="111" w:name="_Toc59180786"/>
      <w:bookmarkStart w:id="112" w:name="_Toc62825951"/>
      <w:r w:rsidRPr="00966BF2">
        <w:rPr>
          <w:rFonts w:eastAsia="Calibri"/>
          <w:lang w:val="en-US"/>
        </w:rPr>
        <w:t>Putting the assessment results into perspective: discussion</w:t>
      </w:r>
      <w:bookmarkEnd w:id="111"/>
      <w:bookmarkEnd w:id="112"/>
    </w:p>
    <w:p w14:paraId="77CD6280" w14:textId="77777777" w:rsidR="008E7AB2" w:rsidRPr="008E7AB2" w:rsidRDefault="008E7AB2" w:rsidP="008E7AB2">
      <w:pPr>
        <w:pStyle w:val="Body"/>
        <w:rPr>
          <w:lang w:val="en-US"/>
        </w:rPr>
      </w:pPr>
      <w:r w:rsidRPr="008E7AB2">
        <w:rPr>
          <w:lang w:val="en-US"/>
        </w:rPr>
        <w:t>As a result of the analysis of data available from Member States, some findings on the need to progress towards a more strategic approach to financing water-related investments, in line with what was discussed above (see Section 4), are listed below :</w:t>
      </w:r>
    </w:p>
    <w:p w14:paraId="1D48B320" w14:textId="77777777" w:rsidR="008E7AB2" w:rsidRPr="008E7AB2" w:rsidRDefault="008E7AB2" w:rsidP="00A13462">
      <w:pPr>
        <w:pStyle w:val="Body"/>
        <w:numPr>
          <w:ilvl w:val="0"/>
          <w:numId w:val="40"/>
        </w:numPr>
      </w:pPr>
      <w:r w:rsidRPr="008E7AB2">
        <w:rPr>
          <w:b/>
        </w:rPr>
        <w:t>Integrating or mainstreaming water financing considerations</w:t>
      </w:r>
      <w:r w:rsidRPr="008E7AB2">
        <w:t xml:space="preserve"> across water-related sectors should be a priority to leverage additional funds for sustainable water resources management. Currently, a sector-biased approach is predominant, which is actually hindering the possibility to leverage funds from other sectors but also to adopt a more holistic approach to financing, one that actually matches the nature of some of the policy challenges: i.e. nexus approach, conservation of biodiversity, macroeconomic performance, resource efficiency, circularity, etc. To put it in a different way, there seems to be leeway to unlock some institutional lock-ins as per financing approaches: bias in public investment systems towards conventional infrastructures, weak institutional innovation to address wider challenges (such as adaptation or long-term security from a nexus approach). </w:t>
      </w:r>
      <w:r w:rsidRPr="008E7AB2">
        <w:rPr>
          <w:lang w:eastAsia="es-ES_tradnl"/>
        </w:rPr>
        <w:t xml:space="preserve">International finance for climate-related purposes has grown significantly, but over 80% of disbursements are geared to mitigation programmes in the energy and transport sectors (UNEP, 2016) </w:t>
      </w:r>
      <w:r w:rsidRPr="008E7AB2">
        <w:rPr>
          <w:rStyle w:val="FootnoteReference"/>
          <w:rFonts w:cs="Segoe UI"/>
          <w:lang w:eastAsia="es-ES_tradnl"/>
        </w:rPr>
        <w:footnoteReference w:id="65"/>
      </w:r>
      <w:r w:rsidRPr="008E7AB2">
        <w:rPr>
          <w:lang w:eastAsia="es-ES_tradnl"/>
        </w:rPr>
        <w:t>, with an untapped potential from adaptation funds.</w:t>
      </w:r>
    </w:p>
    <w:p w14:paraId="090C9863" w14:textId="77777777" w:rsidR="008E7AB2" w:rsidRPr="008E7AB2" w:rsidRDefault="008E7AB2" w:rsidP="00A13462">
      <w:pPr>
        <w:pStyle w:val="Body"/>
        <w:numPr>
          <w:ilvl w:val="0"/>
          <w:numId w:val="40"/>
        </w:numPr>
      </w:pPr>
      <w:r w:rsidRPr="008E7AB2">
        <w:t xml:space="preserve">In terms of assessment, additional lock-ins can be found, such as the use of cost-effectiveness analysis to compare grey and green infrastructures, which does not factor in multiple benefits from the latter. Hence, there is significant potential to </w:t>
      </w:r>
      <w:r w:rsidRPr="008E7AB2">
        <w:rPr>
          <w:b/>
        </w:rPr>
        <w:t xml:space="preserve">move away from </w:t>
      </w:r>
      <w:r w:rsidRPr="008E7AB2">
        <w:rPr>
          <w:rFonts w:eastAsia="Calibri"/>
          <w:b/>
        </w:rPr>
        <w:t>‘</w:t>
      </w:r>
      <w:r w:rsidRPr="008E7AB2">
        <w:rPr>
          <w:b/>
        </w:rPr>
        <w:t>least-cost</w:t>
      </w:r>
      <w:r w:rsidRPr="008E7AB2">
        <w:rPr>
          <w:rFonts w:eastAsia="Calibri"/>
          <w:b/>
        </w:rPr>
        <w:t>’</w:t>
      </w:r>
      <w:r w:rsidRPr="008E7AB2">
        <w:rPr>
          <w:b/>
        </w:rPr>
        <w:t xml:space="preserve"> to </w:t>
      </w:r>
      <w:r w:rsidRPr="008E7AB2">
        <w:rPr>
          <w:rFonts w:eastAsia="Calibri"/>
          <w:b/>
        </w:rPr>
        <w:t>‘</w:t>
      </w:r>
      <w:r w:rsidRPr="008E7AB2">
        <w:rPr>
          <w:b/>
        </w:rPr>
        <w:t>best-value</w:t>
      </w:r>
      <w:r w:rsidRPr="008E7AB2">
        <w:rPr>
          <w:rFonts w:eastAsia="Calibri"/>
          <w:b/>
        </w:rPr>
        <w:t>’</w:t>
      </w:r>
      <w:r w:rsidRPr="008E7AB2">
        <w:rPr>
          <w:b/>
        </w:rPr>
        <w:t xml:space="preserve"> approaches</w:t>
      </w:r>
      <w:r w:rsidRPr="008E7AB2">
        <w:t xml:space="preserve">: using existing financial resources to fund water-related activities that provide the highest social, environmental and economic benefits. On practical grounds, not only this entails a wider use of cost-benefit analysis, beyond cost-effectiveness analysis, but also to use these analytical frameworks to inform decisions </w:t>
      </w:r>
      <w:r w:rsidRPr="008E7AB2">
        <w:rPr>
          <w:i/>
        </w:rPr>
        <w:t>ex ante</w:t>
      </w:r>
      <w:r w:rsidRPr="008E7AB2">
        <w:t xml:space="preserve"> rather than to justify previously made ones. There is evidence (Urrea et al, 2020</w:t>
      </w:r>
      <w:r w:rsidRPr="008E7AB2">
        <w:rPr>
          <w:vertAlign w:val="superscript"/>
        </w:rPr>
        <w:footnoteReference w:id="66"/>
      </w:r>
      <w:r w:rsidRPr="008E7AB2">
        <w:t xml:space="preserve">) that infrastructure maintenance and conservation policies have been developed mainly from a corrective point of view, i.e., once the asset has failed). </w:t>
      </w:r>
    </w:p>
    <w:p w14:paraId="433EC590" w14:textId="77777777" w:rsidR="008E7AB2" w:rsidRPr="008E7AB2" w:rsidRDefault="008E7AB2" w:rsidP="00A13462">
      <w:pPr>
        <w:pStyle w:val="Body"/>
        <w:numPr>
          <w:ilvl w:val="0"/>
          <w:numId w:val="40"/>
        </w:numPr>
      </w:pPr>
      <w:r w:rsidRPr="008E7AB2">
        <w:t xml:space="preserve">Looking at multi-level governance schemes in place, it seems that what should be improved is not just the </w:t>
      </w:r>
      <w:r w:rsidRPr="008E7AB2">
        <w:rPr>
          <w:b/>
        </w:rPr>
        <w:t>coordination of sectoral policies but also of water-related investments</w:t>
      </w:r>
      <w:r w:rsidRPr="008E7AB2">
        <w:t xml:space="preserve">, as it is shown in the definition of match-funding schemes and the discussion on public interest investments, pervasive in the new Plan DSEAR in Spain </w:t>
      </w:r>
    </w:p>
    <w:p w14:paraId="5A2DF69C" w14:textId="77777777" w:rsidR="008E7AB2" w:rsidRPr="008E7AB2" w:rsidRDefault="008E7AB2" w:rsidP="00A13462">
      <w:pPr>
        <w:pStyle w:val="Body"/>
        <w:numPr>
          <w:ilvl w:val="0"/>
          <w:numId w:val="40"/>
        </w:numPr>
      </w:pPr>
      <w:r w:rsidRPr="008E7AB2">
        <w:t xml:space="preserve">Part of the </w:t>
      </w:r>
      <w:r w:rsidRPr="008E7AB2">
        <w:rPr>
          <w:b/>
        </w:rPr>
        <w:t>potential to minimize the need of financial resources remains untapped</w:t>
      </w:r>
      <w:r w:rsidRPr="008E7AB2">
        <w:t xml:space="preserve">. Although there have been major efforts to increase water use efficiency (for instance in the modernisation of irrigation systems in Mediterranean countries) and to ensure adequate asset management, none of those efforts has delivered in general terms as required, especially when it comes to achieving collective objectives. (i.e. wider long-term water security at a basin level) There are very significant savings in a number of irrigation districts in Southern European countries, but those savings are not always transferred to the basins (as evident in countries like Spain or Italy). </w:t>
      </w:r>
    </w:p>
    <w:p w14:paraId="305A9B96" w14:textId="77777777" w:rsidR="008E7AB2" w:rsidRPr="008E7AB2" w:rsidRDefault="008E7AB2" w:rsidP="00A13462">
      <w:pPr>
        <w:pStyle w:val="Body"/>
        <w:numPr>
          <w:ilvl w:val="0"/>
          <w:numId w:val="40"/>
        </w:numPr>
      </w:pPr>
      <w:r w:rsidRPr="008E7AB2">
        <w:t>There seem to be ways of i</w:t>
      </w:r>
      <w:r w:rsidRPr="008E7AB2">
        <w:rPr>
          <w:b/>
        </w:rPr>
        <w:t>ncreasing revenues internally generated</w:t>
      </w:r>
      <w:r w:rsidRPr="008E7AB2">
        <w:t xml:space="preserve"> in the water sector, an approach that may complement the use of funds generated elsewhere too (i.e. climate financing, integrated projects in LIFE, etc.). This should also be compatible with the </w:t>
      </w:r>
      <w:r w:rsidRPr="008E7AB2">
        <w:rPr>
          <w:b/>
        </w:rPr>
        <w:t>increase of public budgetary resources to water-related activities</w:t>
      </w:r>
      <w:r w:rsidRPr="008E7AB2">
        <w:t>, although trade-offs will need to be made regarding the joint effect of increased indebtedness and fiscal consolidation efforts and the increased stimulus from recovery and resilience packages.  Overall, a public debate on how to share costs and benefits as to water policy seems a pending issue.</w:t>
      </w:r>
    </w:p>
    <w:p w14:paraId="1F0F85F6" w14:textId="0FE57F3D" w:rsidR="008E7AB2" w:rsidRDefault="008E7AB2" w:rsidP="00A13462">
      <w:pPr>
        <w:pStyle w:val="Body"/>
        <w:numPr>
          <w:ilvl w:val="0"/>
          <w:numId w:val="40"/>
        </w:numPr>
      </w:pPr>
      <w:r w:rsidRPr="008E7AB2">
        <w:t xml:space="preserve">The strategic use of </w:t>
      </w:r>
      <w:r w:rsidRPr="008E7AB2">
        <w:rPr>
          <w:b/>
        </w:rPr>
        <w:t xml:space="preserve">resources from the Recovery and Resilience Facility under Next Generation EU </w:t>
      </w:r>
      <w:r w:rsidRPr="008E7AB2">
        <w:t xml:space="preserve">(as </w:t>
      </w:r>
      <w:r w:rsidRPr="008E7AB2">
        <w:rPr>
          <w:rFonts w:eastAsia="Calibri"/>
        </w:rPr>
        <w:t>‘</w:t>
      </w:r>
      <w:r w:rsidRPr="008E7AB2">
        <w:t>intelligent money</w:t>
      </w:r>
      <w:r w:rsidRPr="008E7AB2">
        <w:rPr>
          <w:rFonts w:eastAsia="Calibri"/>
        </w:rPr>
        <w:t>’)</w:t>
      </w:r>
      <w:r w:rsidRPr="008E7AB2">
        <w:t xml:space="preserve"> may contribute to leverage other sources of finance.</w:t>
      </w:r>
    </w:p>
    <w:p w14:paraId="724EFAEF" w14:textId="77777777" w:rsidR="008E7AB2" w:rsidRPr="00351E4D" w:rsidRDefault="008E7AB2" w:rsidP="00351E4D">
      <w:pPr>
        <w:pStyle w:val="Body"/>
      </w:pPr>
    </w:p>
    <w:p w14:paraId="3192F83F" w14:textId="77777777" w:rsidR="008E7AB2" w:rsidRPr="00AE51D6" w:rsidRDefault="008E7AB2" w:rsidP="00351E4D">
      <w:pPr>
        <w:pStyle w:val="Body"/>
        <w:rPr>
          <w:b/>
          <w:bCs/>
        </w:rPr>
      </w:pPr>
      <w:r w:rsidRPr="00AE51D6">
        <w:rPr>
          <w:b/>
          <w:bCs/>
        </w:rPr>
        <w:t>Opportunities to improve financial appraisals and economic assessments informing financing decisions</w:t>
      </w:r>
    </w:p>
    <w:p w14:paraId="6E4A6678" w14:textId="77777777" w:rsidR="008E7AB2" w:rsidRPr="00351E4D" w:rsidRDefault="008E7AB2" w:rsidP="00351E4D">
      <w:pPr>
        <w:pStyle w:val="Body"/>
      </w:pPr>
      <w:r w:rsidRPr="00351E4D">
        <w:t>As above, there is evidence (as in Section 5.2) that the improvement of financial appraisals and wider economic assessments is of chief importance to make better decisions about the prioritisation of investments and the strategic financing of measures overall. These are some of the most critical findings:</w:t>
      </w:r>
    </w:p>
    <w:p w14:paraId="374A04C7" w14:textId="77777777" w:rsidR="008E7AB2" w:rsidRPr="00B47D7C" w:rsidRDefault="008E7AB2" w:rsidP="00A13462">
      <w:pPr>
        <w:pStyle w:val="Body"/>
        <w:numPr>
          <w:ilvl w:val="0"/>
          <w:numId w:val="41"/>
        </w:numPr>
      </w:pPr>
      <w:r w:rsidRPr="000F4CBE">
        <w:t xml:space="preserve">Overall, </w:t>
      </w:r>
      <w:r w:rsidRPr="00B22401">
        <w:rPr>
          <w:b/>
          <w:bCs/>
        </w:rPr>
        <w:t>clear difficulties are observed to make a difference between ensuring upfront capital investment, project finance (to deal with opex &amp; financial sustainability),</w:t>
      </w:r>
      <w:r w:rsidRPr="00736A50">
        <w:t xml:space="preserve"> and how all the above connect </w:t>
      </w:r>
      <w:r w:rsidRPr="000F4CBE">
        <w:t>to water pricing (tariffs, charges/fees, taxes, subsidies...), in line with the discussion under Section 4. This is showing precisely the lack of an integrated, strategic approach. However, some progress can be observed in a number of Member States.</w:t>
      </w:r>
    </w:p>
    <w:p w14:paraId="2DA61173" w14:textId="77777777" w:rsidR="008E7AB2" w:rsidRPr="00761AB9" w:rsidRDefault="008E7AB2" w:rsidP="00A13462">
      <w:pPr>
        <w:pStyle w:val="Body"/>
        <w:numPr>
          <w:ilvl w:val="0"/>
          <w:numId w:val="42"/>
        </w:numPr>
        <w:ind w:left="1134"/>
        <w:rPr>
          <w:bCs/>
        </w:rPr>
      </w:pPr>
      <w:r w:rsidRPr="00B47D7C">
        <w:rPr>
          <w:bCs/>
        </w:rPr>
        <w:t xml:space="preserve">In </w:t>
      </w:r>
      <w:r w:rsidRPr="00B47D7C">
        <w:rPr>
          <w:b/>
          <w:bCs/>
        </w:rPr>
        <w:t>Belgium</w:t>
      </w:r>
      <w:r w:rsidRPr="00B47D7C">
        <w:rPr>
          <w:bCs/>
        </w:rPr>
        <w:t xml:space="preserve">, comprehensive scenarios have been developed (as September 2020) to estimate </w:t>
      </w:r>
      <w:r w:rsidRPr="00B47D7C">
        <w:t>investment needs of achieving full compliance with WFD objectives (GES)</w:t>
      </w:r>
      <w:r>
        <w:t>.</w:t>
      </w:r>
      <w:r w:rsidRPr="00B47D7C">
        <w:t xml:space="preserve"> Whether or not these scenarios suffice to reach the objectives remains, however, uncertain. </w:t>
      </w:r>
    </w:p>
    <w:p w14:paraId="56F8235F" w14:textId="77777777" w:rsidR="008E7AB2" w:rsidRPr="00B22401" w:rsidRDefault="008E7AB2" w:rsidP="00A13462">
      <w:pPr>
        <w:pStyle w:val="Body"/>
        <w:numPr>
          <w:ilvl w:val="0"/>
          <w:numId w:val="42"/>
        </w:numPr>
        <w:ind w:left="1134"/>
        <w:rPr>
          <w:bCs/>
        </w:rPr>
      </w:pPr>
      <w:r w:rsidRPr="00337759">
        <w:rPr>
          <w:bCs/>
        </w:rPr>
        <w:t xml:space="preserve">In </w:t>
      </w:r>
      <w:r w:rsidRPr="008C6800">
        <w:rPr>
          <w:b/>
          <w:bCs/>
        </w:rPr>
        <w:t>the Netherlands</w:t>
      </w:r>
      <w:r w:rsidRPr="008C6800">
        <w:rPr>
          <w:b/>
        </w:rPr>
        <w:t xml:space="preserve">, </w:t>
      </w:r>
      <w:r w:rsidRPr="00CC7E92">
        <w:t>a comprehensive assessment of future investment needs in flood protection through cost-benefit analysis (CBA) has been designed. Before the Delta Plan, the country was already spending each year ~</w:t>
      </w:r>
      <w:r w:rsidRPr="002C6851">
        <w:rPr>
          <w:rFonts w:eastAsia="Calibri"/>
        </w:rPr>
        <w:t>€</w:t>
      </w:r>
      <w:r w:rsidRPr="002C6851">
        <w:t>1b on flood risk management</w:t>
      </w:r>
      <w:r w:rsidRPr="00B22401">
        <w:t xml:space="preserve">, after the 1953 flood disaster and the 1990s intense floodings in Limburg riverbanks, the Delta Plan (2011) established: safety targets for maximum flood risk range from a risk level of death of 1/1250 to 1/100,000 a year. Climate change and land subsidence are amplifying risks. </w:t>
      </w:r>
    </w:p>
    <w:p w14:paraId="0871CF01" w14:textId="79B2CD88" w:rsidR="008E7AB2" w:rsidRDefault="008E7AB2" w:rsidP="00A13462">
      <w:pPr>
        <w:pStyle w:val="Body"/>
        <w:numPr>
          <w:ilvl w:val="0"/>
          <w:numId w:val="42"/>
        </w:numPr>
        <w:ind w:left="1134"/>
      </w:pPr>
      <w:r w:rsidRPr="00B22401">
        <w:t>As in Section 5.2, t</w:t>
      </w:r>
      <w:r w:rsidRPr="00B22401">
        <w:rPr>
          <w:b/>
          <w:bCs/>
        </w:rPr>
        <w:t>he use of sound financial appraisals could be improved; wider economic assessments (dealing with multiplier effects on macroeconomic performance and externalities) are even weaker</w:t>
      </w:r>
      <w:r w:rsidRPr="000F4CBE">
        <w:rPr>
          <w:b/>
          <w:bCs/>
        </w:rPr>
        <w:t>.</w:t>
      </w:r>
      <w:r w:rsidRPr="000F4CBE">
        <w:rPr>
          <w:bCs/>
        </w:rPr>
        <w:t xml:space="preserve"> The EC (2019) recognised that </w:t>
      </w:r>
      <w:r w:rsidRPr="000F4CBE">
        <w:t>a</w:t>
      </w:r>
      <w:r w:rsidRPr="000F4CBE">
        <w:rPr>
          <w:bCs/>
        </w:rPr>
        <w:t xml:space="preserve"> number of Member States had upgraded their water pricing policies</w:t>
      </w:r>
      <w:r w:rsidRPr="00B47D7C">
        <w:t xml:space="preserve"> by fulfilling the </w:t>
      </w:r>
      <w:r w:rsidRPr="00B47D7C">
        <w:rPr>
          <w:i/>
        </w:rPr>
        <w:t>ex-ante</w:t>
      </w:r>
      <w:r w:rsidRPr="00B47D7C">
        <w:t xml:space="preserve"> conditionality for water under the Common Provisions Regulation for the European Structural and Investment Funds for the period 2014-2020. Progress was acknowledged in terms of the definition of water services, the calculation of financial costs, the performance of economic analyses and the assessment of both environmental and resource costs for compliance with the cost recovery principle.</w:t>
      </w:r>
    </w:p>
    <w:p w14:paraId="5B83CAF3" w14:textId="77777777" w:rsidR="00B141D4" w:rsidRPr="00B47D7C" w:rsidRDefault="00B141D4" w:rsidP="00B141D4">
      <w:pPr>
        <w:pStyle w:val="Body"/>
      </w:pPr>
    </w:p>
    <w:p w14:paraId="111F0486" w14:textId="22D284F1" w:rsidR="008E7AB2" w:rsidRPr="00B141D4" w:rsidRDefault="008E7AB2" w:rsidP="00A13462">
      <w:pPr>
        <w:pStyle w:val="Body"/>
        <w:numPr>
          <w:ilvl w:val="0"/>
          <w:numId w:val="41"/>
        </w:numPr>
        <w:rPr>
          <w:b/>
          <w:bCs/>
          <w:lang w:val="en-US"/>
        </w:rPr>
      </w:pPr>
      <w:r w:rsidRPr="00B141D4">
        <w:rPr>
          <w:b/>
          <w:bCs/>
          <w:lang w:val="en-US"/>
        </w:rPr>
        <w:t xml:space="preserve">CEA is becoming more widely used as compared to the first cycle of river basin management planning, and as required for decisions on Programmes of Measures, but cost curves stemming from those CEA tend to be used </w:t>
      </w:r>
      <w:r w:rsidRPr="00B141D4">
        <w:rPr>
          <w:b/>
          <w:bCs/>
          <w:i/>
          <w:lang w:val="en-US"/>
        </w:rPr>
        <w:t xml:space="preserve">ex post </w:t>
      </w:r>
      <w:r w:rsidRPr="00B141D4">
        <w:rPr>
          <w:b/>
          <w:bCs/>
          <w:lang w:val="en-US"/>
        </w:rPr>
        <w:t xml:space="preserve">to justify previously made decisions. </w:t>
      </w:r>
    </w:p>
    <w:p w14:paraId="6DFD5421" w14:textId="77777777" w:rsidR="008E7AB2" w:rsidRPr="000F4CBE" w:rsidRDefault="008E7AB2" w:rsidP="00A13462">
      <w:pPr>
        <w:pStyle w:val="Body"/>
        <w:numPr>
          <w:ilvl w:val="0"/>
          <w:numId w:val="43"/>
        </w:numPr>
        <w:ind w:left="1134"/>
      </w:pPr>
      <w:r w:rsidRPr="00524C7A">
        <w:rPr>
          <w:b/>
          <w:bCs/>
        </w:rPr>
        <w:t>Spain</w:t>
      </w:r>
      <w:r w:rsidRPr="000F4CBE">
        <w:t xml:space="preserve"> has just released for public consultation (October 2020) the so-called DSEAR plan, on wastewater treatment, sanitation, efficiency, savings and reuse. Part of that effort is on improving the use of CEA to prioritise investments.</w:t>
      </w:r>
    </w:p>
    <w:p w14:paraId="2A9172D2" w14:textId="77777777" w:rsidR="008E7AB2" w:rsidRPr="00B47D7C" w:rsidRDefault="008E7AB2" w:rsidP="00A13462">
      <w:pPr>
        <w:pStyle w:val="Body"/>
        <w:numPr>
          <w:ilvl w:val="0"/>
          <w:numId w:val="43"/>
        </w:numPr>
        <w:ind w:left="1134"/>
      </w:pPr>
      <w:r w:rsidRPr="000F4CBE">
        <w:t xml:space="preserve">In </w:t>
      </w:r>
      <w:r w:rsidRPr="00524C7A">
        <w:rPr>
          <w:b/>
          <w:bCs/>
        </w:rPr>
        <w:t>Cyprus</w:t>
      </w:r>
      <w:r w:rsidRPr="000F4CBE">
        <w:t>, both RBMPs and FRMPs are ranked based on a multivariate, qualitative CEA. This was performed for all measures in the RBMP. Measures were ranked in terms of effectiveness based on multiple criteria such as the relevance of measures, time required for implementation and for delivering outcomes, number of water bodies affected, relevance to climate change, and cost. However, it is unclear how the results of the CEA feed into the prioritisation of measures, as there is no specific mentioning of the methodolog</w:t>
      </w:r>
      <w:r w:rsidRPr="00B47D7C">
        <w:t xml:space="preserve">y or the results thereof applied for that purpose. </w:t>
      </w:r>
    </w:p>
    <w:p w14:paraId="28EEAD72" w14:textId="77777777" w:rsidR="008E7AB2" w:rsidRPr="00B47D7C" w:rsidRDefault="008E7AB2" w:rsidP="00A13462">
      <w:pPr>
        <w:pStyle w:val="Body"/>
        <w:numPr>
          <w:ilvl w:val="0"/>
          <w:numId w:val="43"/>
        </w:numPr>
        <w:ind w:left="1134"/>
      </w:pPr>
      <w:r w:rsidRPr="00B47D7C">
        <w:t xml:space="preserve">In </w:t>
      </w:r>
      <w:r w:rsidRPr="00524C7A">
        <w:rPr>
          <w:b/>
          <w:bCs/>
        </w:rPr>
        <w:t>Belgium (Flanders)</w:t>
      </w:r>
      <w:r w:rsidRPr="00B47D7C">
        <w:t>, CEA was only used for the prioritization of sewage infrastructure and wastewater treatment projects, Multi-Criteria Analysis (MCA) was used for all other actions.</w:t>
      </w:r>
    </w:p>
    <w:p w14:paraId="6780A902" w14:textId="77777777" w:rsidR="008E7AB2" w:rsidRPr="00CC7E92" w:rsidRDefault="008E7AB2" w:rsidP="00A13462">
      <w:pPr>
        <w:pStyle w:val="Body"/>
        <w:numPr>
          <w:ilvl w:val="0"/>
          <w:numId w:val="43"/>
        </w:numPr>
        <w:ind w:left="1134"/>
      </w:pPr>
      <w:r w:rsidRPr="00B47D7C">
        <w:t xml:space="preserve">In </w:t>
      </w:r>
      <w:r w:rsidRPr="00524C7A">
        <w:rPr>
          <w:b/>
          <w:bCs/>
        </w:rPr>
        <w:t>Finland</w:t>
      </w:r>
      <w:r w:rsidRPr="00337759">
        <w:t xml:space="preserve">, CBA was used </w:t>
      </w:r>
      <w:r w:rsidRPr="008C6800">
        <w:t>in the prioritization and planning of measures in all five of the FRMPs assessed. CBA did not consider multiple benefits, just those based on avoided damage from conventional flood defences. Not all measures could thus be assessed.</w:t>
      </w:r>
    </w:p>
    <w:p w14:paraId="4DE08D37" w14:textId="77777777" w:rsidR="008E7AB2" w:rsidRPr="00B22401" w:rsidRDefault="008E7AB2" w:rsidP="00A13462">
      <w:pPr>
        <w:pStyle w:val="Body"/>
        <w:numPr>
          <w:ilvl w:val="0"/>
          <w:numId w:val="43"/>
        </w:numPr>
        <w:ind w:left="1134"/>
      </w:pPr>
      <w:r w:rsidRPr="002C6851">
        <w:t xml:space="preserve">In </w:t>
      </w:r>
      <w:r w:rsidRPr="00524C7A">
        <w:rPr>
          <w:b/>
          <w:bCs/>
        </w:rPr>
        <w:t>Greece</w:t>
      </w:r>
      <w:r w:rsidRPr="002C6851">
        <w:t>, the magnitude of damage from floods was estimated during the preparation stage of the flood risk maps. In addition to the identification of potentially affected uses, an evaluation of flood impacts was carried out via a vulnerability assessment of affected are</w:t>
      </w:r>
      <w:r w:rsidRPr="00B22401">
        <w:t>as which was applied in a uniform way across all FRMPs. All measures were assessed based on a common CBA framework.</w:t>
      </w:r>
    </w:p>
    <w:p w14:paraId="3A964881" w14:textId="77777777" w:rsidR="008E7AB2" w:rsidRPr="00B22401" w:rsidRDefault="008E7AB2" w:rsidP="00A13462">
      <w:pPr>
        <w:pStyle w:val="Body"/>
        <w:numPr>
          <w:ilvl w:val="0"/>
          <w:numId w:val="43"/>
        </w:numPr>
        <w:ind w:left="1134"/>
      </w:pPr>
      <w:r w:rsidRPr="00B22401">
        <w:t xml:space="preserve">In </w:t>
      </w:r>
      <w:r w:rsidRPr="00524C7A">
        <w:rPr>
          <w:b/>
          <w:bCs/>
        </w:rPr>
        <w:t>Lithuania</w:t>
      </w:r>
      <w:r w:rsidRPr="00B22401">
        <w:t>, measures for FRMPs were selected using a CBA and multi-criteria analysis. Costs and benefits were assessed for all measures. As in other cases, a more detailed CBA for structural, grey infrastructural measures was developed.</w:t>
      </w:r>
    </w:p>
    <w:p w14:paraId="32684851" w14:textId="77777777" w:rsidR="008E7AB2" w:rsidRPr="001C7F6D" w:rsidRDefault="008E7AB2" w:rsidP="00A13462">
      <w:pPr>
        <w:pStyle w:val="Body"/>
        <w:numPr>
          <w:ilvl w:val="0"/>
          <w:numId w:val="44"/>
        </w:numPr>
        <w:rPr>
          <w:b/>
          <w:bCs/>
        </w:rPr>
      </w:pPr>
      <w:r w:rsidRPr="001C7F6D">
        <w:rPr>
          <w:b/>
          <w:bCs/>
        </w:rPr>
        <w:t xml:space="preserve">Full-fledged CBAs are very scarce. There is hardly any discussion on discounting factors even when decisions on climate change adaptation and long-term water security are to be made. </w:t>
      </w:r>
    </w:p>
    <w:p w14:paraId="65AB21E4" w14:textId="77777777" w:rsidR="008E7AB2" w:rsidRPr="000F4CBE" w:rsidRDefault="008E7AB2" w:rsidP="00A13462">
      <w:pPr>
        <w:pStyle w:val="Body"/>
        <w:numPr>
          <w:ilvl w:val="0"/>
          <w:numId w:val="45"/>
        </w:numPr>
        <w:ind w:left="1134"/>
      </w:pPr>
      <w:r w:rsidRPr="000F4CBE">
        <w:t>Although there is evidence that many Member States delivered some analysis of costs and benefits of measures and also that the majority of them did it through a national approach, most of those analyses are partial and some of them are even mostly qualitative. The lack of basic information on costs and benefits is evident also when assessing the approach to disproportionate cost decisions, at the core of exemptions, such as in Machác et al. (2020)</w:t>
      </w:r>
      <w:r w:rsidRPr="000F4CBE">
        <w:rPr>
          <w:rStyle w:val="FootnoteReference"/>
          <w:rFonts w:cs="Segoe UI"/>
        </w:rPr>
        <w:footnoteReference w:id="67"/>
      </w:r>
      <w:r w:rsidRPr="000F4CBE">
        <w:t xml:space="preserve">. </w:t>
      </w:r>
    </w:p>
    <w:p w14:paraId="71401931" w14:textId="77777777" w:rsidR="008E7AB2" w:rsidRPr="000F4CBE" w:rsidRDefault="008E7AB2" w:rsidP="00A13462">
      <w:pPr>
        <w:pStyle w:val="Body"/>
        <w:numPr>
          <w:ilvl w:val="0"/>
          <w:numId w:val="45"/>
        </w:numPr>
        <w:ind w:left="1134"/>
      </w:pPr>
      <w:r w:rsidRPr="000F4CBE">
        <w:t xml:space="preserve">The lack of an adequate use of discount rates is somehow problematic, particularly with measures addressing water quality and with investments aimed at addressing climate change adaptation, whose benefits may need decades to be evident (IEEP et al, 2018). </w:t>
      </w:r>
      <w:r w:rsidRPr="008B19C3">
        <w:t xml:space="preserve"> </w:t>
      </w:r>
      <w:r>
        <w:t xml:space="preserve">Discounting is used as a technical process to weigh up costs and benefits occurring in the future against those occurring now. It shows the weight we give today to impacts happening in the future. Choices on discounting are sometimes important to properly assess the expected benefits and costs of policy measures, especially in cases where the most relevant outcomes would be expected in years or decades rather than immediately.   </w:t>
      </w:r>
    </w:p>
    <w:p w14:paraId="4313662F" w14:textId="77777777" w:rsidR="008E7AB2" w:rsidRPr="00F641E4" w:rsidRDefault="008E7AB2" w:rsidP="00A13462">
      <w:pPr>
        <w:pStyle w:val="Body"/>
        <w:numPr>
          <w:ilvl w:val="0"/>
          <w:numId w:val="46"/>
        </w:numPr>
        <w:rPr>
          <w:b/>
          <w:bCs/>
        </w:rPr>
      </w:pPr>
      <w:r w:rsidRPr="00F641E4">
        <w:rPr>
          <w:b/>
          <w:bCs/>
        </w:rPr>
        <w:t>The need for new decision-making theories ((i.e. those that have been mostly been developed to deal with risk and uncertainty) has been identified in some MS but these are not yet implemented in most RBDs. Innovative financing mechanism and innovation in decision-making theories (i.e. robust decision making, stochastic modelling, real option methods, etc.) is not pervasive.</w:t>
      </w:r>
    </w:p>
    <w:p w14:paraId="5A43FCCD" w14:textId="77777777" w:rsidR="008E7AB2" w:rsidRPr="000F4CBE" w:rsidRDefault="008E7AB2" w:rsidP="00A13462">
      <w:pPr>
        <w:pStyle w:val="Body"/>
        <w:numPr>
          <w:ilvl w:val="0"/>
          <w:numId w:val="47"/>
        </w:numPr>
        <w:ind w:left="1134"/>
      </w:pPr>
      <w:r w:rsidRPr="000F4CBE">
        <w:t xml:space="preserve">In </w:t>
      </w:r>
      <w:r w:rsidRPr="00F641E4">
        <w:rPr>
          <w:b/>
          <w:bCs/>
        </w:rPr>
        <w:t>Sweden</w:t>
      </w:r>
      <w:r w:rsidRPr="000F4CBE">
        <w:t>, new tools (such as robust decision-making and resilience thinking principles) are being developed to support decision making. Studies have been carried out to measure the cost of flood prevention measures for the municipalities, and the effects of floods on economic output, a hardly innovative outcome anyway.</w:t>
      </w:r>
    </w:p>
    <w:p w14:paraId="7D463B9B" w14:textId="77777777" w:rsidR="008E7AB2" w:rsidRPr="002C6851" w:rsidRDefault="008E7AB2" w:rsidP="00A13462">
      <w:pPr>
        <w:pStyle w:val="Body"/>
        <w:numPr>
          <w:ilvl w:val="0"/>
          <w:numId w:val="47"/>
        </w:numPr>
        <w:ind w:left="1134"/>
      </w:pPr>
      <w:r w:rsidRPr="000F4CBE">
        <w:t xml:space="preserve">In </w:t>
      </w:r>
      <w:r w:rsidRPr="00F641E4">
        <w:rPr>
          <w:b/>
          <w:bCs/>
        </w:rPr>
        <w:t>Austria</w:t>
      </w:r>
      <w:r w:rsidRPr="00B47D7C">
        <w:t xml:space="preserve">, the concept of </w:t>
      </w:r>
      <w:r w:rsidRPr="00B47D7C">
        <w:rPr>
          <w:rFonts w:eastAsia="Calibri"/>
        </w:rPr>
        <w:t>“</w:t>
      </w:r>
      <w:r w:rsidRPr="00B47D7C">
        <w:t>step-wise reaching of objectives</w:t>
      </w:r>
      <w:r w:rsidRPr="00B47D7C">
        <w:rPr>
          <w:rFonts w:eastAsia="Calibri"/>
        </w:rPr>
        <w:t>”</w:t>
      </w:r>
      <w:r w:rsidRPr="00B47D7C">
        <w:t xml:space="preserve"> by designating areas/regions as </w:t>
      </w:r>
      <w:r w:rsidRPr="00B47D7C">
        <w:rPr>
          <w:rFonts w:eastAsia="Calibri"/>
        </w:rPr>
        <w:t>“</w:t>
      </w:r>
      <w:r w:rsidRPr="00B47D7C">
        <w:t>priority areas</w:t>
      </w:r>
      <w:r w:rsidRPr="00761AB9">
        <w:rPr>
          <w:rFonts w:eastAsia="Calibri"/>
        </w:rPr>
        <w:t>”</w:t>
      </w:r>
      <w:r w:rsidRPr="00761AB9">
        <w:t xml:space="preserve"> </w:t>
      </w:r>
      <w:r w:rsidRPr="00337759">
        <w:rPr>
          <w:rFonts w:eastAsia="Calibri"/>
        </w:rPr>
        <w:t>(</w:t>
      </w:r>
      <w:r w:rsidRPr="00337759">
        <w:rPr>
          <w:i/>
        </w:rPr>
        <w:t>Sanierungsraum</w:t>
      </w:r>
      <w:r w:rsidRPr="008C6800">
        <w:t>) is not a straightforward prioritisation of measures. However, this framework works with different time-limited objectives, focusing on main pressures (hydro-morphological alterat</w:t>
      </w:r>
      <w:r w:rsidRPr="00CC7E92">
        <w:t>ions in that case, mostly referred to hy</w:t>
      </w:r>
      <w:r w:rsidRPr="0089564D">
        <w:t>dropower and flow regulation actions).</w:t>
      </w:r>
    </w:p>
    <w:p w14:paraId="0A69A22C" w14:textId="77777777" w:rsidR="008E7AB2" w:rsidRPr="000F4CBE" w:rsidRDefault="008E7AB2" w:rsidP="00A13462">
      <w:pPr>
        <w:pStyle w:val="Body"/>
        <w:numPr>
          <w:ilvl w:val="0"/>
          <w:numId w:val="46"/>
        </w:numPr>
      </w:pPr>
      <w:r w:rsidRPr="00186A17">
        <w:rPr>
          <w:b/>
          <w:bCs/>
        </w:rPr>
        <w:t>Circular economy approaches offer a significant potential for innovation in pricing schemes (and public procurement, i.e. circular procurement)</w:t>
      </w:r>
      <w:r w:rsidRPr="000F4CBE">
        <w:t xml:space="preserve">. </w:t>
      </w:r>
      <w:r w:rsidRPr="000F4CBE">
        <w:rPr>
          <w:color w:val="3A3A3A"/>
        </w:rPr>
        <w:t>The Commission</w:t>
      </w:r>
      <w:r w:rsidRPr="000F4CBE">
        <w:rPr>
          <w:rFonts w:eastAsia="Calibri"/>
          <w:color w:val="3A3A3A"/>
        </w:rPr>
        <w:t>’</w:t>
      </w:r>
      <w:r w:rsidRPr="000F4CBE">
        <w:rPr>
          <w:color w:val="3A3A3A"/>
        </w:rPr>
        <w:t>s proposed Renewed Sustainable Finance Strategy in 2020 contains the goal of mainstreaming finance for a circular economy. It is developing policies and regulations to influence businesses to measure and report on circular economy activities</w:t>
      </w:r>
    </w:p>
    <w:p w14:paraId="117F2504" w14:textId="77777777" w:rsidR="008E7AB2" w:rsidRPr="00B22401" w:rsidRDefault="008E7AB2" w:rsidP="00A13462">
      <w:pPr>
        <w:pStyle w:val="Body"/>
        <w:numPr>
          <w:ilvl w:val="0"/>
          <w:numId w:val="48"/>
        </w:numPr>
        <w:ind w:left="1134"/>
      </w:pPr>
      <w:r w:rsidRPr="00186A17">
        <w:rPr>
          <w:b/>
          <w:bCs/>
        </w:rPr>
        <w:t>Cyprus</w:t>
      </w:r>
      <w:r w:rsidRPr="00B47D7C">
        <w:t xml:space="preserve"> offers an example where water reclamation, tertiary treatments and water reuse are partially funded from public funds, whereas</w:t>
      </w:r>
      <w:r>
        <w:t xml:space="preserve"> public-private partnership</w:t>
      </w:r>
      <w:r w:rsidRPr="00B47D7C">
        <w:t xml:space="preserve"> </w:t>
      </w:r>
      <w:r>
        <w:t>(</w:t>
      </w:r>
      <w:r w:rsidRPr="00B47D7C">
        <w:t>PPP</w:t>
      </w:r>
      <w:r>
        <w:t>)</w:t>
      </w:r>
      <w:r w:rsidRPr="00B47D7C">
        <w:t xml:space="preserve"> schemes (such as BOT</w:t>
      </w:r>
      <w:r>
        <w:t>: Build, Operate, Transfer, as part of project outsourcing</w:t>
      </w:r>
      <w:r>
        <w:rPr>
          <w:rStyle w:val="FootnoteReference"/>
        </w:rPr>
        <w:footnoteReference w:id="68"/>
      </w:r>
      <w:r w:rsidRPr="00B47D7C">
        <w:t>) as used in other cases. Desalinated water is rather fully charged to end users, alike in other countries (i.e. Spain) where desalinated water is sometimes subsidised.</w:t>
      </w:r>
    </w:p>
    <w:p w14:paraId="55BBB250" w14:textId="77777777" w:rsidR="008E7AB2" w:rsidRPr="00B22401" w:rsidRDefault="008E7AB2" w:rsidP="00A13462">
      <w:pPr>
        <w:pStyle w:val="Body"/>
        <w:numPr>
          <w:ilvl w:val="0"/>
          <w:numId w:val="48"/>
        </w:numPr>
        <w:ind w:left="1134"/>
      </w:pPr>
      <w:r w:rsidRPr="00B22401">
        <w:t xml:space="preserve">In </w:t>
      </w:r>
      <w:r w:rsidRPr="00186A17">
        <w:rPr>
          <w:b/>
          <w:bCs/>
        </w:rPr>
        <w:t>Malta</w:t>
      </w:r>
      <w:r w:rsidRPr="000F4CBE">
        <w:t xml:space="preserve"> there are also incentives for reclaimed water to be reused by farmers (at 0.20 </w:t>
      </w:r>
      <w:r w:rsidRPr="000F4CBE">
        <w:rPr>
          <w:rFonts w:eastAsia="Calibri"/>
        </w:rPr>
        <w:t>€</w:t>
      </w:r>
      <w:r w:rsidRPr="000F4CBE">
        <w:t>/m</w:t>
      </w:r>
      <w:r w:rsidRPr="000F4CBE">
        <w:rPr>
          <w:vertAlign w:val="superscript"/>
        </w:rPr>
        <w:t>3</w:t>
      </w:r>
      <w:r w:rsidRPr="000F4CBE">
        <w:t>, for consumption levels below 2,500 m</w:t>
      </w:r>
      <w:r w:rsidRPr="000F4CBE">
        <w:rPr>
          <w:vertAlign w:val="superscript"/>
        </w:rPr>
        <w:t>3</w:t>
      </w:r>
      <w:r w:rsidRPr="000F4CBE">
        <w:t xml:space="preserve"> and 0.5 ha of cropland), to replace groundwater sources (abstracted on average at 0.56 </w:t>
      </w:r>
      <w:r w:rsidRPr="000F4CBE">
        <w:rPr>
          <w:rFonts w:eastAsia="Calibri"/>
        </w:rPr>
        <w:t>€</w:t>
      </w:r>
      <w:r w:rsidRPr="000F4CBE">
        <w:t>/m</w:t>
      </w:r>
      <w:r w:rsidRPr="000F4CBE">
        <w:rPr>
          <w:vertAlign w:val="superscript"/>
        </w:rPr>
        <w:t>3</w:t>
      </w:r>
      <w:r w:rsidRPr="000F4CBE">
        <w:t xml:space="preserve">). </w:t>
      </w:r>
      <w:r w:rsidRPr="00761AB9">
        <w:t xml:space="preserve">Besides, the public utility Water Services Corporation (WSC) is undertaking </w:t>
      </w:r>
      <w:r w:rsidRPr="00337759">
        <w:t xml:space="preserve">the project </w:t>
      </w:r>
      <w:r w:rsidRPr="00337759">
        <w:rPr>
          <w:rFonts w:eastAsia="Calibri"/>
        </w:rPr>
        <w:t>‘</w:t>
      </w:r>
      <w:r w:rsidRPr="008C6800">
        <w:t>Towards Net Zero Impact Utility</w:t>
      </w:r>
      <w:r w:rsidRPr="008C6800">
        <w:rPr>
          <w:rFonts w:eastAsia="Calibri"/>
        </w:rPr>
        <w:t>’</w:t>
      </w:r>
      <w:r w:rsidRPr="00554E52">
        <w:t>, through which it aims to move towards the full recovery of costs of urban water cycle in the longer term, through a combination of charges.</w:t>
      </w:r>
    </w:p>
    <w:p w14:paraId="3E6A0683" w14:textId="77777777" w:rsidR="00A01317" w:rsidRPr="008E7AB2" w:rsidRDefault="00A01317" w:rsidP="00A01317">
      <w:pPr>
        <w:pStyle w:val="Body"/>
        <w:rPr>
          <w:lang w:val="en-GB"/>
        </w:rPr>
      </w:pPr>
    </w:p>
    <w:p w14:paraId="25E3D267" w14:textId="300B71C4" w:rsidR="00696E04" w:rsidRPr="004B63C2" w:rsidRDefault="00696E04" w:rsidP="003B304A">
      <w:pPr>
        <w:pStyle w:val="Body"/>
        <w:rPr>
          <w:lang w:val="en-US"/>
        </w:rPr>
      </w:pPr>
    </w:p>
    <w:p w14:paraId="42183675" w14:textId="177E18CF" w:rsidR="00186A17" w:rsidRDefault="00186A17" w:rsidP="003B304A">
      <w:pPr>
        <w:pStyle w:val="Body"/>
        <w:rPr>
          <w:lang w:val="en-GB"/>
        </w:rPr>
      </w:pPr>
      <w:r>
        <w:rPr>
          <w:lang w:val="en-GB"/>
        </w:rPr>
        <w:br w:type="page"/>
      </w:r>
    </w:p>
    <w:p w14:paraId="36AAE2C6" w14:textId="77777777" w:rsidR="0054589F" w:rsidRPr="0054589F" w:rsidRDefault="0054589F" w:rsidP="0054589F">
      <w:pPr>
        <w:pStyle w:val="Heading1"/>
        <w:rPr>
          <w:lang w:val="en-US"/>
        </w:rPr>
      </w:pPr>
      <w:bookmarkStart w:id="113" w:name="_Toc62825952"/>
      <w:r w:rsidRPr="0054589F">
        <w:rPr>
          <w:lang w:val="en-US"/>
        </w:rPr>
        <w:t>Conclusions - Strengthening strategic financing in Member States: areas for further work</w:t>
      </w:r>
      <w:bookmarkEnd w:id="113"/>
    </w:p>
    <w:p w14:paraId="47CA7ACF" w14:textId="77777777" w:rsidR="001269C5" w:rsidRPr="00736A50" w:rsidRDefault="001269C5" w:rsidP="001269C5">
      <w:pPr>
        <w:pStyle w:val="Body"/>
      </w:pPr>
      <w:r w:rsidRPr="001269C5">
        <w:rPr>
          <w:lang w:val="en-US"/>
        </w:rPr>
        <w:t xml:space="preserve">The assessment carried out illustrates the current application of economic assessment methods in the frame of the implementation of the WFD and FD. </w:t>
      </w:r>
      <w:r w:rsidRPr="00736A50">
        <w:t xml:space="preserve">It stresses, in particular, the following: </w:t>
      </w:r>
    </w:p>
    <w:p w14:paraId="3DD62649" w14:textId="77777777" w:rsidR="001269C5" w:rsidRPr="00736A50" w:rsidRDefault="001269C5" w:rsidP="00A13462">
      <w:pPr>
        <w:pStyle w:val="Body"/>
        <w:numPr>
          <w:ilvl w:val="0"/>
          <w:numId w:val="46"/>
        </w:numPr>
      </w:pPr>
      <w:r w:rsidRPr="00736A50">
        <w:t xml:space="preserve">Some economic knowledge receives </w:t>
      </w:r>
      <w:r w:rsidRPr="00736A50">
        <w:rPr>
          <w:b/>
          <w:bCs/>
        </w:rPr>
        <w:t>very limited attention</w:t>
      </w:r>
      <w:r w:rsidRPr="00736A50">
        <w:t xml:space="preserve"> in the planning process of the WFD and FD, and water policy making in general</w:t>
      </w:r>
      <w:r>
        <w:t>, including because of the limited knowledge base that is currently available at the MS and EU scale</w:t>
      </w:r>
      <w:r w:rsidRPr="00736A50">
        <w:t xml:space="preserve">. These include </w:t>
      </w:r>
      <w:r w:rsidRPr="00736A50">
        <w:rPr>
          <w:i/>
          <w:iCs/>
        </w:rPr>
        <w:t>inter alias</w:t>
      </w:r>
      <w:r w:rsidRPr="00736A50">
        <w:t xml:space="preserve"> information on: </w:t>
      </w:r>
    </w:p>
    <w:p w14:paraId="5B87A0D3" w14:textId="77777777" w:rsidR="001269C5" w:rsidRPr="00736A50" w:rsidRDefault="001269C5" w:rsidP="00A13462">
      <w:pPr>
        <w:pStyle w:val="Body"/>
        <w:numPr>
          <w:ilvl w:val="0"/>
          <w:numId w:val="49"/>
        </w:numPr>
        <w:ind w:left="1134"/>
      </w:pPr>
      <w:r w:rsidRPr="00736A50">
        <w:t xml:space="preserve">The </w:t>
      </w:r>
      <w:r w:rsidRPr="00736A50">
        <w:rPr>
          <w:b/>
          <w:bCs/>
        </w:rPr>
        <w:t>operational and maintenance costs</w:t>
      </w:r>
      <w:r w:rsidRPr="00736A50">
        <w:t xml:space="preserve"> of the majority of measures (apart for measures related to water services); </w:t>
      </w:r>
    </w:p>
    <w:p w14:paraId="7D31A47A" w14:textId="77777777" w:rsidR="001269C5" w:rsidRPr="00736A50" w:rsidRDefault="001269C5" w:rsidP="00A13462">
      <w:pPr>
        <w:pStyle w:val="Body"/>
        <w:numPr>
          <w:ilvl w:val="0"/>
          <w:numId w:val="49"/>
        </w:numPr>
        <w:ind w:left="1134"/>
      </w:pPr>
      <w:r w:rsidRPr="00736A50">
        <w:t xml:space="preserve">The assessment of the </w:t>
      </w:r>
      <w:r w:rsidRPr="00736A50">
        <w:rPr>
          <w:b/>
          <w:bCs/>
        </w:rPr>
        <w:t>costs of the FD measures</w:t>
      </w:r>
      <w:r w:rsidRPr="00736A50">
        <w:t xml:space="preserve"> when these are carried out mostly at the local levels, and mechanisms that would facilitate the aggregation of (locally defined) costs to the river basin and national scales. </w:t>
      </w:r>
    </w:p>
    <w:p w14:paraId="747FD6C0" w14:textId="77777777" w:rsidR="001269C5" w:rsidRPr="00736A50" w:rsidRDefault="001269C5" w:rsidP="00A13462">
      <w:pPr>
        <w:pStyle w:val="Body"/>
        <w:numPr>
          <w:ilvl w:val="0"/>
          <w:numId w:val="49"/>
        </w:numPr>
        <w:ind w:left="1134"/>
      </w:pPr>
      <w:r w:rsidRPr="00736A50">
        <w:t xml:space="preserve">The </w:t>
      </w:r>
      <w:r w:rsidRPr="00736A50">
        <w:rPr>
          <w:b/>
          <w:bCs/>
        </w:rPr>
        <w:t>non-financial economic impacts</w:t>
      </w:r>
      <w:r w:rsidRPr="00736A50">
        <w:t xml:space="preserve"> of measures, including the macro-economic impacts of proposed programme of measures; </w:t>
      </w:r>
    </w:p>
    <w:p w14:paraId="675DB703" w14:textId="77777777" w:rsidR="001269C5" w:rsidRPr="001269C5" w:rsidRDefault="001269C5" w:rsidP="00A13462">
      <w:pPr>
        <w:pStyle w:val="Body"/>
        <w:numPr>
          <w:ilvl w:val="0"/>
          <w:numId w:val="49"/>
        </w:numPr>
        <w:ind w:left="1134"/>
        <w:rPr>
          <w:lang w:val="en-US"/>
        </w:rPr>
      </w:pPr>
      <w:r w:rsidRPr="001269C5">
        <w:rPr>
          <w:lang w:val="en-US"/>
        </w:rPr>
        <w:t xml:space="preserve">The costs of </w:t>
      </w:r>
      <w:r w:rsidRPr="001269C5">
        <w:rPr>
          <w:b/>
          <w:bCs/>
          <w:lang w:val="en-US"/>
        </w:rPr>
        <w:t>measures proposed for addressing hydro-morphological</w:t>
      </w:r>
      <w:r w:rsidRPr="001269C5">
        <w:rPr>
          <w:lang w:val="en-US"/>
        </w:rPr>
        <w:t xml:space="preserve"> pressures (these costs been very dependent from local conditions including access to land), and the costs (and benefits) of </w:t>
      </w:r>
      <w:r w:rsidRPr="001269C5">
        <w:rPr>
          <w:b/>
          <w:bCs/>
          <w:lang w:val="en-US"/>
        </w:rPr>
        <w:t>multifunctional measures</w:t>
      </w:r>
      <w:r w:rsidRPr="001269C5">
        <w:rPr>
          <w:lang w:val="en-US"/>
        </w:rPr>
        <w:t xml:space="preserve"> (nature-based solutions) that can benefit both the WFD and the FD; </w:t>
      </w:r>
    </w:p>
    <w:p w14:paraId="2ED98652" w14:textId="3D75B2EB" w:rsidR="001269C5" w:rsidRPr="00736A50" w:rsidRDefault="001269C5" w:rsidP="00A13462">
      <w:pPr>
        <w:pStyle w:val="Body"/>
        <w:numPr>
          <w:ilvl w:val="0"/>
          <w:numId w:val="49"/>
        </w:numPr>
        <w:ind w:left="1134"/>
      </w:pPr>
      <w:r w:rsidRPr="001269C5">
        <w:rPr>
          <w:lang w:val="en-US"/>
        </w:rPr>
        <w:t xml:space="preserve">The </w:t>
      </w:r>
      <w:r w:rsidRPr="001269C5">
        <w:rPr>
          <w:b/>
          <w:bCs/>
          <w:lang w:val="en-US"/>
        </w:rPr>
        <w:t>total costs required for achieving policy goals</w:t>
      </w:r>
      <w:r w:rsidRPr="001269C5">
        <w:rPr>
          <w:lang w:val="en-US"/>
        </w:rPr>
        <w:t xml:space="preserve"> for both the WFD and the FD (with the challenge in defining these goals for the latter) while accounting for future climate (an area not well covered in the WFD implementation) and socio-economic global changes. </w:t>
      </w:r>
      <w:r w:rsidRPr="00736A50">
        <w:t xml:space="preserve">In relation to the FD implementation, national level studies in line with the framework of the Aqueduct Floods, could deliver more detailed and context-specific results than what the Aqueduct Floods tool deliver, supporting FD planning and strategic financing. </w:t>
      </w:r>
      <w:r>
        <w:t>Supporting FD decisions would also benefit from a better understanding of the additional (</w:t>
      </w:r>
      <w:r w:rsidRPr="00EA2B94">
        <w:t>marginal</w:t>
      </w:r>
      <w:r>
        <w:t>)</w:t>
      </w:r>
      <w:r w:rsidRPr="00EA2B94">
        <w:t xml:space="preserve"> costs </w:t>
      </w:r>
      <w:r>
        <w:t xml:space="preserve">that would be required to achieve stricter </w:t>
      </w:r>
      <w:r w:rsidRPr="00EA2B94">
        <w:t xml:space="preserve">levels of security </w:t>
      </w:r>
      <w:r>
        <w:t>(translated in f</w:t>
      </w:r>
      <w:r w:rsidRPr="00EA2B94">
        <w:t>lood standards)</w:t>
      </w:r>
      <w:r>
        <w:t xml:space="preserve"> in different MSs;</w:t>
      </w:r>
    </w:p>
    <w:p w14:paraId="6A02CE41" w14:textId="77777777" w:rsidR="001269C5" w:rsidRPr="00736A50" w:rsidRDefault="001269C5" w:rsidP="00A13462">
      <w:pPr>
        <w:pStyle w:val="Body"/>
        <w:numPr>
          <w:ilvl w:val="0"/>
          <w:numId w:val="50"/>
        </w:numPr>
      </w:pPr>
      <w:r w:rsidRPr="00736A50">
        <w:t xml:space="preserve">There is very limited evidence on </w:t>
      </w:r>
      <w:r w:rsidRPr="00736A50">
        <w:rPr>
          <w:b/>
          <w:bCs/>
        </w:rPr>
        <w:t>how the results of economic assessments are used for/support the selection and prioritisation of measures</w:t>
      </w:r>
      <w:r w:rsidRPr="00736A50">
        <w:t xml:space="preserve">. In some cases, it is clear that the choice of measures is made independently of the outcome of economic assessments, in particular when some measures (e.g. basic measures) have to be implemented anyway and monopolize the bulk of (readily) available (public) financial resources. In other cases, economic assessments are carried out </w:t>
      </w:r>
      <w:r w:rsidRPr="00736A50">
        <w:rPr>
          <w:i/>
          <w:iCs/>
        </w:rPr>
        <w:t>ex-post</w:t>
      </w:r>
      <w:r w:rsidRPr="00736A50">
        <w:t xml:space="preserve"> without informing the selection of measures to respond to reporting requirements. In the majority of cases, the selection of measures under the WFD and FD PoMs carried out at the river basin scale accounts for financial resources readily available (with some iterations between cost assessment and the search for financial resources, but limited) as set in public institution budgets or resulting from negotiated revenues from water-related charges. Thus, priorities in investments do rarely affect financing sources and instruments directly – as changes in financing instruments mostly originate from nationally-driven policy/political processes. </w:t>
      </w:r>
      <w:r>
        <w:t xml:space="preserve">With </w:t>
      </w:r>
      <w:r w:rsidRPr="00144325">
        <w:t xml:space="preserve">investment and financing decisions </w:t>
      </w:r>
      <w:r>
        <w:t xml:space="preserve">mostly sector-specific (in parallel siloes), and the </w:t>
      </w:r>
      <w:r w:rsidRPr="00144325">
        <w:t>absence of (systematic) prioritisation of cost-effective measures (e.g. treating problems at source, soft measures supporting changes of practices instead of high-cost infrastructure, nature-based solutions…)</w:t>
      </w:r>
      <w:r>
        <w:t>,</w:t>
      </w:r>
      <w:r w:rsidRPr="00144325">
        <w:t xml:space="preserve"> </w:t>
      </w:r>
      <w:r>
        <w:t xml:space="preserve">more attention is required to estimate the </w:t>
      </w:r>
      <w:r w:rsidRPr="00144325">
        <w:t>cost-saving potential MS could seize to reduce implementation costs.</w:t>
      </w:r>
      <w:r>
        <w:t xml:space="preserve"> </w:t>
      </w:r>
    </w:p>
    <w:p w14:paraId="08AF84FC" w14:textId="77777777" w:rsidR="001269C5" w:rsidRPr="00824E00" w:rsidRDefault="001269C5" w:rsidP="00A13462">
      <w:pPr>
        <w:pStyle w:val="Body"/>
        <w:numPr>
          <w:ilvl w:val="0"/>
          <w:numId w:val="50"/>
        </w:numPr>
      </w:pPr>
      <w:r w:rsidRPr="00824E00">
        <w:t>Some (</w:t>
      </w:r>
      <w:r w:rsidRPr="00824E00">
        <w:rPr>
          <w:b/>
        </w:rPr>
        <w:t>new) instruments</w:t>
      </w:r>
      <w:r w:rsidRPr="00824E00">
        <w:t xml:space="preserve"> applied and emerging in different MS, including mechanisms that involve the private sector, do require more attention and knowledge on: how they are designed and implemented; how they perform in terms of the additional financial resources provided, and under which conditions (including in synergies with other regulatory, voluntary and economic instruments); the types of measures and improvements they can support; final improvements (in terms of enhanced water status and reduced in flood risk) they deliver. Of particular interest are:</w:t>
      </w:r>
    </w:p>
    <w:p w14:paraId="508D6434" w14:textId="77777777" w:rsidR="001269C5" w:rsidRPr="00824E00" w:rsidRDefault="001269C5" w:rsidP="00A13462">
      <w:pPr>
        <w:pStyle w:val="Body"/>
        <w:numPr>
          <w:ilvl w:val="0"/>
          <w:numId w:val="51"/>
        </w:numPr>
        <w:ind w:left="1134"/>
      </w:pPr>
      <w:r w:rsidRPr="00824E00">
        <w:t xml:space="preserve">A wider application of </w:t>
      </w:r>
      <w:r w:rsidRPr="00824E00">
        <w:rPr>
          <w:b/>
          <w:bCs/>
        </w:rPr>
        <w:t>environmental charges and taxes</w:t>
      </w:r>
      <w:r w:rsidRPr="00824E00">
        <w:t xml:space="preserve">, along with mechanisms that enhance the earmarking of their revenues to effective water management improvements; </w:t>
      </w:r>
    </w:p>
    <w:p w14:paraId="5B4A029E" w14:textId="77777777" w:rsidR="001269C5" w:rsidRPr="00824E00" w:rsidRDefault="001269C5" w:rsidP="00A13462">
      <w:pPr>
        <w:pStyle w:val="Body"/>
        <w:numPr>
          <w:ilvl w:val="0"/>
          <w:numId w:val="51"/>
        </w:numPr>
        <w:ind w:left="1134"/>
      </w:pPr>
      <w:r w:rsidRPr="00824E00">
        <w:t xml:space="preserve">The establishment of </w:t>
      </w:r>
      <w:r w:rsidRPr="00824E00">
        <w:rPr>
          <w:b/>
          <w:bCs/>
        </w:rPr>
        <w:t>payments for ecosystem services</w:t>
      </w:r>
      <w:r w:rsidRPr="00824E00">
        <w:t xml:space="preserve"> between the farming community and (private and public) beneficiaries of services delivered, an instrument that is embedded today in the new Common Agricultural Policy; </w:t>
      </w:r>
    </w:p>
    <w:p w14:paraId="41535E89" w14:textId="77777777" w:rsidR="001269C5" w:rsidRPr="00824E00" w:rsidRDefault="001269C5" w:rsidP="00A13462">
      <w:pPr>
        <w:pStyle w:val="Body"/>
        <w:numPr>
          <w:ilvl w:val="0"/>
          <w:numId w:val="51"/>
        </w:numPr>
        <w:ind w:left="1134"/>
      </w:pPr>
      <w:r w:rsidRPr="00824E00">
        <w:t xml:space="preserve">Voluntary agreements with/instruments targeting the </w:t>
      </w:r>
      <w:r w:rsidRPr="00824E00">
        <w:rPr>
          <w:b/>
        </w:rPr>
        <w:t>(energy) hydropower operators</w:t>
      </w:r>
      <w:r w:rsidRPr="00824E00">
        <w:t xml:space="preserve"> </w:t>
      </w:r>
      <w:r w:rsidRPr="00D8338D">
        <w:t>that can deliver</w:t>
      </w:r>
      <w:r w:rsidRPr="00824E00">
        <w:t xml:space="preserve"> additional financial resources to support river and hydromorphological restoration;</w:t>
      </w:r>
    </w:p>
    <w:p w14:paraId="365E8044" w14:textId="77777777" w:rsidR="001269C5" w:rsidRDefault="001269C5" w:rsidP="00A13462">
      <w:pPr>
        <w:pStyle w:val="Body"/>
        <w:numPr>
          <w:ilvl w:val="0"/>
          <w:numId w:val="51"/>
        </w:numPr>
        <w:ind w:left="1134"/>
      </w:pPr>
      <w:r w:rsidRPr="00736A50">
        <w:t xml:space="preserve">The establishment of mechanisms that facilitate the </w:t>
      </w:r>
      <w:r>
        <w:t xml:space="preserve">streamlining of </w:t>
      </w:r>
      <w:r w:rsidRPr="00736A50">
        <w:t>financial resources from different sectors/funds to support the effective implementation of</w:t>
      </w:r>
      <w:r>
        <w:t xml:space="preserve"> (multi-functional)</w:t>
      </w:r>
      <w:r w:rsidRPr="00736A50">
        <w:t xml:space="preserve"> </w:t>
      </w:r>
      <w:r w:rsidRPr="00736A50">
        <w:rPr>
          <w:b/>
          <w:bCs/>
        </w:rPr>
        <w:t>nature-based</w:t>
      </w:r>
      <w:r w:rsidRPr="00736A50">
        <w:t xml:space="preserve"> solutions.</w:t>
      </w:r>
    </w:p>
    <w:p w14:paraId="626B8A04" w14:textId="77777777" w:rsidR="001269C5" w:rsidRDefault="001269C5" w:rsidP="00A13462">
      <w:pPr>
        <w:pStyle w:val="Body"/>
        <w:numPr>
          <w:ilvl w:val="0"/>
          <w:numId w:val="51"/>
        </w:numPr>
        <w:ind w:left="1134"/>
      </w:pPr>
      <w:r>
        <w:t xml:space="preserve">When evidence on financing instruments exist (in terms of their operational application, revenues generated and use of these revenues), it is rarely presented and discussed into the wider water financing framework. Indeed, solutions for financing are mainly developed and set on a sector-by-sector basis, with limited interference and integration between sectors. More attention could be given to the </w:t>
      </w:r>
      <w:r w:rsidRPr="00EB7883">
        <w:rPr>
          <w:b/>
          <w:bCs/>
        </w:rPr>
        <w:t>appropriate combination of sources of finance</w:t>
      </w:r>
      <w:r w:rsidRPr="00F80E48">
        <w:t xml:space="preserve">, acknowledging that different public and private sources have different roles to play, driven by different considerations. </w:t>
      </w:r>
    </w:p>
    <w:p w14:paraId="529AA913" w14:textId="77777777" w:rsidR="001269C5" w:rsidRPr="001269C5" w:rsidRDefault="001269C5" w:rsidP="001269C5">
      <w:pPr>
        <w:pStyle w:val="Body"/>
        <w:rPr>
          <w:lang w:val="en-US"/>
        </w:rPr>
      </w:pPr>
      <w:r w:rsidRPr="001269C5">
        <w:rPr>
          <w:lang w:val="en-US"/>
        </w:rPr>
        <w:t xml:space="preserve">Actions that could be proposed for filling the economic and financial knowledge gap and supporting the development of sound financial strategies in line with the ambitions of the two Directives have emerged from MS experiences and from the European stakeholder workshop organised in the context of this study. These include (not presented in any priority order): </w:t>
      </w:r>
    </w:p>
    <w:p w14:paraId="12550DC7" w14:textId="2106941C" w:rsidR="001269C5" w:rsidRDefault="001269C5" w:rsidP="00A13462">
      <w:pPr>
        <w:pStyle w:val="Body"/>
        <w:numPr>
          <w:ilvl w:val="0"/>
          <w:numId w:val="52"/>
        </w:numPr>
      </w:pPr>
      <w:r w:rsidRPr="00B22401">
        <w:rPr>
          <w:b/>
          <w:bCs/>
        </w:rPr>
        <w:t>Update reporting</w:t>
      </w:r>
      <w:r>
        <w:t xml:space="preserve"> made by </w:t>
      </w:r>
      <w:r w:rsidRPr="00B22401">
        <w:rPr>
          <w:lang w:val="en-US"/>
        </w:rPr>
        <w:t xml:space="preserve">MS </w:t>
      </w:r>
      <w:r>
        <w:t xml:space="preserve">to deliver more robust and coherent information. In relation to the FD, Member States could provide, when reporting their FRMP, a set of quantifiable objectives in terms of targeted flood risk reduction against which impacts of measures can be measured. This information would ensure that measures’ progress towards reaching objectives can be monitored and that the cost-effectiveness of measures can be used in measures’ prioritisation. </w:t>
      </w:r>
      <w:r w:rsidRPr="00723273">
        <w:rPr>
          <w:lang w:val="en-US"/>
        </w:rPr>
        <w:t xml:space="preserve">In relation to the WFD, more coherent reporting on the costs of measures accounting to investment costs and to operational and maintenance costs not limited to measures that benefit from public (financial) support, as well as on current financing and cost-recovery levels, would clearly help improving the understanding of the magnitude of the efforts required for achieving policy goals and the distribution of costs among water users and sectors. </w:t>
      </w:r>
      <w:r>
        <w:t xml:space="preserve">Updating reporting, however, requires a shared understanding of its purpose among all involved in the Common Implementation Strategy (CIS) process: not part of a compliance checking exercise, but a collective effort to set a shared knowledge base on costs (and financing) so the challenges of the WFD and FD implementation are made visible, shared and known by policy makers at different scales. At the same time, reporting could then help water managers in charge of the implementation of the WFD and FD to put attention on costs and financing challenges in different MS, including in relation to the adequate mobilisation of EU funds. </w:t>
      </w:r>
    </w:p>
    <w:p w14:paraId="63FE56E5" w14:textId="77777777" w:rsidR="001269C5" w:rsidRPr="00736A50" w:rsidRDefault="001269C5" w:rsidP="00A13462">
      <w:pPr>
        <w:pStyle w:val="Body"/>
        <w:numPr>
          <w:ilvl w:val="0"/>
          <w:numId w:val="52"/>
        </w:numPr>
      </w:pPr>
      <w:r w:rsidRPr="00EB7883">
        <w:rPr>
          <w:b/>
          <w:bCs/>
        </w:rPr>
        <w:t>Strengthen the knowledge base</w:t>
      </w:r>
      <w:r w:rsidRPr="00E664DF">
        <w:t xml:space="preserve"> that can support the implementation of the WFD and FD</w:t>
      </w:r>
      <w:r>
        <w:t xml:space="preserve"> with studies and additional research</w:t>
      </w:r>
      <w:r w:rsidRPr="00736A50">
        <w:t xml:space="preserve">: </w:t>
      </w:r>
    </w:p>
    <w:p w14:paraId="2F587399" w14:textId="77777777" w:rsidR="001269C5" w:rsidRPr="00736A50" w:rsidRDefault="001269C5" w:rsidP="00A13462">
      <w:pPr>
        <w:pStyle w:val="Body"/>
        <w:numPr>
          <w:ilvl w:val="0"/>
          <w:numId w:val="53"/>
        </w:numPr>
        <w:ind w:left="1134"/>
      </w:pPr>
      <w:r>
        <w:t xml:space="preserve">This relates to the gaps in knowledge identified above, in relation to specific </w:t>
      </w:r>
      <w:r w:rsidRPr="00EB7883">
        <w:rPr>
          <w:b/>
          <w:bCs/>
        </w:rPr>
        <w:t>cost and benefit categories</w:t>
      </w:r>
      <w:r>
        <w:t xml:space="preserve"> and to </w:t>
      </w:r>
      <w:r w:rsidRPr="00EB7883">
        <w:rPr>
          <w:b/>
          <w:bCs/>
        </w:rPr>
        <w:t xml:space="preserve">pre-conditions and performance of </w:t>
      </w:r>
      <w:r>
        <w:rPr>
          <w:b/>
          <w:bCs/>
        </w:rPr>
        <w:t>(</w:t>
      </w:r>
      <w:r w:rsidRPr="00EB7883">
        <w:rPr>
          <w:b/>
          <w:bCs/>
        </w:rPr>
        <w:t>innovative</w:t>
      </w:r>
      <w:r>
        <w:rPr>
          <w:b/>
          <w:bCs/>
        </w:rPr>
        <w:t>)</w:t>
      </w:r>
      <w:r w:rsidRPr="00EB7883">
        <w:rPr>
          <w:b/>
          <w:bCs/>
        </w:rPr>
        <w:t xml:space="preserve"> </w:t>
      </w:r>
      <w:r>
        <w:rPr>
          <w:b/>
          <w:bCs/>
        </w:rPr>
        <w:t xml:space="preserve">economic instruments and </w:t>
      </w:r>
      <w:r w:rsidRPr="00EB7883">
        <w:rPr>
          <w:b/>
          <w:bCs/>
        </w:rPr>
        <w:t>financing schemes</w:t>
      </w:r>
      <w:r>
        <w:t xml:space="preserve"> that might represent alternative sources of financing some MSs could adapt to their own water management, socio-economic and institutional context</w:t>
      </w:r>
      <w:r w:rsidRPr="00736A50">
        <w:t>;</w:t>
      </w:r>
    </w:p>
    <w:p w14:paraId="6F577757" w14:textId="77777777" w:rsidR="001269C5" w:rsidRPr="00736A50" w:rsidRDefault="001269C5" w:rsidP="00A13462">
      <w:pPr>
        <w:pStyle w:val="Body"/>
        <w:numPr>
          <w:ilvl w:val="0"/>
          <w:numId w:val="53"/>
        </w:numPr>
        <w:ind w:left="1134"/>
      </w:pPr>
      <w:r>
        <w:t xml:space="preserve">This relates also to </w:t>
      </w:r>
      <w:r w:rsidRPr="00EB7883">
        <w:rPr>
          <w:b/>
          <w:bCs/>
        </w:rPr>
        <w:t>nature-based solutions</w:t>
      </w:r>
      <w:r w:rsidRPr="009969B1">
        <w:t xml:space="preserve"> that can benefit both Directives</w:t>
      </w:r>
      <w:r>
        <w:t xml:space="preserve">, </w:t>
      </w:r>
      <w:r w:rsidRPr="009969B1">
        <w:t>giving attention to: (a) the costs and benefits of multi-functional measures, accounting for their contributions to the different services they can provide and related direct and indirect benefits;  and, (c) the mechanisms that can help reducing bottlenecks in their implementation, including in terms of governance, social acceptability and in streamlining finances from different (sectoral) sources (WFD, FD, agriculture, climate, urban development…) to support their effective implementation. Different efforts are made in MS for developing such knowledge. A coordinated evaluation framework and tools would then help establish a wider knowledge base that would support the comparison of grey and green solutions (paying specifically attention to the environmental impacts).</w:t>
      </w:r>
      <w:r w:rsidRPr="00736A50">
        <w:t xml:space="preserve"> </w:t>
      </w:r>
    </w:p>
    <w:p w14:paraId="098A3EBE" w14:textId="77777777" w:rsidR="001269C5" w:rsidRDefault="001269C5" w:rsidP="00A13462">
      <w:pPr>
        <w:pStyle w:val="Body"/>
        <w:numPr>
          <w:ilvl w:val="0"/>
          <w:numId w:val="54"/>
        </w:numPr>
      </w:pPr>
      <w:r>
        <w:t xml:space="preserve">Support the </w:t>
      </w:r>
      <w:r w:rsidRPr="00B22401">
        <w:rPr>
          <w:b/>
          <w:bCs/>
        </w:rPr>
        <w:t>increased allocation of financial resources</w:t>
      </w:r>
      <w:r>
        <w:t xml:space="preserve"> from different financial instruments, e.g.: (a) increase the e</w:t>
      </w:r>
      <w:r w:rsidRPr="00554E52">
        <w:t xml:space="preserve">armarking </w:t>
      </w:r>
      <w:r>
        <w:t xml:space="preserve">of </w:t>
      </w:r>
      <w:r w:rsidRPr="00554E52">
        <w:t xml:space="preserve">revenues </w:t>
      </w:r>
      <w:r>
        <w:t xml:space="preserve">(from existing water charge schemes e.g.) to </w:t>
      </w:r>
      <w:r w:rsidRPr="00554E52">
        <w:t>water-related financial investments</w:t>
      </w:r>
      <w:r>
        <w:t xml:space="preserve"> beyond water services (e.g. including hydromorphological restoration projects that can be beneficial to both the WFD and the FD), or set political processes for establishing such instruments when there are not in place; (b) establish the conditions for seizing the opportunities offered by the new Common Agriculture Policy in the implementation of payments for ecosystem/environmental services – ensuring these instruments connect the valuation of aquatic ecosystem services to the design and implementation of financial instruments that account for all water management challenges (not limited to water quality, accounting for water quantity, hydromorphology and ecology, flood risk, erosion…); (c) m</w:t>
      </w:r>
      <w:r w:rsidRPr="00B137F9">
        <w:t>aking the best out of new revenue streams in circular economy approaches, within the context of industrial symbiosis (i.e. clustering relevant economic activities)</w:t>
      </w:r>
      <w:r>
        <w:t>; or</w:t>
      </w:r>
      <w:r w:rsidRPr="00B137F9">
        <w:t xml:space="preserve"> </w:t>
      </w:r>
      <w:r>
        <w:t xml:space="preserve">(d) make optimal use of different EU financing instruments for enhancing the knowledge base, experiment novel approaches and support investments.   </w:t>
      </w:r>
    </w:p>
    <w:p w14:paraId="1795B580" w14:textId="77777777" w:rsidR="001269C5" w:rsidRPr="003730DF" w:rsidRDefault="001269C5" w:rsidP="00A13462">
      <w:pPr>
        <w:pStyle w:val="Body"/>
        <w:numPr>
          <w:ilvl w:val="0"/>
          <w:numId w:val="54"/>
        </w:numPr>
      </w:pPr>
      <w:r>
        <w:t xml:space="preserve">Build (strengthen) </w:t>
      </w:r>
      <w:r w:rsidRPr="002C6851">
        <w:t xml:space="preserve">connection between the water and financial </w:t>
      </w:r>
      <w:r>
        <w:t xml:space="preserve">(public and private) </w:t>
      </w:r>
      <w:r w:rsidRPr="002C6851">
        <w:t>communities</w:t>
      </w:r>
      <w:r>
        <w:t xml:space="preserve"> at different (national &amp; European) scales to give reality to </w:t>
      </w:r>
      <w:r w:rsidRPr="00B22401">
        <w:rPr>
          <w:lang w:val="en-US"/>
        </w:rPr>
        <w:t xml:space="preserve">“strategic financing” </w:t>
      </w:r>
      <w:r>
        <w:rPr>
          <w:lang w:val="en-US"/>
        </w:rPr>
        <w:t xml:space="preserve">and risk-management approaches. This will help supporting outcome-oriented investment schemes and delivering long-term financing contributing to the achievements of the WFD and FD objectives. It can also help better understanding of </w:t>
      </w:r>
      <w:r w:rsidRPr="00C1651C">
        <w:rPr>
          <w:lang w:val="en-US"/>
        </w:rPr>
        <w:t>the interaction of different instruments and incentive compatibility within complex policy mixes (i.e. economic incentives, information mechanisms, command-and-control instruments…).</w:t>
      </w:r>
      <w:r>
        <w:rPr>
          <w:lang w:val="en-US"/>
        </w:rPr>
        <w:t xml:space="preserve">; </w:t>
      </w:r>
    </w:p>
    <w:p w14:paraId="6560A4FF" w14:textId="77777777" w:rsidR="001269C5" w:rsidRDefault="001269C5" w:rsidP="00A13462">
      <w:pPr>
        <w:pStyle w:val="Body"/>
        <w:numPr>
          <w:ilvl w:val="0"/>
          <w:numId w:val="54"/>
        </w:numPr>
      </w:pPr>
      <w:r>
        <w:t xml:space="preserve">Enhance the </w:t>
      </w:r>
      <w:r w:rsidRPr="00B22401">
        <w:rPr>
          <w:b/>
          <w:bCs/>
        </w:rPr>
        <w:t>sharing and benchmarking of practices between EU MS</w:t>
      </w:r>
      <w:r>
        <w:t xml:space="preserve"> – mobilising </w:t>
      </w:r>
      <w:bookmarkStart w:id="114" w:name="_Hlk59174583"/>
      <w:r>
        <w:t xml:space="preserve">representatives </w:t>
      </w:r>
      <w:bookmarkEnd w:id="114"/>
      <w:r>
        <w:t xml:space="preserve">of the water and financing communities e.g. on economic and financing assessments, strategic financing, innovative instruments, etc. </w:t>
      </w:r>
    </w:p>
    <w:p w14:paraId="5B8A8594" w14:textId="77777777" w:rsidR="007D49B8" w:rsidRPr="001269C5" w:rsidRDefault="007D49B8" w:rsidP="003B304A">
      <w:pPr>
        <w:pStyle w:val="Body"/>
        <w:rPr>
          <w:lang w:val="en-GB"/>
        </w:rPr>
      </w:pPr>
    </w:p>
    <w:p w14:paraId="0698A142" w14:textId="286F07A4" w:rsidR="007D49B8" w:rsidRDefault="007D49B8" w:rsidP="003B304A">
      <w:pPr>
        <w:pStyle w:val="Body"/>
        <w:rPr>
          <w:lang w:val="en-GB"/>
        </w:rPr>
      </w:pPr>
    </w:p>
    <w:p w14:paraId="4684EDED" w14:textId="77777777" w:rsidR="007D49B8" w:rsidRDefault="007D49B8" w:rsidP="003B304A">
      <w:pPr>
        <w:pStyle w:val="Body"/>
        <w:rPr>
          <w:lang w:val="en-GB"/>
        </w:rPr>
      </w:pPr>
    </w:p>
    <w:p w14:paraId="62F9F88E" w14:textId="77777777" w:rsidR="00213AE8" w:rsidRPr="00213AE8" w:rsidRDefault="00213AE8" w:rsidP="003B304A">
      <w:pPr>
        <w:pStyle w:val="Body"/>
        <w:rPr>
          <w:lang w:val="en-GB"/>
        </w:rPr>
      </w:pPr>
    </w:p>
    <w:p w14:paraId="2AC156A6" w14:textId="77777777" w:rsidR="00213AE8" w:rsidRPr="00213AE8" w:rsidRDefault="00213AE8" w:rsidP="003B304A">
      <w:pPr>
        <w:pStyle w:val="Body"/>
        <w:rPr>
          <w:lang w:val="en-GB"/>
        </w:rPr>
      </w:pPr>
    </w:p>
    <w:p w14:paraId="5625E9D5" w14:textId="77777777" w:rsidR="00213AE8" w:rsidRPr="00213AE8" w:rsidRDefault="00213AE8" w:rsidP="00B14205">
      <w:pPr>
        <w:pStyle w:val="Heading"/>
        <w:rPr>
          <w:lang w:val="en-GB"/>
        </w:rPr>
        <w:sectPr w:rsidR="00213AE8" w:rsidRPr="00213AE8" w:rsidSect="005F5D31">
          <w:pgSz w:w="11907" w:h="16839" w:code="9"/>
          <w:pgMar w:top="1276" w:right="1418" w:bottom="737" w:left="1418" w:header="142" w:footer="352" w:gutter="0"/>
          <w:cols w:space="720"/>
          <w:titlePg/>
          <w:docGrid w:linePitch="326"/>
        </w:sectPr>
      </w:pPr>
    </w:p>
    <w:p w14:paraId="07886DD1" w14:textId="77777777" w:rsidR="00213AE8" w:rsidRPr="0030325A" w:rsidRDefault="000535B3" w:rsidP="00213AE8">
      <w:pPr>
        <w:ind w:right="28"/>
        <w:rPr>
          <w:rFonts w:ascii="Verdana" w:hAnsi="Verdana"/>
          <w:sz w:val="18"/>
          <w:lang w:val="en-GB"/>
        </w:rPr>
      </w:pPr>
      <w:r>
        <w:rPr>
          <w:rFonts w:ascii="Verdana" w:hAnsi="Verdana"/>
          <w:noProof/>
          <w:sz w:val="18"/>
          <w:lang w:val="en-US"/>
        </w:rPr>
        <mc:AlternateContent>
          <mc:Choice Requires="wps">
            <w:drawing>
              <wp:anchor distT="0" distB="0" distL="114300" distR="114300" simplePos="0" relativeHeight="251660288" behindDoc="0" locked="0" layoutInCell="1" allowOverlap="1" wp14:anchorId="347CE9B8" wp14:editId="371EF49D">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704BD" w14:textId="77777777" w:rsidR="001D2A51" w:rsidRDefault="001D2A51" w:rsidP="00213AE8">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CE9B8" id="_x0000_t202" coordsize="21600,21600" o:spt="202" path="m,l,21600r21600,l21600,xe">
                <v:stroke joinstyle="miter"/>
                <v:path gradientshapeok="t" o:connecttype="rect"/>
              </v:shapetype>
              <v:shape id="Text Box 2" o:spid="_x0000_s1041" type="#_x0000_t202" style="position:absolute;left:0;text-align:left;margin-left:532.15pt;margin-top:29.35pt;width:43.5pt;height:9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uCrwIAAMIFAAAOAAAAZHJzL2Uyb0RvYy54bWysVNtunDAQfa/Uf7D8TrjU7C4obJQsS1Up&#10;vUhJP8ALZrEKNrW9C1GVf+/Y7C3pS288WNgzPjNn5niub8auRXumNJciw+FVgBETpay42Gb462Ph&#10;LTDShoqKtlKwDD8xjW+Wb99cD33KItnItmIKAYjQ6dBnuDGmT31flw3rqL6SPRNgrKXqqIGt2vqV&#10;ogOgd60fBcHMH6SqeiVLpjWc5pMRLx1+XbPSfK5rzQxqMwy5Gbcqt27s6i+vabpVtG94eUiD/kUW&#10;HeUCgp6gcmoo2in+C1THSyW1rM1VKTtf1jUvmeMAbMLgFZuHhvbMcYHi6P5UJv3/YMtP+y8K8Qp6&#10;F2EkaAc9emSjQXdyRJEtz9DrFLweevAzIxyDq6Oq+3tZftNIyFVDxZbdKiWHhtEK0gvtTf/i6oSj&#10;Lchm+CgrCEN3RjqgsVadrR1UAwE6tOnp1BqbSgmHcRyRGCwlmMIoSpIkdiFoerzdK23eM9kh+5Nh&#10;Ba136HR/r43NhqZHFxtMyIK3rWt/K14cgON0ArHhqrXZLFw3fyRBsl6sF8Qj0WztkSDPvdtiRbxZ&#10;Ec7j/F2+WuXhs40bkrThVcWEDXNUVkh+r3MHjU+aOGlLy5ZXFs6mpNV2s2oV2lOrbPcdCnLh5r9M&#10;wxUBuLyiFEYkuIsSr5gt5h4pSOwl82DhBWFyl8wCkpC8eEnpngv275TQkOEkjuJJTH/MjaYdNzA7&#10;Wt5leHEqAE2tBNeicq01lLfT/0UpbPrnUkC7j412grUandRqxs04PQ2nNavmjayeQMJKgsJAjTD4&#10;4MeuGA0wRDKsv++oYhi1HwQ8gyQkxE4dtyHxPIKNurRsLi1UlI2E2QRg0+/KTJNq1yu+bSDS9PCE&#10;vIWnU3On6nNWhwcHg8KROww1O4ku987rPHqXPwEAAP//AwBQSwMEFAAGAAgAAAAhACnNg3feAAAA&#10;DAEAAA8AAABkcnMvZG93bnJldi54bWxMj8FOwzAMhu9IvENkJG4saWm7qTSdEIIzYgN2zRrTliVO&#10;abKue3uyExx/+9Pvz9V6toZNOPrekYRkIYAhNU731Ep4377crYD5oEgr4wglnNHDur6+qlSp3Yne&#10;cNqElsUS8qWS0IUwlJz7pkOr/MINSHH35UarQoxjy/WoTrHcGp4KUXCreooXOjXgU4fNYXO0Ep4P&#10;Lf68CtFMxac3H1nOz7vvScrbm/nxAVjAOfzBcNGP6lBHp707kvbMxCyK7D6yEvLVEtiFSPIkTvYS&#10;0jzNgNcV//9E/QsAAP//AwBQSwECLQAUAAYACAAAACEAtoM4kv4AAADhAQAAEwAAAAAAAAAAAAAA&#10;AAAAAAAAW0NvbnRlbnRfVHlwZXNdLnhtbFBLAQItABQABgAIAAAAIQA4/SH/1gAAAJQBAAALAAAA&#10;AAAAAAAAAAAAAC8BAABfcmVscy8ucmVsc1BLAQItABQABgAIAAAAIQA8DRuCrwIAAMIFAAAOAAAA&#10;AAAAAAAAAAAAAC4CAABkcnMvZTJvRG9jLnhtbFBLAQItABQABgAIAAAAIQApzYN33gAAAAwBAAAP&#10;AAAAAAAAAAAAAAAAAAkFAABkcnMvZG93bnJldi54bWxQSwUGAAAAAAQABADzAAAAFAYAAAAA&#10;" filled="f" fillcolor="black" stroked="f">
                <v:textbox style="layout-flow:vertical">
                  <w:txbxContent>
                    <w:p w14:paraId="01C704BD" w14:textId="77777777" w:rsidR="001D2A51" w:rsidRDefault="001D2A51" w:rsidP="00213AE8">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p>
    <w:p w14:paraId="17E9B1D0" w14:textId="77777777" w:rsidR="00213AE8" w:rsidRPr="0030325A" w:rsidRDefault="00213AE8" w:rsidP="00213AE8">
      <w:pPr>
        <w:ind w:right="28"/>
        <w:rPr>
          <w:rFonts w:ascii="Verdana" w:hAnsi="Verdana"/>
          <w:sz w:val="18"/>
          <w:lang w:val="en-GB"/>
        </w:rPr>
      </w:pPr>
    </w:p>
    <w:p w14:paraId="7B572597" w14:textId="77777777" w:rsidR="00DA348E" w:rsidRPr="0030325A" w:rsidRDefault="00DA348E" w:rsidP="00213AE8">
      <w:pPr>
        <w:ind w:right="28"/>
        <w:rPr>
          <w:rFonts w:ascii="Verdana" w:hAnsi="Verdana"/>
          <w:sz w:val="18"/>
          <w:lang w:val="en-GB"/>
        </w:rPr>
      </w:pPr>
    </w:p>
    <w:p w14:paraId="594A186D" w14:textId="77777777" w:rsidR="00DA348E" w:rsidRPr="0030325A" w:rsidRDefault="00DA348E" w:rsidP="00213AE8">
      <w:pPr>
        <w:ind w:right="28"/>
        <w:rPr>
          <w:rFonts w:ascii="Verdana" w:hAnsi="Verdana"/>
          <w:sz w:val="18"/>
          <w:lang w:val="en-GB"/>
        </w:rPr>
      </w:pPr>
    </w:p>
    <w:p w14:paraId="0A97F022" w14:textId="77777777" w:rsidR="00213AE8" w:rsidRPr="00213AE8" w:rsidRDefault="00213AE8" w:rsidP="00213AE8">
      <w:pPr>
        <w:ind w:right="28"/>
        <w:rPr>
          <w:rFonts w:ascii="Verdana" w:hAnsi="Verdana"/>
          <w:sz w:val="18"/>
          <w:lang w:val="en-GB"/>
        </w:rPr>
      </w:pPr>
    </w:p>
    <w:p w14:paraId="01E3F65D" w14:textId="77777777" w:rsidR="00213AE8" w:rsidRDefault="00213AE8" w:rsidP="00213AE8">
      <w:pPr>
        <w:ind w:right="28"/>
        <w:rPr>
          <w:rFonts w:ascii="Verdana" w:hAnsi="Verdana"/>
          <w:sz w:val="18"/>
          <w:lang w:val="en-GB"/>
        </w:rPr>
      </w:pPr>
    </w:p>
    <w:p w14:paraId="216EEF21" w14:textId="77777777" w:rsidR="009B6318" w:rsidRDefault="009B6318" w:rsidP="00213AE8">
      <w:pPr>
        <w:ind w:right="28"/>
        <w:rPr>
          <w:rFonts w:ascii="Verdana" w:hAnsi="Verdana"/>
          <w:sz w:val="18"/>
          <w:lang w:val="en-GB"/>
        </w:rPr>
      </w:pPr>
    </w:p>
    <w:p w14:paraId="37D89850" w14:textId="77777777" w:rsidR="009B6318" w:rsidRDefault="009B6318" w:rsidP="00213AE8">
      <w:pPr>
        <w:ind w:right="28"/>
        <w:rPr>
          <w:rFonts w:ascii="Verdana" w:hAnsi="Verdana"/>
          <w:sz w:val="18"/>
          <w:lang w:val="en-GB"/>
        </w:rPr>
      </w:pPr>
    </w:p>
    <w:p w14:paraId="0B57FEF2" w14:textId="77777777" w:rsidR="009B6318" w:rsidRPr="00213AE8" w:rsidRDefault="009B6318" w:rsidP="00213AE8">
      <w:pPr>
        <w:ind w:right="28"/>
        <w:rPr>
          <w:rFonts w:ascii="Verdana" w:hAnsi="Verdana"/>
          <w:sz w:val="18"/>
          <w:lang w:val="en-GB"/>
        </w:rPr>
      </w:pPr>
    </w:p>
    <w:p w14:paraId="49DC4123" w14:textId="77777777" w:rsidR="00213AE8" w:rsidRPr="00213AE8" w:rsidRDefault="00213AE8" w:rsidP="00213AE8">
      <w:pPr>
        <w:ind w:right="28"/>
        <w:rPr>
          <w:rFonts w:ascii="Verdana" w:hAnsi="Verdana"/>
          <w:sz w:val="18"/>
          <w:lang w:val="en-GB"/>
        </w:rPr>
      </w:pPr>
    </w:p>
    <w:p w14:paraId="21BBB089" w14:textId="77777777" w:rsidR="00213AE8" w:rsidRPr="00213AE8" w:rsidRDefault="00213AE8" w:rsidP="00213AE8">
      <w:pPr>
        <w:ind w:right="28"/>
        <w:rPr>
          <w:rFonts w:ascii="Verdana" w:hAnsi="Verdana"/>
          <w:sz w:val="18"/>
          <w:lang w:val="en-GB"/>
        </w:rPr>
      </w:pPr>
    </w:p>
    <w:p w14:paraId="387042EC" w14:textId="77777777" w:rsidR="00213AE8" w:rsidRPr="00213AE8" w:rsidRDefault="00213AE8" w:rsidP="00213AE8">
      <w:pPr>
        <w:ind w:right="28"/>
        <w:rPr>
          <w:rFonts w:ascii="Verdana" w:hAnsi="Verdana"/>
          <w:sz w:val="18"/>
          <w:lang w:val="en-GB"/>
        </w:rPr>
      </w:pPr>
    </w:p>
    <w:p w14:paraId="45C438B1" w14:textId="77777777" w:rsidR="00213AE8" w:rsidRDefault="00213AE8" w:rsidP="00213AE8">
      <w:pPr>
        <w:ind w:right="28"/>
        <w:rPr>
          <w:rFonts w:ascii="Verdana" w:hAnsi="Verdana"/>
          <w:sz w:val="18"/>
          <w:lang w:val="en-GB"/>
        </w:rPr>
      </w:pPr>
    </w:p>
    <w:p w14:paraId="13BFB9CB" w14:textId="77777777" w:rsidR="00A20FF6" w:rsidRDefault="00A20FF6" w:rsidP="00213AE8">
      <w:pPr>
        <w:ind w:right="28"/>
        <w:rPr>
          <w:rFonts w:ascii="Verdana" w:hAnsi="Verdana"/>
          <w:sz w:val="18"/>
          <w:lang w:val="en-GB"/>
        </w:rPr>
      </w:pPr>
    </w:p>
    <w:p w14:paraId="3D474BE8" w14:textId="77777777" w:rsidR="00A20FF6" w:rsidRDefault="00A20FF6" w:rsidP="00213AE8">
      <w:pPr>
        <w:ind w:right="28"/>
        <w:rPr>
          <w:rFonts w:ascii="Verdana" w:hAnsi="Verdana"/>
          <w:sz w:val="18"/>
          <w:lang w:val="en-GB"/>
        </w:rPr>
      </w:pPr>
    </w:p>
    <w:p w14:paraId="7337CEBB" w14:textId="77777777" w:rsidR="00A20FF6" w:rsidRDefault="00A20FF6" w:rsidP="00213AE8">
      <w:pPr>
        <w:ind w:right="28"/>
        <w:rPr>
          <w:rFonts w:ascii="Verdana" w:hAnsi="Verdana"/>
          <w:sz w:val="18"/>
          <w:lang w:val="en-GB"/>
        </w:rPr>
      </w:pPr>
    </w:p>
    <w:p w14:paraId="3F02D8C4" w14:textId="77777777" w:rsidR="00A20FF6" w:rsidRDefault="00A20FF6" w:rsidP="00213AE8">
      <w:pPr>
        <w:ind w:right="28"/>
        <w:rPr>
          <w:rFonts w:ascii="Verdana" w:hAnsi="Verdana"/>
          <w:sz w:val="18"/>
          <w:lang w:val="en-GB"/>
        </w:rPr>
      </w:pPr>
    </w:p>
    <w:p w14:paraId="6B42A25B" w14:textId="77777777" w:rsidR="00605453" w:rsidRDefault="00605453" w:rsidP="00213AE8">
      <w:pPr>
        <w:ind w:right="28"/>
        <w:rPr>
          <w:rFonts w:ascii="Verdana" w:hAnsi="Verdana"/>
          <w:sz w:val="18"/>
          <w:lang w:val="en-GB"/>
        </w:rPr>
      </w:pPr>
    </w:p>
    <w:p w14:paraId="765B5E03" w14:textId="77777777" w:rsidR="00605453" w:rsidRDefault="00605453" w:rsidP="00213AE8">
      <w:pPr>
        <w:ind w:right="28"/>
        <w:rPr>
          <w:rFonts w:ascii="Verdana" w:hAnsi="Verdana"/>
          <w:sz w:val="18"/>
          <w:lang w:val="en-GB"/>
        </w:rPr>
      </w:pPr>
    </w:p>
    <w:p w14:paraId="2A329B18" w14:textId="77777777" w:rsidR="00213AE8" w:rsidRPr="00213AE8" w:rsidRDefault="00213AE8" w:rsidP="0030325A">
      <w:pPr>
        <w:ind w:right="-1"/>
        <w:rPr>
          <w:rFonts w:ascii="Verdana" w:hAnsi="Verdana"/>
          <w:sz w:val="18"/>
          <w:lang w:val="en-GB"/>
        </w:rPr>
      </w:pPr>
    </w:p>
    <w:p w14:paraId="7274A0E3" w14:textId="77777777" w:rsidR="00E90838" w:rsidRPr="00696241" w:rsidRDefault="00213AE8" w:rsidP="009B6318">
      <w:pPr>
        <w:ind w:right="-1"/>
        <w:jc w:val="right"/>
        <w:rPr>
          <w:rFonts w:ascii="Verdana" w:hAnsi="Verdana"/>
          <w:sz w:val="18"/>
          <w:lang w:val="en-GB"/>
        </w:rPr>
      </w:pPr>
      <w:r w:rsidRPr="00696241">
        <w:rPr>
          <w:rFonts w:ascii="Verdana" w:hAnsi="Verdana"/>
          <w:sz w:val="18"/>
          <w:lang w:val="en-GB"/>
        </w:rPr>
        <w:t xml:space="preserve">                            </w:t>
      </w:r>
      <w:r w:rsidRPr="00696241">
        <w:rPr>
          <w:rFonts w:ascii="Verdana" w:hAnsi="Verdana"/>
          <w:sz w:val="18"/>
          <w:lang w:val="en-GB"/>
        </w:rPr>
        <w:tab/>
      </w:r>
      <w:r w:rsidRPr="00696241">
        <w:rPr>
          <w:rFonts w:ascii="Verdana" w:hAnsi="Verdana"/>
          <w:sz w:val="18"/>
          <w:lang w:val="en-GB"/>
        </w:rPr>
        <w:tab/>
      </w:r>
      <w:r w:rsidRPr="00696241">
        <w:rPr>
          <w:rFonts w:ascii="Verdana" w:hAnsi="Verdana"/>
          <w:sz w:val="18"/>
          <w:lang w:val="en-GB"/>
        </w:rPr>
        <w:tab/>
        <w:t xml:space="preserve">   </w:t>
      </w:r>
      <w:r w:rsidR="0030325A" w:rsidRPr="00696241">
        <w:rPr>
          <w:rFonts w:ascii="Verdana" w:hAnsi="Verdana"/>
          <w:sz w:val="18"/>
          <w:lang w:val="en-GB"/>
        </w:rPr>
        <w:t xml:space="preserve">                            </w:t>
      </w:r>
    </w:p>
    <w:p w14:paraId="7F4D1501" w14:textId="77777777" w:rsidR="00E90838" w:rsidRPr="00696241" w:rsidRDefault="00E90838" w:rsidP="00F158A3">
      <w:pPr>
        <w:spacing w:after="960"/>
        <w:jc w:val="right"/>
        <w:rPr>
          <w:rFonts w:ascii="Verdana" w:hAnsi="Verdana"/>
          <w:sz w:val="28"/>
          <w:szCs w:val="28"/>
          <w:lang w:val="en-GB"/>
        </w:rPr>
      </w:pPr>
    </w:p>
    <w:p w14:paraId="4B2BC0F9" w14:textId="77777777" w:rsidR="00623ED0" w:rsidRDefault="00623ED0" w:rsidP="00E90838">
      <w:pPr>
        <w:ind w:right="-1"/>
        <w:jc w:val="right"/>
        <w:rPr>
          <w:rFonts w:ascii="Verdana" w:hAnsi="Verdana"/>
          <w:sz w:val="16"/>
          <w:szCs w:val="16"/>
          <w:lang w:val="en-GB"/>
        </w:rPr>
      </w:pPr>
      <w:bookmarkStart w:id="115" w:name="Prix1"/>
      <w:bookmarkEnd w:id="115"/>
    </w:p>
    <w:p w14:paraId="6896E2CD" w14:textId="77777777" w:rsidR="00623ED0" w:rsidRDefault="00623ED0" w:rsidP="00E90838">
      <w:pPr>
        <w:ind w:right="-1"/>
        <w:jc w:val="right"/>
        <w:rPr>
          <w:rFonts w:ascii="Verdana" w:hAnsi="Verdana"/>
          <w:sz w:val="16"/>
          <w:szCs w:val="16"/>
          <w:lang w:val="en-GB"/>
        </w:rPr>
      </w:pPr>
    </w:p>
    <w:p w14:paraId="7F87C436" w14:textId="77777777" w:rsidR="00492D6B" w:rsidRDefault="00492D6B" w:rsidP="00492D6B">
      <w:pPr>
        <w:ind w:right="-1"/>
        <w:rPr>
          <w:rFonts w:ascii="Verdana" w:hAnsi="Verdana"/>
          <w:sz w:val="16"/>
          <w:szCs w:val="16"/>
          <w:lang w:val="en-GB"/>
        </w:rPr>
      </w:pPr>
    </w:p>
    <w:sectPr w:rsidR="00492D6B" w:rsidSect="00170A63">
      <w:headerReference w:type="first" r:id="rId86"/>
      <w:footerReference w:type="first" r:id="rId87"/>
      <w:pgSz w:w="11907" w:h="16839" w:code="9"/>
      <w:pgMar w:top="2136" w:right="1418" w:bottom="737" w:left="1418" w:header="567"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3C9D5" w14:textId="77777777" w:rsidR="00A13462" w:rsidRDefault="00A13462">
      <w:r>
        <w:separator/>
      </w:r>
    </w:p>
  </w:endnote>
  <w:endnote w:type="continuationSeparator" w:id="0">
    <w:p w14:paraId="784CE6C1" w14:textId="77777777" w:rsidR="00A13462" w:rsidRDefault="00A13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86D18" w14:textId="77777777" w:rsidR="00CF0228" w:rsidRDefault="00CF0228" w:rsidP="00CF0228">
    <w:pPr>
      <w:spacing w:after="0"/>
      <w:jc w:val="center"/>
      <w:rPr>
        <w:rFonts w:ascii="Verdana" w:hAnsi="Verdana"/>
        <w:sz w:val="18"/>
        <w:lang w:val="en-GB"/>
      </w:rPr>
    </w:pPr>
    <w:r w:rsidRPr="00213AE8">
      <w:rPr>
        <w:rFonts w:ascii="Verdana" w:hAnsi="Verdana"/>
        <w:sz w:val="18"/>
        <w:lang w:val="en-GB"/>
      </w:rPr>
      <w:t>D</w:t>
    </w:r>
    <w:r w:rsidR="00F05BB8">
      <w:rPr>
        <w:rFonts w:ascii="Verdana" w:hAnsi="Verdana"/>
        <w:sz w:val="18"/>
        <w:lang w:val="en-GB"/>
      </w:rPr>
      <w:t>irectorate-General for Environment</w:t>
    </w:r>
  </w:p>
  <w:p w14:paraId="6C1E1944" w14:textId="77777777" w:rsidR="00C94311" w:rsidRDefault="00C94311">
    <w:pPr>
      <w:pStyle w:val="Footer"/>
    </w:pP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r>
      <w:rPr>
        <w:rFonts w:ascii="Verdana" w:hAnsi="Verdana"/>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2A5DC" w14:textId="77777777" w:rsidR="00EA375A" w:rsidRDefault="000535B3" w:rsidP="00EA375A">
    <w:pPr>
      <w:pStyle w:val="FooterDate"/>
      <w:ind w:right="-1"/>
      <w:rPr>
        <w:rFonts w:cs="Arial"/>
        <w:sz w:val="18"/>
        <w:szCs w:val="18"/>
      </w:rPr>
    </w:pPr>
    <w:r>
      <w:rPr>
        <w:noProof/>
        <w:sz w:val="18"/>
        <w:szCs w:val="18"/>
        <w:lang w:val="en-US"/>
      </w:rPr>
      <mc:AlternateContent>
        <mc:Choice Requires="wps">
          <w:drawing>
            <wp:anchor distT="0" distB="0" distL="114300" distR="114300" simplePos="0" relativeHeight="251678208" behindDoc="0" locked="0" layoutInCell="1" allowOverlap="1" wp14:anchorId="18320E5D" wp14:editId="1F5065AA">
              <wp:simplePos x="0" y="0"/>
              <wp:positionH relativeFrom="margin">
                <wp:align>center</wp:align>
              </wp:positionH>
              <wp:positionV relativeFrom="margin">
                <wp:posOffset>8155305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2D63E" id="Rectangle 79" o:spid="_x0000_s1026" style="position:absolute;margin-left:0;margin-top:642.15pt;width:66.35pt;height:22.7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bMfwIAAPw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0LsM&#10;I0U66NFHqBpRG8nRrAwF6o2rIO7RPNhA0Zl7Tb84pPRdC2H8xlrdt5wwgJWF+OTiQDAcHEXr/p1m&#10;kJ5svY612je2CwmhCmgfW/J0agnfe0Th47zIp8UEIwqufD7Py9iyhFTHw8Y6/4brDoVNjS1gj8nJ&#10;7t75AIZUx5AIXkvBVkLKaNjN+k5atCNBHWn+qpxE/MDxPEyqEKx0ODZkHL4ARrgj+ALa2O1vZZYX&#10;6W1ejlbT+WxUrIrJqJyl81GalbflNC3KYrn6HgBmRdUKxri6F4oflZcVf9fZwwwMmonaQ32Ny0k+&#10;idwv0LtLkin8/kSyEx4GUYoOah5iDqMR+vpaMaBNKk+EHPbJJfxYZajB8T9WJaogNH4Q0FqzJxCB&#10;1dAkGER4MmDTavuMUQ/jV2P3dUssx0i+VSCkMiuKMK/RKCazHAx77lmfe4iikKrGHqNhe+eHGd8a&#10;KzYt3JTFwih9A+JrRBRGEOaA6iBZGLHI4PAchBk+t2PUz0dr8QMAAP//AwBQSwMEFAAGAAgAAAAh&#10;AAWPQN/cAAAACgEAAA8AAABkcnMvZG93bnJldi54bWxMj0FPwzAMhe9I/IfIk7ixdB1iXdd0QkhI&#10;XBmIXbPGNN0Su2rSrfx7Mi5ws/2enr9XbSfvxBmH0DEpWMwzEEgNm45aBR/vL/cFiBA1Ge2YUME3&#10;BtjWtzeVLg1f6A3Pu9iKFEKh1ApsjH0pZWgseh3m3CMl7YsHr2Nah1aaQV9SuHcyz7JH6XVH6YPV&#10;PT5bbE670SsYbXHi46Ir3OsU1/v9kT/ZsFJ3s+lpAyLiFP/McMVP6FAnpgOPZIJwClKRmK558bAE&#10;cdWX+QrE4XdYr0DWlfxfof4BAAD//wMAUEsBAi0AFAAGAAgAAAAhALaDOJL+AAAA4QEAABMAAAAA&#10;AAAAAAAAAAAAAAAAAFtDb250ZW50X1R5cGVzXS54bWxQSwECLQAUAAYACAAAACEAOP0h/9YAAACU&#10;AQAACwAAAAAAAAAAAAAAAAAvAQAAX3JlbHMvLnJlbHNQSwECLQAUAAYACAAAACEA6FWGzH8CAAD8&#10;BAAADgAAAAAAAAAAAAAAAAAuAgAAZHJzL2Uyb0RvYy54bWxQSwECLQAUAAYACAAAACEABY9A39wA&#10;AAAKAQAADwAAAAAAAAAAAAAAAADZBAAAZHJzL2Rvd25yZXYueG1sUEsFBgAAAAAEAAQA8wAAAOIF&#10;AAAAAA==&#10;" fillcolor="#002395" stroked="f">
              <w10:wrap type="square" anchorx="margin" anchory="margin"/>
            </v:rect>
          </w:pict>
        </mc:Fallback>
      </mc:AlternateContent>
    </w:r>
    <w:r>
      <w:rPr>
        <w:noProof/>
        <w:sz w:val="18"/>
        <w:szCs w:val="18"/>
        <w:lang w:val="en-US"/>
      </w:rPr>
      <mc:AlternateContent>
        <mc:Choice Requires="wps">
          <w:drawing>
            <wp:anchor distT="0" distB="0" distL="114300" distR="114300" simplePos="0" relativeHeight="251667968" behindDoc="0" locked="0" layoutInCell="1" allowOverlap="1" wp14:anchorId="51D7A020" wp14:editId="6A58DB3C">
              <wp:simplePos x="0" y="0"/>
              <wp:positionH relativeFrom="column">
                <wp:posOffset>4281170</wp:posOffset>
              </wp:positionH>
              <wp:positionV relativeFrom="margin">
                <wp:posOffset>9475470</wp:posOffset>
              </wp:positionV>
              <wp:extent cx="1438275" cy="561975"/>
              <wp:effectExtent l="4445" t="0" r="0" b="1905"/>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8FE9B" w14:textId="77777777" w:rsidR="00A92E21" w:rsidRPr="00696241" w:rsidRDefault="00A92E21"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5BEC71D3" w14:textId="77777777" w:rsidR="00A92E21" w:rsidRDefault="00A92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7A020" id="_x0000_t202" coordsize="21600,21600" o:spt="202" path="m,l,21600r21600,l21600,xe">
              <v:stroke joinstyle="miter"/>
              <v:path gradientshapeok="t" o:connecttype="rect"/>
            </v:shapetype>
            <v:shape id="Text Box 75" o:spid="_x0000_s1042" type="#_x0000_t202" style="position:absolute;margin-left:337.1pt;margin-top:746.1pt;width:113.25pt;height:4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mLsQIAAKsFAAAOAAAAZHJzL2Uyb0RvYy54bWysVNuOmzAQfa/Uf7D8znJZkgBastoNoaq0&#10;vUi7/QAHTLAKNrWdwHbVf+/YhFy2UlW15cEa7PGZMzPHc3M7tA3aU6mY4Cn2rzyMKC9Eyfg2xV+e&#10;cifCSGnCS9IITlP8TBW+Xb59c9N3CQ1ELZqSSgQgXCV9l+Ja6y5xXVXUtCXqSnSUw2ElZEs0/Mqt&#10;W0rSA3rbuIHnzd1eyLKToqBKwW42HuKlxa8qWuhPVaWoRk2KgZu2q7Trxqzu8oYkW0m6mhUHGuQv&#10;WLSEcQh6hMqIJmgn2S9QLSukUKLSV4VoXVFVrKA2B8jG915l81iTjtpcoDiqO5ZJ/T/Y4uP+s0Ss&#10;hN5BeThpoUdPdNDoXgxoMTP16TuVgNtjB456gH3wtbmq7kEUXxXiYlUTvqV3Uoq+pqQEfr656Z5d&#10;HXGUAdn0H0QJcchOCws0VLI1xYNyIEAHIs/H3hguhQkZXkcBEEIFnM3mfjySc0ky3e6k0u+oaJEx&#10;Uiyh9xad7B+UNmxIMrmYYFzkrGls/xt+sQGO4w7EhqvmzLCw7XyJvXgdraPQCYP52gm9LHPu8lXo&#10;zHN/Mcuus9Uq83+YuH6Y1KwsKTdhJmn54Z+17iDyURRHcSnRsNLAGUpKbjerRqI9MdL2guvYdgvI&#10;n7m5lzRsESCXVyn5QejdB7GTz6OFE+bhzIkXXuR4fnwfz70wDrP8MqUHxum/p4T6FMezYDaK6Te5&#10;efBZPV3kRpKWaRgeDWtTHBmfw3M2Elzz0rZWE9aM9lkpDP1TKaBiU6OtYI1GR7XqYTMAilHxRpTP&#10;IF0pQFmgT5h4YNRCfseoh+mRYvVtRyTFqHnPQf5m1EyGnIzNZBBewNUUa4xGc6XHkbTrJNvWgDw+&#10;MC7u4IlUzKr3xOLwsGAi2CQO08uMnPN/63WascufAAAA//8DAFBLAwQUAAYACAAAACEAMdVum98A&#10;AAANAQAADwAAAGRycy9kb3ducmV2LnhtbEyPQU/DMAyF70j8h8iTuLGk1ejW0nRCk+CIxBjj6rVZ&#10;Wy1xqibbyr/HnNjt2e/p+XO5npwVFzOG3pOGZK5AGKp901OrYff5+rgCESJSg9aT0fBjAqyr+7sS&#10;i8Zf6cNctrEVXEKhQA1djEMhZag74zDM/WCIvaMfHUYex1Y2I1653FmZKpVJhz3xhQ4Hs+lMfdqe&#10;nQZ5yhPMMkL79d7uk833zu7flNYPs+nlGUQ0U/wPwx8+o0PFTAd/piYIqyFbLlKOsrHIU1YcyZVa&#10;gjjw6mnFSlalvP2i+gUAAP//AwBQSwECLQAUAAYACAAAACEAtoM4kv4AAADhAQAAEwAAAAAAAAAA&#10;AAAAAAAAAAAAW0NvbnRlbnRfVHlwZXNdLnhtbFBLAQItABQABgAIAAAAIQA4/SH/1gAAAJQBAAAL&#10;AAAAAAAAAAAAAAAAAC8BAABfcmVscy8ucmVsc1BLAQItABQABgAIAAAAIQCc3gmLsQIAAKsFAAAO&#10;AAAAAAAAAAAAAAAAAC4CAABkcnMvZTJvRG9jLnhtbFBLAQItABQABgAIAAAAIQAx1W6b3wAAAA0B&#10;AAAPAAAAAAAAAAAAAAAAAAsFAABkcnMvZG93bnJldi54bWxQSwUGAAAAAAQABADzAAAAFwYAAAAA&#10;" filled="f" fillcolor="#002395" stroked="f">
              <v:textbox inset="0,0,0,0">
                <w:txbxContent>
                  <w:p w14:paraId="6A18FE9B" w14:textId="77777777" w:rsidR="00A92E21" w:rsidRPr="00696241" w:rsidRDefault="00A92E21"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5BEC71D3" w14:textId="77777777" w:rsidR="00A92E21" w:rsidRDefault="00A92E21"/>
                </w:txbxContent>
              </v:textbox>
              <w10:wrap anchory="margin"/>
            </v:shape>
          </w:pict>
        </mc:Fallback>
      </mc:AlternateContent>
    </w:r>
  </w:p>
  <w:p w14:paraId="7441D079" w14:textId="4F0830E1" w:rsidR="00CF0228" w:rsidRDefault="00533B07" w:rsidP="00EA375A">
    <w:pPr>
      <w:pStyle w:val="FooterDate"/>
      <w:ind w:right="-1"/>
      <w:rPr>
        <w:rFonts w:cs="Arial"/>
        <w:sz w:val="18"/>
        <w:szCs w:val="18"/>
      </w:rPr>
    </w:pPr>
    <w:r>
      <w:rPr>
        <w:rFonts w:cs="Arial"/>
        <w:sz w:val="18"/>
        <w:szCs w:val="18"/>
      </w:rPr>
      <w:t>Pierre Strosser</w:t>
    </w:r>
    <w:r w:rsidR="00B94BF1">
      <w:rPr>
        <w:rFonts w:cs="Arial"/>
        <w:sz w:val="18"/>
        <w:szCs w:val="18"/>
      </w:rPr>
      <w:t xml:space="preserve"> (ACTeon)</w:t>
    </w:r>
    <w:r>
      <w:rPr>
        <w:rFonts w:cs="Arial"/>
        <w:sz w:val="18"/>
        <w:szCs w:val="18"/>
      </w:rPr>
      <w:t>, Gonzalo D</w:t>
    </w:r>
    <w:r w:rsidR="00B94BF1">
      <w:rPr>
        <w:rFonts w:cs="Arial"/>
        <w:sz w:val="18"/>
        <w:szCs w:val="18"/>
      </w:rPr>
      <w:t xml:space="preserve">elacamara (IMDEA), </w:t>
    </w:r>
    <w:r w:rsidR="008252B3">
      <w:rPr>
        <w:rFonts w:cs="Arial"/>
        <w:sz w:val="18"/>
        <w:szCs w:val="18"/>
      </w:rPr>
      <w:t>Rianne van Duinen, Gloria De Paoli (ACTeon), Ilona K</w:t>
    </w:r>
    <w:r w:rsidR="00A07F6E">
      <w:rPr>
        <w:rFonts w:cs="Arial"/>
        <w:sz w:val="18"/>
        <w:szCs w:val="18"/>
      </w:rPr>
      <w:t>irhensteine (Wood)</w:t>
    </w:r>
  </w:p>
  <w:p w14:paraId="20859945" w14:textId="3CBDA7A1" w:rsidR="00CF0228" w:rsidRPr="001D2A51" w:rsidRDefault="00A07F6E" w:rsidP="00EA375A">
    <w:pPr>
      <w:pStyle w:val="FooterDate"/>
      <w:ind w:right="-1"/>
      <w:rPr>
        <w:rFonts w:cs="Arial"/>
        <w:sz w:val="18"/>
        <w:szCs w:val="18"/>
      </w:rPr>
    </w:pPr>
    <w:r>
      <w:rPr>
        <w:rFonts w:cs="Arial"/>
        <w:sz w:val="18"/>
        <w:szCs w:val="18"/>
      </w:rPr>
      <w:t>January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415D5" w14:textId="77777777" w:rsidR="001D2A51" w:rsidRPr="006B26AA" w:rsidRDefault="001D2A51" w:rsidP="006B26AA">
    <w:pPr>
      <w:pStyle w:val="Footer"/>
      <w:rPr>
        <w:szCs w:val="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0A2AE" w14:textId="5EA4AB73" w:rsidR="001D2A51" w:rsidRDefault="001D2A51">
    <w:r>
      <w:cr/>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A2F51" w14:textId="77777777" w:rsidR="00170A63" w:rsidRPr="00971E70" w:rsidRDefault="00E132E6" w:rsidP="00F05BB8">
    <w:pPr>
      <w:spacing w:after="0"/>
      <w:ind w:right="-1"/>
      <w:rPr>
        <w:rFonts w:ascii="Verdana" w:hAnsi="Verdana"/>
        <w:sz w:val="16"/>
        <w:szCs w:val="16"/>
        <w:lang w:val="en-GB"/>
      </w:rPr>
    </w:pPr>
    <w:r w:rsidRPr="00E132E6">
      <w:rPr>
        <w:rFonts w:ascii="Verdana" w:hAnsi="Verdana"/>
        <w:noProof/>
        <w:color w:val="FF0000"/>
        <w:szCs w:val="16"/>
        <w:lang w:val="en-GB" w:eastAsia="en-GB"/>
      </w:rPr>
      <w:t xml:space="preserve"> </w:t>
    </w:r>
    <w:r w:rsidR="00971E70" w:rsidRPr="00971E70">
      <w:rPr>
        <w:rFonts w:ascii="Verdana" w:hAnsi="Verdana"/>
        <w:sz w:val="16"/>
        <w:szCs w:val="16"/>
        <w:lang w:val="en-GB"/>
      </w:rPr>
      <w:t xml:space="preserve"> </w:t>
    </w:r>
    <w:r w:rsidR="00F05BB8">
      <w:rPr>
        <w:rFonts w:ascii="Verdana" w:hAnsi="Verdana"/>
        <w:noProof/>
        <w:sz w:val="16"/>
        <w:szCs w:val="16"/>
        <w:lang w:val="en-US"/>
      </w:rPr>
      <w:drawing>
        <wp:inline distT="0" distB="0" distL="0" distR="0" wp14:anchorId="46F0F4F6" wp14:editId="24F262DA">
          <wp:extent cx="1380952" cy="7047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OP.png"/>
                  <pic:cNvPicPr/>
                </pic:nvPicPr>
                <pic:blipFill>
                  <a:blip r:embed="rId1">
                    <a:extLst>
                      <a:ext uri="{28A0092B-C50C-407E-A947-70E740481C1C}">
                        <a14:useLocalDpi xmlns:a14="http://schemas.microsoft.com/office/drawing/2010/main" val="0"/>
                      </a:ext>
                    </a:extLst>
                  </a:blip>
                  <a:stretch>
                    <a:fillRect/>
                  </a:stretch>
                </pic:blipFill>
                <pic:spPr>
                  <a:xfrm>
                    <a:off x="0" y="0"/>
                    <a:ext cx="1380952" cy="704762"/>
                  </a:xfrm>
                  <a:prstGeom prst="rect">
                    <a:avLst/>
                  </a:prstGeom>
                </pic:spPr>
              </pic:pic>
            </a:graphicData>
          </a:graphic>
        </wp:inline>
      </w:drawing>
    </w:r>
    <w:r w:rsidR="00971E70">
      <w:rPr>
        <w:rFonts w:ascii="Verdana" w:hAnsi="Verdana"/>
        <w:sz w:val="16"/>
        <w:szCs w:val="16"/>
        <w:lang w:val="en-GB"/>
      </w:rPr>
      <w:tab/>
    </w:r>
    <w:r w:rsidR="00971E70">
      <w:rPr>
        <w:rFonts w:ascii="Verdana" w:hAnsi="Verdana"/>
        <w:sz w:val="16"/>
        <w:szCs w:val="16"/>
        <w:lang w:val="en-GB"/>
      </w:rPr>
      <w:tab/>
    </w:r>
    <w:r w:rsidR="00971E70">
      <w:rPr>
        <w:rFonts w:ascii="Verdana" w:hAnsi="Verdana"/>
        <w:sz w:val="16"/>
        <w:szCs w:val="16"/>
        <w:lang w:val="en-GB"/>
      </w:rPr>
      <w:tab/>
    </w:r>
    <w:r w:rsidR="00971E70">
      <w:rPr>
        <w:rFonts w:ascii="Verdana" w:hAnsi="Verdana"/>
        <w:sz w:val="16"/>
        <w:szCs w:val="16"/>
        <w:lang w:val="en-GB"/>
      </w:rPr>
      <w:tab/>
    </w:r>
    <w:r w:rsidR="00971E70">
      <w:rPr>
        <w:rFonts w:ascii="Verdana" w:hAnsi="Verdana"/>
        <w:sz w:val="16"/>
        <w:szCs w:val="16"/>
        <w:lang w:val="en-GB"/>
      </w:rPr>
      <w:tab/>
    </w:r>
    <w:r w:rsidR="00971E70">
      <w:rPr>
        <w:rFonts w:ascii="Verdana" w:hAnsi="Verdana"/>
        <w:sz w:val="16"/>
        <w:szCs w:val="16"/>
        <w:lang w:val="en-GB"/>
      </w:rPr>
      <w:tab/>
    </w:r>
    <w:r w:rsidR="00971E70">
      <w:rPr>
        <w:rFonts w:ascii="Verdana" w:hAnsi="Verdana"/>
        <w:sz w:val="16"/>
        <w:szCs w:val="16"/>
        <w:lang w:val="en-GB"/>
      </w:rPr>
      <w:tab/>
      <w:t xml:space="preserve">    </w:t>
    </w:r>
    <w:r w:rsidR="00971E70">
      <w:rPr>
        <w:rFonts w:ascii="Verdana" w:hAnsi="Verdana"/>
        <w:sz w:val="16"/>
        <w:szCs w:val="16"/>
        <w:lang w:val="en-GB"/>
      </w:rPr>
      <w:tab/>
    </w:r>
    <w:r w:rsidR="00971E70">
      <w:rPr>
        <w:rFonts w:ascii="Verdana" w:hAnsi="Verdana"/>
        <w:sz w:val="16"/>
        <w:szCs w:val="16"/>
        <w:lang w:val="en-GB"/>
      </w:rPr>
      <w:tab/>
    </w:r>
  </w:p>
  <w:p w14:paraId="52E5FE5B" w14:textId="77777777" w:rsidR="001D2A51" w:rsidRPr="006B26AA" w:rsidRDefault="001D2A51" w:rsidP="006B26A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64944" w14:textId="77777777" w:rsidR="00A13462" w:rsidRDefault="00A13462">
      <w:r>
        <w:separator/>
      </w:r>
    </w:p>
  </w:footnote>
  <w:footnote w:type="continuationSeparator" w:id="0">
    <w:p w14:paraId="1AF953BD" w14:textId="77777777" w:rsidR="00A13462" w:rsidRDefault="00A13462">
      <w:r>
        <w:continuationSeparator/>
      </w:r>
    </w:p>
  </w:footnote>
  <w:footnote w:id="1">
    <w:p w14:paraId="698C98E6" w14:textId="77777777" w:rsidR="00763725" w:rsidRPr="00763725" w:rsidRDefault="00763725" w:rsidP="00763725">
      <w:pPr>
        <w:spacing w:after="120"/>
        <w:rPr>
          <w:rFonts w:ascii="Verdana" w:hAnsi="Verdana"/>
          <w:sz w:val="16"/>
          <w:szCs w:val="16"/>
        </w:rPr>
      </w:pPr>
      <w:r>
        <w:rPr>
          <w:rStyle w:val="FootnoteReference"/>
        </w:rPr>
        <w:footnoteRef/>
      </w:r>
      <w:r w:rsidRPr="00763725">
        <w:rPr>
          <w:lang w:val="en-US"/>
        </w:rPr>
        <w:t xml:space="preserve"> </w:t>
      </w:r>
      <w:r w:rsidRPr="00763725">
        <w:rPr>
          <w:rFonts w:ascii="Verdana" w:hAnsi="Verdana"/>
          <w:sz w:val="16"/>
          <w:szCs w:val="16"/>
          <w:lang w:val="en-US"/>
        </w:rPr>
        <w:t xml:space="preserve">Directive 2000/60/EC of the European Parliament and of the Council of 23 October 2000 establishing a framework for Community action in the field of water policy. </w:t>
      </w:r>
      <w:hyperlink r:id="rId1" w:history="1">
        <w:r w:rsidRPr="00763725">
          <w:rPr>
            <w:rStyle w:val="Hyperlink"/>
            <w:rFonts w:ascii="Verdana" w:hAnsi="Verdana"/>
            <w:sz w:val="16"/>
            <w:szCs w:val="16"/>
          </w:rPr>
          <w:t>https://eur-lex.europa.eu/legal-content/EN/TXT/?uri=CELEX:32000L0060</w:t>
        </w:r>
      </w:hyperlink>
      <w:r w:rsidRPr="00763725">
        <w:rPr>
          <w:rFonts w:ascii="Verdana" w:hAnsi="Verdana"/>
          <w:sz w:val="16"/>
          <w:szCs w:val="16"/>
        </w:rPr>
        <w:t xml:space="preserve"> </w:t>
      </w:r>
    </w:p>
  </w:footnote>
  <w:footnote w:id="2">
    <w:p w14:paraId="51D2A378" w14:textId="77777777" w:rsidR="00763725" w:rsidRPr="00763725" w:rsidRDefault="00763725" w:rsidP="00763725">
      <w:pPr>
        <w:spacing w:after="120"/>
        <w:rPr>
          <w:rFonts w:ascii="Verdana" w:hAnsi="Verdana"/>
          <w:sz w:val="16"/>
          <w:szCs w:val="16"/>
        </w:rPr>
      </w:pPr>
      <w:r w:rsidRPr="00763725">
        <w:rPr>
          <w:rStyle w:val="FootnoteReference"/>
          <w:rFonts w:ascii="Verdana" w:hAnsi="Verdana"/>
          <w:sz w:val="16"/>
          <w:szCs w:val="16"/>
        </w:rPr>
        <w:footnoteRef/>
      </w:r>
      <w:r w:rsidRPr="00763725">
        <w:rPr>
          <w:rFonts w:ascii="Verdana" w:hAnsi="Verdana"/>
          <w:sz w:val="16"/>
          <w:szCs w:val="16"/>
          <w:lang w:val="en-US"/>
        </w:rPr>
        <w:t xml:space="preserve"> Directive 2007/60/EC of the European Parliament and of the Council of 23 October 2007 on the assessment and management of flood risks. </w:t>
      </w:r>
      <w:hyperlink r:id="rId2" w:history="1">
        <w:r w:rsidRPr="00763725">
          <w:rPr>
            <w:rStyle w:val="Hyperlink"/>
            <w:rFonts w:ascii="Verdana" w:hAnsi="Verdana"/>
            <w:sz w:val="16"/>
            <w:szCs w:val="16"/>
          </w:rPr>
          <w:t>https://eur-lex.europa.eu/legal-content/EN/TXT/?uri=CELEX:32007L0060</w:t>
        </w:r>
      </w:hyperlink>
      <w:r w:rsidRPr="00763725">
        <w:rPr>
          <w:rFonts w:ascii="Verdana" w:hAnsi="Verdana"/>
          <w:sz w:val="16"/>
          <w:szCs w:val="16"/>
        </w:rPr>
        <w:t xml:space="preserve"> </w:t>
      </w:r>
    </w:p>
  </w:footnote>
  <w:footnote w:id="3">
    <w:p w14:paraId="18D60C5C" w14:textId="77777777" w:rsidR="00763725" w:rsidRPr="00763725" w:rsidRDefault="00763725" w:rsidP="00763725">
      <w:pPr>
        <w:spacing w:after="120"/>
        <w:rPr>
          <w:rFonts w:ascii="Verdana" w:hAnsi="Verdana"/>
          <w:sz w:val="16"/>
          <w:szCs w:val="16"/>
          <w:lang w:val="en-US"/>
        </w:rPr>
      </w:pPr>
      <w:r w:rsidRPr="00763725">
        <w:rPr>
          <w:rStyle w:val="FootnoteReference"/>
          <w:rFonts w:ascii="Verdana" w:hAnsi="Verdana"/>
          <w:sz w:val="16"/>
          <w:szCs w:val="16"/>
        </w:rPr>
        <w:footnoteRef/>
      </w:r>
      <w:r w:rsidRPr="00763725">
        <w:rPr>
          <w:rFonts w:ascii="Verdana" w:hAnsi="Verdana"/>
          <w:sz w:val="16"/>
          <w:szCs w:val="16"/>
          <w:lang w:val="en-US"/>
        </w:rPr>
        <w:t xml:space="preserve"> European Commission. 2019. Report from the Commission to the European Parliament and the Council on the implementation of the Water Framework Directive (2000/60/EC) and the Floods Directive (2007/60/EC). Second River Basin Management Plans and First Flood Risk Management Plans. COM(2019) 95 final. The value includes the UK.</w:t>
      </w:r>
    </w:p>
  </w:footnote>
  <w:footnote w:id="4">
    <w:p w14:paraId="66A4F020" w14:textId="77777777" w:rsidR="00763725" w:rsidRPr="00763725" w:rsidRDefault="00763725" w:rsidP="00763725">
      <w:pPr>
        <w:spacing w:after="120"/>
        <w:rPr>
          <w:rFonts w:ascii="Verdana" w:hAnsi="Verdana"/>
          <w:sz w:val="16"/>
          <w:szCs w:val="16"/>
          <w:lang w:val="en-US"/>
        </w:rPr>
      </w:pPr>
      <w:r w:rsidRPr="00763725">
        <w:rPr>
          <w:rStyle w:val="FootnoteReference"/>
          <w:rFonts w:ascii="Verdana" w:hAnsi="Verdana"/>
          <w:sz w:val="16"/>
          <w:szCs w:val="16"/>
        </w:rPr>
        <w:footnoteRef/>
      </w:r>
      <w:r w:rsidRPr="00763725">
        <w:rPr>
          <w:rFonts w:ascii="Verdana" w:hAnsi="Verdana"/>
          <w:sz w:val="16"/>
          <w:szCs w:val="16"/>
          <w:lang w:val="en-US"/>
        </w:rPr>
        <w:t xml:space="preserve"> For an analysis of the challenges relevant to the WFD implementation, see e.g. Integrated Assessment of the 2nd River Basin Management Plans: EU-wide storyline report. 2018. </w:t>
      </w:r>
    </w:p>
  </w:footnote>
  <w:footnote w:id="5">
    <w:p w14:paraId="609CD922" w14:textId="77777777" w:rsidR="00763725" w:rsidRPr="007524C6" w:rsidRDefault="00763725" w:rsidP="007524C6">
      <w:pPr>
        <w:spacing w:after="120"/>
        <w:rPr>
          <w:rFonts w:ascii="Verdana" w:hAnsi="Verdana"/>
          <w:sz w:val="16"/>
          <w:szCs w:val="16"/>
          <w:lang w:val="en-US"/>
        </w:rPr>
      </w:pPr>
      <w:r>
        <w:rPr>
          <w:rStyle w:val="FootnoteReference"/>
        </w:rPr>
        <w:footnoteRef/>
      </w:r>
      <w:r w:rsidRPr="00763725">
        <w:rPr>
          <w:lang w:val="en-US"/>
        </w:rPr>
        <w:t xml:space="preserve"> </w:t>
      </w:r>
      <w:r w:rsidRPr="007524C6">
        <w:rPr>
          <w:rFonts w:ascii="Verdana" w:hAnsi="Verdana"/>
          <w:sz w:val="16"/>
          <w:szCs w:val="16"/>
          <w:lang w:val="en-US"/>
        </w:rPr>
        <w:t>European Commission. 2019. Report from the Commission to the European Parliament and the Council on the implementation of the Water Framework Directive (2000/60/EC) and the Floods Directive (2007/60/EC). Second River Basin Management Plans and First Flood Risk Management Plans. COM(2019) 95 final</w:t>
      </w:r>
    </w:p>
  </w:footnote>
  <w:footnote w:id="6">
    <w:p w14:paraId="7C42E190" w14:textId="77777777" w:rsidR="00763725" w:rsidRPr="007524C6" w:rsidRDefault="00763725" w:rsidP="007524C6">
      <w:pPr>
        <w:spacing w:after="120"/>
        <w:rPr>
          <w:rFonts w:ascii="Verdana" w:hAnsi="Verdana"/>
          <w:sz w:val="16"/>
          <w:szCs w:val="16"/>
          <w:lang w:val="en-US"/>
        </w:rPr>
      </w:pPr>
      <w:r w:rsidRPr="007524C6">
        <w:rPr>
          <w:rStyle w:val="FootnoteReference"/>
          <w:rFonts w:ascii="Verdana" w:hAnsi="Verdana"/>
          <w:sz w:val="16"/>
          <w:szCs w:val="16"/>
        </w:rPr>
        <w:footnoteRef/>
      </w:r>
      <w:r w:rsidRPr="007524C6">
        <w:rPr>
          <w:rFonts w:ascii="Verdana" w:hAnsi="Verdana"/>
          <w:sz w:val="16"/>
          <w:szCs w:val="16"/>
          <w:lang w:val="en-US"/>
        </w:rPr>
        <w:t xml:space="preserve"> Integrated Assessment of the 2nd River Basin Management Plans: EU-wide storyline report. 2018</w:t>
      </w:r>
    </w:p>
  </w:footnote>
  <w:footnote w:id="7">
    <w:p w14:paraId="2CD446F4" w14:textId="77777777" w:rsidR="00763725" w:rsidRPr="00AD0341" w:rsidRDefault="00763725" w:rsidP="007524C6">
      <w:pPr>
        <w:spacing w:after="120"/>
        <w:rPr>
          <w:rFonts w:ascii="Verdana" w:hAnsi="Verdana"/>
          <w:sz w:val="16"/>
          <w:szCs w:val="16"/>
          <w:lang w:val="en-US"/>
        </w:rPr>
      </w:pPr>
      <w:r w:rsidRPr="007524C6">
        <w:rPr>
          <w:rStyle w:val="FootnoteReference"/>
          <w:rFonts w:ascii="Verdana" w:hAnsi="Verdana"/>
          <w:sz w:val="16"/>
          <w:szCs w:val="16"/>
        </w:rPr>
        <w:footnoteRef/>
      </w:r>
      <w:r w:rsidRPr="007524C6">
        <w:rPr>
          <w:rFonts w:ascii="Verdana" w:hAnsi="Verdana"/>
          <w:sz w:val="16"/>
          <w:szCs w:val="16"/>
          <w:lang w:val="en-US"/>
        </w:rPr>
        <w:t xml:space="preserve"> Integrated Assessment of the 2nd River Basin Management Plans: EU-wide storyline report. </w:t>
      </w:r>
      <w:r w:rsidRPr="00AD0341">
        <w:rPr>
          <w:rFonts w:ascii="Verdana" w:hAnsi="Verdana"/>
          <w:sz w:val="16"/>
          <w:szCs w:val="16"/>
          <w:lang w:val="en-US"/>
        </w:rPr>
        <w:t>2018</w:t>
      </w:r>
    </w:p>
  </w:footnote>
  <w:footnote w:id="8">
    <w:p w14:paraId="68B4416A" w14:textId="77777777" w:rsidR="00FF4526" w:rsidRPr="007033B1" w:rsidRDefault="00FF4526" w:rsidP="007033B1">
      <w:pPr>
        <w:pStyle w:val="FootnoteText"/>
        <w:spacing w:after="120"/>
        <w:rPr>
          <w:rFonts w:ascii="Verdana" w:hAnsi="Verdana"/>
          <w:sz w:val="16"/>
          <w:szCs w:val="16"/>
          <w:lang w:val="en-US"/>
        </w:rPr>
      </w:pPr>
      <w:r>
        <w:rPr>
          <w:rStyle w:val="FootnoteReference"/>
        </w:rPr>
        <w:footnoteRef/>
      </w:r>
      <w:r w:rsidRPr="00FF4526">
        <w:rPr>
          <w:lang w:val="en-US"/>
        </w:rPr>
        <w:t xml:space="preserve"> </w:t>
      </w:r>
      <w:r w:rsidRPr="007033B1">
        <w:rPr>
          <w:rFonts w:ascii="Verdana" w:hAnsi="Verdana"/>
          <w:sz w:val="16"/>
          <w:szCs w:val="16"/>
          <w:lang w:val="en-US"/>
        </w:rPr>
        <w:t>Via the Ad-hoc Task Group (ATG) on Economics of the Common Implementation Strategy (CIS)</w:t>
      </w:r>
    </w:p>
  </w:footnote>
  <w:footnote w:id="9">
    <w:p w14:paraId="663E73F2" w14:textId="77777777" w:rsidR="00FF4526" w:rsidRPr="007033B1" w:rsidRDefault="00FF4526" w:rsidP="007033B1">
      <w:pPr>
        <w:pStyle w:val="FootnoteText"/>
        <w:spacing w:after="120"/>
        <w:rPr>
          <w:rFonts w:ascii="Verdana" w:hAnsi="Verdana"/>
          <w:sz w:val="16"/>
          <w:szCs w:val="16"/>
          <w:lang w:val="en-US"/>
        </w:rPr>
      </w:pPr>
      <w:r w:rsidRPr="007033B1">
        <w:rPr>
          <w:rStyle w:val="FootnoteReference"/>
          <w:rFonts w:ascii="Verdana" w:hAnsi="Verdana"/>
          <w:sz w:val="16"/>
          <w:szCs w:val="16"/>
        </w:rPr>
        <w:footnoteRef/>
      </w:r>
      <w:r w:rsidRPr="007033B1">
        <w:rPr>
          <w:rFonts w:ascii="Verdana" w:hAnsi="Verdana"/>
          <w:sz w:val="16"/>
          <w:szCs w:val="16"/>
          <w:lang w:val="en-US"/>
        </w:rPr>
        <w:t xml:space="preserve"> </w:t>
      </w:r>
      <w:hyperlink r:id="rId3" w:history="1">
        <w:r w:rsidRPr="007033B1">
          <w:rPr>
            <w:rStyle w:val="Hyperlink"/>
            <w:rFonts w:ascii="Verdana" w:hAnsi="Verdana"/>
            <w:sz w:val="16"/>
            <w:szCs w:val="16"/>
            <w:lang w:val="en-US"/>
          </w:rPr>
          <w:t>https://circabc.europa.eu/ui/group/9ab5926d-bed4-4322-9aa7-9964bbe8312d/library/36226ee2-d311-401f-8b7c-35b3b4d21990?p=1&amp;n=10&amp;sort=modified_DESC</w:t>
        </w:r>
      </w:hyperlink>
    </w:p>
  </w:footnote>
  <w:footnote w:id="10">
    <w:p w14:paraId="6CE81C85" w14:textId="77777777" w:rsidR="007303B7" w:rsidRPr="007303B7" w:rsidRDefault="007303B7" w:rsidP="007303B7">
      <w:pPr>
        <w:rPr>
          <w:lang w:val="en-US"/>
        </w:rPr>
      </w:pPr>
      <w:r>
        <w:rPr>
          <w:rStyle w:val="FootnoteReference"/>
        </w:rPr>
        <w:footnoteRef/>
      </w:r>
      <w:r w:rsidRPr="009E7520">
        <w:rPr>
          <w:rFonts w:ascii="Verdana" w:hAnsi="Verdana"/>
          <w:sz w:val="16"/>
          <w:szCs w:val="16"/>
          <w:lang w:val="en-US"/>
        </w:rPr>
        <w:t xml:space="preserve"> EEA (2018) reports 38% are in good chemical status as the numbers are inclusive of the UK.</w:t>
      </w:r>
    </w:p>
  </w:footnote>
  <w:footnote w:id="11">
    <w:p w14:paraId="1F9B1D98" w14:textId="77777777" w:rsidR="007303B7" w:rsidRPr="00B16E17" w:rsidRDefault="007303B7" w:rsidP="00B16E17">
      <w:pPr>
        <w:pStyle w:val="FootnoteText"/>
        <w:spacing w:after="120"/>
        <w:rPr>
          <w:rFonts w:ascii="Verdana" w:hAnsi="Verdana"/>
          <w:sz w:val="16"/>
          <w:szCs w:val="16"/>
          <w:lang w:val="en-US"/>
        </w:rPr>
      </w:pPr>
      <w:r>
        <w:rPr>
          <w:rStyle w:val="FootnoteReference"/>
        </w:rPr>
        <w:footnoteRef/>
      </w:r>
      <w:r w:rsidRPr="007303B7">
        <w:rPr>
          <w:lang w:val="en-US"/>
        </w:rPr>
        <w:t xml:space="preserve"> </w:t>
      </w:r>
      <w:r w:rsidRPr="00B16E17">
        <w:rPr>
          <w:rFonts w:ascii="Verdana" w:hAnsi="Verdana"/>
          <w:sz w:val="16"/>
          <w:szCs w:val="16"/>
          <w:lang w:val="en-US"/>
        </w:rPr>
        <w:t>EEA, European waters. Assessment of status and pressures, 2018</w:t>
      </w:r>
    </w:p>
  </w:footnote>
  <w:footnote w:id="12">
    <w:p w14:paraId="1CCB0CB0" w14:textId="77777777" w:rsidR="007303B7" w:rsidRPr="007303B7" w:rsidRDefault="007303B7" w:rsidP="00B16E17">
      <w:pPr>
        <w:pStyle w:val="FootnoteText"/>
        <w:spacing w:after="120"/>
        <w:rPr>
          <w:lang w:val="en-US"/>
        </w:rPr>
      </w:pPr>
      <w:r w:rsidRPr="00B16E17">
        <w:rPr>
          <w:rStyle w:val="FootnoteReference"/>
          <w:rFonts w:ascii="Verdana" w:hAnsi="Verdana"/>
          <w:sz w:val="16"/>
          <w:szCs w:val="16"/>
        </w:rPr>
        <w:footnoteRef/>
      </w:r>
      <w:r w:rsidRPr="00B16E17">
        <w:rPr>
          <w:rFonts w:ascii="Verdana" w:hAnsi="Verdana"/>
          <w:sz w:val="16"/>
          <w:szCs w:val="16"/>
          <w:lang w:val="en-US"/>
        </w:rPr>
        <w:t xml:space="preserve"> European Commission, Fitness Check Evaluation of the Water Framework Directive and the Floods Directive, 2019</w:t>
      </w:r>
    </w:p>
  </w:footnote>
  <w:footnote w:id="13">
    <w:p w14:paraId="587BB780" w14:textId="77777777" w:rsidR="009D6273" w:rsidRPr="00B16E17" w:rsidRDefault="009D6273" w:rsidP="00B16E17">
      <w:pPr>
        <w:pStyle w:val="WDBodySmall"/>
        <w:spacing w:after="120"/>
        <w:rPr>
          <w:rFonts w:ascii="Verdana" w:hAnsi="Verdana" w:cs="Segoe UI"/>
        </w:rPr>
      </w:pPr>
      <w:r>
        <w:rPr>
          <w:rStyle w:val="FootnoteReference"/>
        </w:rPr>
        <w:footnoteRef/>
      </w:r>
      <w:r>
        <w:t xml:space="preserve"> </w:t>
      </w:r>
      <w:r w:rsidRPr="00B16E17">
        <w:rPr>
          <w:rFonts w:ascii="Verdana" w:hAnsi="Verdana" w:cs="Segoe UI"/>
        </w:rPr>
        <w:t>European Commission, Report from the Commission to the European Parliament and the Council on the Implementation of the Water Framework Directive (2000/60/EC) and the Floods Directive (2007/60/EC), 2019</w:t>
      </w:r>
    </w:p>
  </w:footnote>
  <w:footnote w:id="14">
    <w:p w14:paraId="1D3B7E3F" w14:textId="77777777" w:rsidR="009D6273" w:rsidRPr="00B16E17" w:rsidRDefault="009D6273" w:rsidP="00B16E17">
      <w:pPr>
        <w:pStyle w:val="WDBodySmall"/>
        <w:spacing w:after="120"/>
        <w:rPr>
          <w:rFonts w:ascii="Verdana" w:hAnsi="Verdana" w:cs="Segoe UI"/>
        </w:rPr>
      </w:pPr>
      <w:r w:rsidRPr="00B16E17">
        <w:rPr>
          <w:rStyle w:val="FootnoteReference"/>
          <w:rFonts w:ascii="Verdana" w:hAnsi="Verdana" w:cs="Segoe UI"/>
        </w:rPr>
        <w:footnoteRef/>
      </w:r>
      <w:r w:rsidRPr="00B16E17">
        <w:rPr>
          <w:rFonts w:ascii="Verdana" w:hAnsi="Verdana" w:cs="Segoe UI"/>
        </w:rPr>
        <w:t xml:space="preserve"> Pressure type - all except Unpopulated/Category - all except Unpopulated /Type - all except Unpopulated/ Ecological status - all except Unpopulated / Chemical status - all except Unpopulated/ EU27 (total excluding UK)</w:t>
      </w:r>
    </w:p>
  </w:footnote>
  <w:footnote w:id="15">
    <w:p w14:paraId="0E66FB13" w14:textId="77777777" w:rsidR="009D6273" w:rsidRPr="00B16E17" w:rsidRDefault="009D6273" w:rsidP="00B16E17">
      <w:pPr>
        <w:pStyle w:val="WDBodySmall"/>
        <w:spacing w:after="120"/>
        <w:rPr>
          <w:rFonts w:ascii="Verdana" w:hAnsi="Verdana"/>
        </w:rPr>
      </w:pPr>
      <w:r>
        <w:rPr>
          <w:rStyle w:val="FootnoteReference"/>
        </w:rPr>
        <w:footnoteRef/>
      </w:r>
      <w:r>
        <w:t xml:space="preserve"> </w:t>
      </w:r>
      <w:r w:rsidRPr="00B16E17">
        <w:rPr>
          <w:rFonts w:ascii="Verdana" w:hAnsi="Verdana"/>
        </w:rPr>
        <w:t>Impact type - all except Unpopulated /Category - all except Unpopulated /Type - all except Unpopulated /Ecological status - all except Unpopulated /Chemical status - all except Unpopulated /EU27 (total excluding UK)</w:t>
      </w:r>
    </w:p>
  </w:footnote>
  <w:footnote w:id="16">
    <w:p w14:paraId="1FBAC69F" w14:textId="77777777" w:rsidR="009D6273" w:rsidRPr="00B16E17" w:rsidRDefault="009D6273" w:rsidP="00B16E17">
      <w:pPr>
        <w:pStyle w:val="WDBodySmall"/>
        <w:spacing w:after="120"/>
        <w:rPr>
          <w:rFonts w:ascii="Verdana" w:hAnsi="Verdana"/>
        </w:rPr>
      </w:pPr>
      <w:r w:rsidRPr="00B16E17">
        <w:rPr>
          <w:rStyle w:val="FootnoteReference"/>
          <w:rFonts w:ascii="Verdana" w:hAnsi="Verdana"/>
        </w:rPr>
        <w:footnoteRef/>
      </w:r>
      <w:r w:rsidRPr="00B16E17">
        <w:rPr>
          <w:rFonts w:ascii="Verdana" w:hAnsi="Verdana"/>
        </w:rPr>
        <w:t xml:space="preserve"> The values are different to those reported in the EEA (2018) as those are inclusive of the UK.</w:t>
      </w:r>
    </w:p>
  </w:footnote>
  <w:footnote w:id="17">
    <w:p w14:paraId="5B627683" w14:textId="77777777" w:rsidR="009D6273" w:rsidRPr="00B16E17" w:rsidRDefault="009D6273" w:rsidP="00B16E17">
      <w:pPr>
        <w:pStyle w:val="WDBodySmall"/>
        <w:spacing w:after="120"/>
        <w:rPr>
          <w:rFonts w:ascii="Verdana" w:hAnsi="Verdana"/>
        </w:rPr>
      </w:pPr>
      <w:r w:rsidRPr="00B16E17">
        <w:rPr>
          <w:rStyle w:val="FootnoteReference"/>
          <w:rFonts w:ascii="Verdana" w:hAnsi="Verdana"/>
        </w:rPr>
        <w:footnoteRef/>
      </w:r>
      <w:r w:rsidRPr="00B16E17">
        <w:rPr>
          <w:rFonts w:ascii="Verdana" w:hAnsi="Verdana"/>
        </w:rPr>
        <w:t xml:space="preserve"> Pressure type - all except Unpopulated/Category - all except Unpopulated /Type - all except Unpopulated/ Ecological status - all except Unpopulated / Chemical status - all except Unpopulated/ EU27 (total excluding UK)</w:t>
      </w:r>
    </w:p>
  </w:footnote>
  <w:footnote w:id="18">
    <w:p w14:paraId="6B6954A2" w14:textId="77777777" w:rsidR="009D6273" w:rsidRPr="00B16E17" w:rsidRDefault="009D6273" w:rsidP="00B16E17">
      <w:pPr>
        <w:pStyle w:val="WDBodySmall"/>
        <w:spacing w:after="120"/>
        <w:rPr>
          <w:rFonts w:ascii="Verdana" w:hAnsi="Verdana"/>
        </w:rPr>
      </w:pPr>
      <w:r w:rsidRPr="00B16E17">
        <w:rPr>
          <w:rStyle w:val="FootnoteReference"/>
          <w:rFonts w:ascii="Verdana" w:hAnsi="Verdana"/>
        </w:rPr>
        <w:footnoteRef/>
      </w:r>
      <w:r w:rsidRPr="00B16E17">
        <w:rPr>
          <w:rFonts w:ascii="Verdana" w:hAnsi="Verdana"/>
        </w:rPr>
        <w:t xml:space="preserve"> European Commission, Fitness Check Evaluation of the Water Framework Directive and the Floods Directive, 2019</w:t>
      </w:r>
    </w:p>
  </w:footnote>
  <w:footnote w:id="19">
    <w:p w14:paraId="42E0AAE9" w14:textId="77777777" w:rsidR="009D6273" w:rsidRDefault="009D6273" w:rsidP="009D6273">
      <w:pPr>
        <w:pStyle w:val="WDBodySmall"/>
      </w:pPr>
      <w:r>
        <w:rPr>
          <w:rStyle w:val="FootnoteReference"/>
        </w:rPr>
        <w:footnoteRef/>
      </w:r>
      <w:r>
        <w:t xml:space="preserve"> </w:t>
      </w:r>
      <w:r w:rsidRPr="00EC6197">
        <w:t>Impact type - all except Unpopulated /Category - all except Unpopulated /Type - all except Unpopulated /Ecological status - all except Unpopulated /Chemical status - all except Unpopulated /EU27 (total excluding UK)</w:t>
      </w:r>
    </w:p>
  </w:footnote>
  <w:footnote w:id="20">
    <w:p w14:paraId="7991CDE4" w14:textId="77777777" w:rsidR="00365B66" w:rsidRDefault="00365B66" w:rsidP="00365B66">
      <w:pPr>
        <w:pStyle w:val="WDBodySmall"/>
      </w:pPr>
      <w:r>
        <w:rPr>
          <w:rStyle w:val="FootnoteReference"/>
        </w:rPr>
        <w:footnoteRef/>
      </w:r>
      <w:r>
        <w:t xml:space="preserve"> </w:t>
      </w:r>
      <w:r w:rsidRPr="00975566">
        <w:t>Member States should prepare one FRMP for each RBD or UoM that contain APSFRs, or a set of FRMPs coordinated at the level of the RBD (Article 8.1).</w:t>
      </w:r>
    </w:p>
  </w:footnote>
  <w:footnote w:id="21">
    <w:p w14:paraId="699496D7" w14:textId="77777777" w:rsidR="00365B66" w:rsidRDefault="00365B66" w:rsidP="00365B66">
      <w:pPr>
        <w:pStyle w:val="WDBodySmall"/>
      </w:pPr>
      <w:r>
        <w:rPr>
          <w:rStyle w:val="FootnoteReference"/>
        </w:rPr>
        <w:footnoteRef/>
      </w:r>
      <w:r>
        <w:t xml:space="preserve"> European Commission, Report from the Commission to the European Parliament and the Council. Implementation of the Water Framework Directive (2000/60/EC) and the Floods Directive (2007/60/EC) - European Overview - Flood Risk Management Plans, 2019, SWD(2019)31 Final</w:t>
      </w:r>
    </w:p>
  </w:footnote>
  <w:footnote w:id="22">
    <w:p w14:paraId="046BAF6B" w14:textId="77777777" w:rsidR="00365B66" w:rsidRDefault="00365B66" w:rsidP="00365B66">
      <w:pPr>
        <w:pStyle w:val="WDBodySmall"/>
      </w:pPr>
      <w:r>
        <w:rPr>
          <w:rStyle w:val="FootnoteReference"/>
        </w:rPr>
        <w:footnoteRef/>
      </w:r>
      <w:r>
        <w:t xml:space="preserve"> European Commission, </w:t>
      </w:r>
      <w:r w:rsidRPr="00815085">
        <w:t xml:space="preserve">Fitness Check Evaluation of the Water Framework </w:t>
      </w:r>
      <w:r>
        <w:t>Directive</w:t>
      </w:r>
      <w:r w:rsidRPr="00815085">
        <w:t xml:space="preserve"> and the Floods </w:t>
      </w:r>
      <w:r>
        <w:t>Directive, 2019</w:t>
      </w:r>
    </w:p>
  </w:footnote>
  <w:footnote w:id="23">
    <w:p w14:paraId="32355245" w14:textId="77777777" w:rsidR="00365B66" w:rsidRDefault="00365B66" w:rsidP="00365B66">
      <w:pPr>
        <w:pStyle w:val="WDBodySmall"/>
      </w:pPr>
      <w:r>
        <w:rPr>
          <w:rStyle w:val="FootnoteReference"/>
        </w:rPr>
        <w:footnoteRef/>
      </w:r>
      <w:r>
        <w:t xml:space="preserve"> European Commission, Report from the Commission to the European Parliament and the Council. Implementation of the Water Framework Directive (2000/60/EC) and the Floods Directive (2007/60/EC) - European Overview - Flood Risk Management Plans, 2019, SWD(2019)31 Final</w:t>
      </w:r>
    </w:p>
  </w:footnote>
  <w:footnote w:id="24">
    <w:p w14:paraId="0ED317A2" w14:textId="77777777" w:rsidR="00B53996" w:rsidRPr="00EB3A2A" w:rsidRDefault="00B53996" w:rsidP="00B53996">
      <w:pPr>
        <w:pStyle w:val="WDBodySmall"/>
      </w:pPr>
      <w:r w:rsidRPr="00EB3A2A">
        <w:rPr>
          <w:rStyle w:val="FootnoteReference"/>
          <w:rFonts w:eastAsiaTheme="majorEastAsia"/>
        </w:rPr>
        <w:footnoteRef/>
      </w:r>
      <w:r w:rsidRPr="00EB3A2A">
        <w:t xml:space="preserve"> </w:t>
      </w:r>
      <w:r w:rsidRPr="00C24137">
        <w:t>OECD, 2011. Meeting the Challenge of Financing Water and Sanitation. Tools and Approaches</w:t>
      </w:r>
    </w:p>
  </w:footnote>
  <w:footnote w:id="25">
    <w:p w14:paraId="533E5E05" w14:textId="77777777" w:rsidR="00B53996" w:rsidRPr="008C5A32" w:rsidRDefault="00B53996" w:rsidP="00B53996">
      <w:pPr>
        <w:pStyle w:val="WDBodySmall"/>
      </w:pPr>
      <w:r w:rsidRPr="00EB3A2A">
        <w:rPr>
          <w:rStyle w:val="FootnoteReference"/>
          <w:rFonts w:eastAsiaTheme="majorEastAsia"/>
        </w:rPr>
        <w:footnoteRef/>
      </w:r>
      <w:r w:rsidRPr="00EB3A2A">
        <w:t xml:space="preserve"> </w:t>
      </w:r>
      <w:r w:rsidRPr="00C24137">
        <w:t>OECD, 2012. A Framework for Financing Water Resources Management</w:t>
      </w:r>
    </w:p>
  </w:footnote>
  <w:footnote w:id="26">
    <w:p w14:paraId="4F0C7F96" w14:textId="77777777" w:rsidR="006B31EF" w:rsidRPr="000F4A43" w:rsidRDefault="006B31EF" w:rsidP="000F4A43">
      <w:pPr>
        <w:pStyle w:val="WDBodySmall"/>
        <w:spacing w:after="120"/>
        <w:rPr>
          <w:rFonts w:ascii="Verdana" w:hAnsi="Verdana"/>
          <w:sz w:val="14"/>
          <w:szCs w:val="14"/>
        </w:rPr>
      </w:pPr>
      <w:r>
        <w:rPr>
          <w:rStyle w:val="FootnoteReference"/>
        </w:rPr>
        <w:footnoteRef/>
      </w:r>
      <w:r>
        <w:t xml:space="preserve"> </w:t>
      </w:r>
      <w:r w:rsidRPr="000F4A43">
        <w:rPr>
          <w:rFonts w:ascii="Verdana" w:hAnsi="Verdana"/>
          <w:sz w:val="14"/>
          <w:szCs w:val="14"/>
        </w:rPr>
        <w:t>European Commission, Report from the Commission to the European Parliament and the Council. Implementation of the Water Framework Directive (2000/60/EC) and the Floods Directive (2007/60/EC), 2019</w:t>
      </w:r>
    </w:p>
  </w:footnote>
  <w:footnote w:id="27">
    <w:p w14:paraId="2D877E3A" w14:textId="77777777" w:rsidR="006B31EF" w:rsidRPr="000F4A43" w:rsidRDefault="006B31EF" w:rsidP="000F4A43">
      <w:pPr>
        <w:pStyle w:val="WDBodySmall"/>
        <w:spacing w:after="120"/>
        <w:rPr>
          <w:rFonts w:ascii="Verdana" w:hAnsi="Verdana"/>
          <w:sz w:val="14"/>
          <w:szCs w:val="14"/>
        </w:rPr>
      </w:pPr>
      <w:r w:rsidRPr="000F4A43">
        <w:rPr>
          <w:rStyle w:val="FootnoteReference"/>
          <w:rFonts w:ascii="Verdana" w:hAnsi="Verdana"/>
          <w:sz w:val="14"/>
          <w:szCs w:val="14"/>
        </w:rPr>
        <w:footnoteRef/>
      </w:r>
      <w:r w:rsidRPr="000F4A43">
        <w:rPr>
          <w:rFonts w:ascii="Verdana" w:hAnsi="Verdana"/>
          <w:sz w:val="14"/>
          <w:szCs w:val="14"/>
        </w:rPr>
        <w:t xml:space="preserve"> As a result of manual aggregation of costs in some RBMPs as part of this study.</w:t>
      </w:r>
    </w:p>
  </w:footnote>
  <w:footnote w:id="28">
    <w:p w14:paraId="42023DA7" w14:textId="77777777" w:rsidR="006B31EF" w:rsidRPr="000F4A43" w:rsidRDefault="006B31EF" w:rsidP="000F4A43">
      <w:pPr>
        <w:autoSpaceDE w:val="0"/>
        <w:autoSpaceDN w:val="0"/>
        <w:adjustRightInd w:val="0"/>
        <w:spacing w:after="120"/>
        <w:rPr>
          <w:rFonts w:ascii="Verdana" w:hAnsi="Verdana"/>
          <w:sz w:val="14"/>
          <w:szCs w:val="14"/>
          <w:lang w:val="en-US"/>
        </w:rPr>
      </w:pPr>
      <w:r w:rsidRPr="000F4A43">
        <w:rPr>
          <w:rStyle w:val="FootnoteReference"/>
          <w:rFonts w:ascii="Verdana" w:hAnsi="Verdana" w:cs="Segoe UI"/>
          <w:sz w:val="14"/>
          <w:szCs w:val="14"/>
        </w:rPr>
        <w:footnoteRef/>
      </w:r>
      <w:r w:rsidRPr="000F4A43">
        <w:rPr>
          <w:rFonts w:ascii="Verdana" w:hAnsi="Verdana" w:cs="Segoe UI"/>
          <w:sz w:val="14"/>
          <w:szCs w:val="14"/>
          <w:lang w:val="en-US"/>
        </w:rPr>
        <w:t xml:space="preserve"> It is also noted that OECD (2020) report estimates that additional expenditures for water supply and sanitation would amount to EUR289 billion for the 28 member states by 2030. The values differ due to different scope and timeline of the assessments. </w:t>
      </w:r>
      <w:r w:rsidRPr="000F4A43">
        <w:rPr>
          <w:rFonts w:ascii="Verdana" w:eastAsiaTheme="minorHAnsi" w:hAnsi="Verdana" w:cs="Segoe UI"/>
          <w:sz w:val="14"/>
          <w:szCs w:val="14"/>
          <w:lang w:val="en-US"/>
        </w:rPr>
        <w:t xml:space="preserve">OECD (2020), </w:t>
      </w:r>
      <w:r w:rsidRPr="000F4A43">
        <w:rPr>
          <w:rFonts w:ascii="Verdana" w:eastAsiaTheme="minorHAnsi" w:hAnsi="Verdana" w:cs="Segoe UI"/>
          <w:i/>
          <w:iCs/>
          <w:sz w:val="14"/>
          <w:szCs w:val="14"/>
          <w:lang w:val="en-US"/>
        </w:rPr>
        <w:t>Financing Water Supply, Sanitation and Flood Protection: Challenges in EU Member States and Policy Options</w:t>
      </w:r>
      <w:r w:rsidRPr="000F4A43">
        <w:rPr>
          <w:rFonts w:ascii="Verdana" w:eastAsiaTheme="minorHAnsi" w:hAnsi="Verdana" w:cs="Segoe UI"/>
          <w:sz w:val="14"/>
          <w:szCs w:val="14"/>
          <w:lang w:val="en-US"/>
        </w:rPr>
        <w:t xml:space="preserve">, OECD Studies on Water, OECD Publishing, Paris, </w:t>
      </w:r>
      <w:r w:rsidRPr="000F4A43">
        <w:rPr>
          <w:rFonts w:ascii="Verdana" w:eastAsiaTheme="minorHAnsi" w:hAnsi="Verdana" w:cs="Segoe UI"/>
          <w:i/>
          <w:iCs/>
          <w:sz w:val="14"/>
          <w:szCs w:val="14"/>
          <w:lang w:val="en-US"/>
        </w:rPr>
        <w:t>https://doi.org/10.1787/6893cdac-en</w:t>
      </w:r>
    </w:p>
  </w:footnote>
  <w:footnote w:id="29">
    <w:p w14:paraId="6B040D8D" w14:textId="77777777" w:rsidR="006B31EF" w:rsidRPr="000F4A43" w:rsidRDefault="006B31EF" w:rsidP="000F4A43">
      <w:pPr>
        <w:pStyle w:val="FootnoteText"/>
        <w:spacing w:after="120"/>
        <w:rPr>
          <w:rFonts w:ascii="Verdana" w:hAnsi="Verdana"/>
          <w:sz w:val="14"/>
          <w:szCs w:val="14"/>
          <w:lang w:val="en-US"/>
        </w:rPr>
      </w:pPr>
      <w:r w:rsidRPr="000F4A43">
        <w:rPr>
          <w:rStyle w:val="FootnoteReference"/>
          <w:rFonts w:ascii="Verdana" w:hAnsi="Verdana"/>
          <w:sz w:val="14"/>
          <w:szCs w:val="14"/>
        </w:rPr>
        <w:footnoteRef/>
      </w:r>
      <w:r w:rsidRPr="000F4A43">
        <w:rPr>
          <w:rFonts w:ascii="Verdana" w:hAnsi="Verdana"/>
          <w:sz w:val="14"/>
          <w:szCs w:val="14"/>
          <w:lang w:val="en-US"/>
        </w:rPr>
        <w:t xml:space="preserve"> It is noted that allocation of measures to basic or supplementary measures may differ across and within countries. For instance, in Germany, the allocation of measures (e.g. wastewater treatment) to basic and supplementary measures is interpreted differently across "Länder".</w:t>
      </w:r>
    </w:p>
  </w:footnote>
  <w:footnote w:id="30">
    <w:p w14:paraId="1588CAEB" w14:textId="77777777" w:rsidR="006B31EF" w:rsidRDefault="006B31EF" w:rsidP="006B31EF">
      <w:pPr>
        <w:pStyle w:val="WDBodySmall"/>
      </w:pPr>
      <w:r>
        <w:rPr>
          <w:rStyle w:val="FootnoteReference"/>
        </w:rPr>
        <w:footnoteRef/>
      </w:r>
      <w:r>
        <w:t xml:space="preserve"> European Commission, Report from the Commission to the European Parliament and the Council. Implementation of the Water Framework Directive (2000/60/EC) and the Floods Directive (2007/60/EC), 2019</w:t>
      </w:r>
    </w:p>
  </w:footnote>
  <w:footnote w:id="31">
    <w:p w14:paraId="3BDD540A" w14:textId="77777777" w:rsidR="006B31EF" w:rsidRDefault="006B31EF" w:rsidP="006B31EF">
      <w:pPr>
        <w:pStyle w:val="WDBodySmall"/>
      </w:pPr>
      <w:r>
        <w:rPr>
          <w:rStyle w:val="FootnoteReference"/>
        </w:rPr>
        <w:footnoteRef/>
      </w:r>
      <w:r>
        <w:t xml:space="preserve"> European Commission, Report from the Commission to the European Parliament and the Council. Implementation of the Water Framework Directive (2000/60/EC) and the Floods Directive (2007/60/EC), 2019</w:t>
      </w:r>
    </w:p>
  </w:footnote>
  <w:footnote w:id="32">
    <w:p w14:paraId="34EDE617" w14:textId="77777777" w:rsidR="006B31EF" w:rsidRDefault="006B31EF" w:rsidP="006B31EF">
      <w:pPr>
        <w:pStyle w:val="WDBodySmall"/>
      </w:pPr>
      <w:r>
        <w:rPr>
          <w:rStyle w:val="FootnoteReference"/>
        </w:rPr>
        <w:footnoteRef/>
      </w:r>
      <w:r>
        <w:t xml:space="preserve"> Once the countries that only provide cost estimates for basic (Luxembourg) or supplementary measures (Belgium, Netherlands, Lithuania) are excluded.</w:t>
      </w:r>
      <w:r w:rsidRPr="00570C77">
        <w:t xml:space="preserve"> </w:t>
      </w:r>
      <w:r>
        <w:t xml:space="preserve">Czechia reported EUR 0 cost for basic measures. </w:t>
      </w:r>
    </w:p>
  </w:footnote>
  <w:footnote w:id="33">
    <w:p w14:paraId="25A0CDC2" w14:textId="77777777" w:rsidR="006B31EF" w:rsidRDefault="006B31EF" w:rsidP="006B31EF">
      <w:pPr>
        <w:pStyle w:val="WDBodySmall"/>
      </w:pPr>
      <w:r>
        <w:rPr>
          <w:rStyle w:val="FootnoteReference"/>
        </w:rPr>
        <w:footnoteRef/>
      </w:r>
      <w:r>
        <w:t xml:space="preserve"> European Commission, Report from the Commission to the European Parliament and the Council. Implementation of the Water Framework Directive (2000/60/EC) and the Floods Directive (2007/60/EC), 2019</w:t>
      </w:r>
    </w:p>
  </w:footnote>
  <w:footnote w:id="34">
    <w:p w14:paraId="2502574E" w14:textId="77777777" w:rsidR="006B31EF" w:rsidRPr="006B31EF" w:rsidRDefault="006B31EF" w:rsidP="006B31EF">
      <w:pPr>
        <w:rPr>
          <w:lang w:val="en-US"/>
        </w:rPr>
      </w:pPr>
      <w:r>
        <w:rPr>
          <w:rStyle w:val="FootnoteReference"/>
        </w:rPr>
        <w:footnoteRef/>
      </w:r>
      <w:r w:rsidRPr="006B31EF">
        <w:rPr>
          <w:lang w:val="en-US"/>
        </w:rPr>
        <w:t xml:space="preserve"> </w:t>
      </w:r>
      <w:r w:rsidRPr="006B31EF">
        <w:rPr>
          <w:rFonts w:ascii="Segoe UI" w:eastAsiaTheme="minorHAnsi" w:hAnsi="Segoe UI" w:cstheme="minorBidi"/>
          <w:color w:val="000000"/>
          <w:sz w:val="16"/>
          <w:lang w:val="en-US"/>
        </w:rPr>
        <w:t xml:space="preserve">European Court of Auditors (2018). Floods Directive: progress in assessing risks, while planning and implementation need to improve. </w:t>
      </w:r>
      <w:hyperlink r:id="rId4" w:history="1">
        <w:r w:rsidRPr="006B31EF">
          <w:rPr>
            <w:rStyle w:val="Hyperlink"/>
            <w:sz w:val="16"/>
            <w:szCs w:val="16"/>
            <w:lang w:val="en-US"/>
          </w:rPr>
          <w:t>Floods Directive: progress in assessing risks, while planning and implementation need to improve (wfcatprogrammes.com)</w:t>
        </w:r>
      </w:hyperlink>
    </w:p>
  </w:footnote>
  <w:footnote w:id="35">
    <w:p w14:paraId="65DC1E48" w14:textId="77777777" w:rsidR="006B31EF" w:rsidRPr="006B31EF" w:rsidRDefault="006B31EF" w:rsidP="006B31EF">
      <w:pPr>
        <w:rPr>
          <w:rStyle w:val="Hyperlink"/>
          <w:rFonts w:ascii="Segoe UI" w:hAnsi="Segoe UI"/>
          <w:sz w:val="16"/>
          <w:szCs w:val="16"/>
          <w:lang w:val="en-US"/>
        </w:rPr>
      </w:pPr>
      <w:r w:rsidRPr="00EA431E">
        <w:rPr>
          <w:rStyle w:val="FootnoteReference"/>
          <w:rFonts w:eastAsiaTheme="minorHAnsi" w:cstheme="minorBidi"/>
          <w:color w:val="000000"/>
          <w:sz w:val="16"/>
          <w:szCs w:val="16"/>
        </w:rPr>
        <w:footnoteRef/>
      </w:r>
      <w:r w:rsidRPr="006B31EF">
        <w:rPr>
          <w:sz w:val="16"/>
          <w:szCs w:val="16"/>
          <w:lang w:val="en-US"/>
        </w:rPr>
        <w:t xml:space="preserve"> European Commission (2019). Fitness Check of the Water Framework Directive, Groundwater Directive, Environmental Quality Standards Directive and Floods Directive. </w:t>
      </w:r>
      <w:hyperlink r:id="rId5" w:history="1">
        <w:r w:rsidRPr="006B31EF">
          <w:rPr>
            <w:rStyle w:val="Hyperlink"/>
            <w:rFonts w:ascii="Segoe UI" w:hAnsi="Segoe UI"/>
            <w:sz w:val="16"/>
            <w:szCs w:val="16"/>
            <w:lang w:val="en-US"/>
          </w:rPr>
          <w:t>swd_2019_0439_en.pdf (europa.eu)</w:t>
        </w:r>
      </w:hyperlink>
    </w:p>
  </w:footnote>
  <w:footnote w:id="36">
    <w:p w14:paraId="48828CEB" w14:textId="77777777" w:rsidR="006B31EF" w:rsidRPr="006B31EF" w:rsidRDefault="006B31EF" w:rsidP="006B31EF">
      <w:pPr>
        <w:rPr>
          <w:sz w:val="16"/>
          <w:szCs w:val="16"/>
        </w:rPr>
      </w:pPr>
      <w:r w:rsidRPr="00B22401">
        <w:rPr>
          <w:rStyle w:val="FootnoteReference"/>
          <w:sz w:val="16"/>
          <w:szCs w:val="16"/>
        </w:rPr>
        <w:footnoteRef/>
      </w:r>
      <w:r w:rsidRPr="006B31EF">
        <w:rPr>
          <w:sz w:val="16"/>
          <w:szCs w:val="16"/>
          <w:lang w:val="en-US"/>
        </w:rPr>
        <w:t xml:space="preserve"> See also</w:t>
      </w:r>
      <w:r w:rsidRPr="00B22401">
        <w:rPr>
          <w:sz w:val="16"/>
          <w:szCs w:val="16"/>
          <w:lang w:val="en-US"/>
        </w:rPr>
        <w:t xml:space="preserve"> European Commission (2019). European Overview – Flood Risk Management Plans. </w:t>
      </w:r>
      <w:hyperlink r:id="rId6" w:history="1">
        <w:r w:rsidRPr="006B31EF">
          <w:rPr>
            <w:rStyle w:val="Hyperlink"/>
            <w:sz w:val="16"/>
            <w:szCs w:val="16"/>
          </w:rPr>
          <w:t>https://eur-lex.europa.eu/legal-content/EN/TXT/PDF/?uri=SWD:2019:31:FIN&amp;qid=1551205988853&amp;from=EN</w:t>
        </w:r>
      </w:hyperlink>
      <w:r w:rsidRPr="006B31EF">
        <w:rPr>
          <w:sz w:val="16"/>
          <w:szCs w:val="16"/>
        </w:rPr>
        <w:t xml:space="preserve"> </w:t>
      </w:r>
      <w:hyperlink w:history="1"/>
    </w:p>
  </w:footnote>
  <w:footnote w:id="37">
    <w:p w14:paraId="5364E844" w14:textId="77777777" w:rsidR="006B31EF" w:rsidRPr="006B31EF" w:rsidRDefault="006B31EF" w:rsidP="006B31EF">
      <w:pPr>
        <w:rPr>
          <w:sz w:val="16"/>
          <w:szCs w:val="16"/>
          <w:lang w:val="en-US"/>
        </w:rPr>
      </w:pPr>
      <w:r w:rsidRPr="00475B4A">
        <w:rPr>
          <w:rStyle w:val="FootnoteReference"/>
          <w:sz w:val="16"/>
          <w:szCs w:val="16"/>
        </w:rPr>
        <w:footnoteRef/>
      </w:r>
      <w:r w:rsidRPr="006B31EF">
        <w:rPr>
          <w:sz w:val="16"/>
          <w:szCs w:val="16"/>
          <w:lang w:val="en-US"/>
        </w:rPr>
        <w:t xml:space="preserve"> See also </w:t>
      </w:r>
      <w:r w:rsidRPr="00B22401">
        <w:rPr>
          <w:sz w:val="16"/>
          <w:szCs w:val="16"/>
          <w:lang w:val="en-US"/>
        </w:rPr>
        <w:t xml:space="preserve">CIS WGF workshop (2019). Report on “setting and measuring objectives and measures for flood risk management, 16-17 October 2019. </w:t>
      </w:r>
      <w:hyperlink r:id="rId7" w:history="1">
        <w:r w:rsidRPr="00B22401">
          <w:rPr>
            <w:rStyle w:val="Hyperlink"/>
            <w:sz w:val="16"/>
            <w:szCs w:val="16"/>
            <w:lang w:val="en-US"/>
          </w:rPr>
          <w:t>Circabc (europa.eu)</w:t>
        </w:r>
      </w:hyperlink>
    </w:p>
    <w:p w14:paraId="612F4AD3" w14:textId="77777777" w:rsidR="006B31EF" w:rsidRPr="006B31EF" w:rsidRDefault="006B31EF" w:rsidP="006B31EF">
      <w:pPr>
        <w:pStyle w:val="FootnoteText"/>
        <w:rPr>
          <w:sz w:val="16"/>
          <w:szCs w:val="16"/>
          <w:lang w:val="en-US"/>
        </w:rPr>
      </w:pPr>
    </w:p>
  </w:footnote>
  <w:footnote w:id="38">
    <w:p w14:paraId="6E565D7C" w14:textId="77777777" w:rsidR="006B31EF" w:rsidRPr="006B31EF" w:rsidRDefault="006B31EF" w:rsidP="006B31EF">
      <w:pPr>
        <w:rPr>
          <w:lang w:val="en-US"/>
        </w:rPr>
      </w:pPr>
      <w:r>
        <w:rPr>
          <w:rStyle w:val="FootnoteReference"/>
        </w:rPr>
        <w:footnoteRef/>
      </w:r>
      <w:r w:rsidRPr="006B31EF">
        <w:rPr>
          <w:lang w:val="en-US"/>
        </w:rPr>
        <w:t xml:space="preserve"> </w:t>
      </w:r>
      <w:r w:rsidRPr="006B31EF">
        <w:rPr>
          <w:sz w:val="16"/>
          <w:szCs w:val="16"/>
          <w:lang w:val="en-US"/>
        </w:rPr>
        <w:t xml:space="preserve">See </w:t>
      </w:r>
      <w:r w:rsidRPr="00B22401">
        <w:rPr>
          <w:sz w:val="16"/>
          <w:szCs w:val="16"/>
          <w:lang w:val="en-US"/>
        </w:rPr>
        <w:t xml:space="preserve">European Commission (2019). Fitness Check of the Water Framework </w:t>
      </w:r>
      <w:r>
        <w:rPr>
          <w:sz w:val="16"/>
          <w:szCs w:val="16"/>
          <w:lang w:val="en-US"/>
        </w:rPr>
        <w:t>Directive</w:t>
      </w:r>
      <w:r w:rsidRPr="00B22401">
        <w:rPr>
          <w:sz w:val="16"/>
          <w:szCs w:val="16"/>
          <w:lang w:val="en-US"/>
        </w:rPr>
        <w:t xml:space="preserve">, Groundwater </w:t>
      </w:r>
      <w:r>
        <w:rPr>
          <w:sz w:val="16"/>
          <w:szCs w:val="16"/>
          <w:lang w:val="en-US"/>
        </w:rPr>
        <w:t>Directive</w:t>
      </w:r>
      <w:r w:rsidRPr="00B22401">
        <w:rPr>
          <w:sz w:val="16"/>
          <w:szCs w:val="16"/>
          <w:lang w:val="en-US"/>
        </w:rPr>
        <w:t xml:space="preserve">, Environmental Quality Standards </w:t>
      </w:r>
      <w:r>
        <w:rPr>
          <w:sz w:val="16"/>
          <w:szCs w:val="16"/>
          <w:lang w:val="en-US"/>
        </w:rPr>
        <w:t>Directive</w:t>
      </w:r>
      <w:r w:rsidRPr="00B22401">
        <w:rPr>
          <w:sz w:val="16"/>
          <w:szCs w:val="16"/>
          <w:lang w:val="en-US"/>
        </w:rPr>
        <w:t xml:space="preserve"> and Floods </w:t>
      </w:r>
      <w:r>
        <w:rPr>
          <w:sz w:val="16"/>
          <w:szCs w:val="16"/>
          <w:lang w:val="en-US"/>
        </w:rPr>
        <w:t>Directive</w:t>
      </w:r>
      <w:r w:rsidRPr="00B22401">
        <w:rPr>
          <w:sz w:val="16"/>
          <w:szCs w:val="16"/>
          <w:lang w:val="en-US"/>
        </w:rPr>
        <w:t xml:space="preserve">. </w:t>
      </w:r>
      <w:hyperlink r:id="rId8" w:history="1">
        <w:r w:rsidRPr="006B31EF">
          <w:rPr>
            <w:rStyle w:val="Hyperlink"/>
            <w:sz w:val="16"/>
            <w:szCs w:val="16"/>
            <w:lang w:val="en-US"/>
          </w:rPr>
          <w:t>swd_2019_0439_en.pdf (europa.eu)</w:t>
        </w:r>
      </w:hyperlink>
    </w:p>
  </w:footnote>
  <w:footnote w:id="39">
    <w:p w14:paraId="024D6047" w14:textId="77777777" w:rsidR="006B31EF" w:rsidRPr="006B31EF" w:rsidRDefault="006B31EF" w:rsidP="006B31EF">
      <w:pPr>
        <w:pStyle w:val="FootnoteText"/>
        <w:rPr>
          <w:lang w:val="en-US"/>
        </w:rPr>
      </w:pPr>
      <w:r>
        <w:rPr>
          <w:rStyle w:val="FootnoteReference"/>
        </w:rPr>
        <w:footnoteRef/>
      </w:r>
      <w:r w:rsidRPr="006B31EF">
        <w:rPr>
          <w:lang w:val="en-US"/>
        </w:rPr>
        <w:t xml:space="preserve"> The Fitness Check reports that Directive the costs of measures reported in the flood risk management plans point to EUR 12.5 billion between 2016 and 2021.  </w:t>
      </w:r>
    </w:p>
  </w:footnote>
  <w:footnote w:id="40">
    <w:p w14:paraId="6D732B94" w14:textId="77777777" w:rsidR="006B31EF" w:rsidRPr="00C47667" w:rsidRDefault="006B31EF" w:rsidP="00C47667">
      <w:pPr>
        <w:spacing w:after="120"/>
        <w:rPr>
          <w:rFonts w:ascii="Verdana" w:hAnsi="Verdana"/>
          <w:sz w:val="16"/>
          <w:szCs w:val="16"/>
          <w:lang w:val="en-US"/>
        </w:rPr>
      </w:pPr>
      <w:r w:rsidRPr="00C47667">
        <w:rPr>
          <w:rStyle w:val="FootnoteReference"/>
          <w:rFonts w:ascii="Verdana" w:hAnsi="Verdana"/>
          <w:sz w:val="16"/>
          <w:szCs w:val="16"/>
        </w:rPr>
        <w:footnoteRef/>
      </w:r>
      <w:r w:rsidRPr="00C47667">
        <w:rPr>
          <w:rFonts w:ascii="Verdana" w:hAnsi="Verdana"/>
          <w:sz w:val="16"/>
          <w:szCs w:val="16"/>
          <w:lang w:val="en-US"/>
        </w:rPr>
        <w:t xml:space="preserve"> OECD (2019). Financing Water Supply, Sanitation and Flood Protection: Challenges in EU Member States and Policy Options. </w:t>
      </w:r>
      <w:hyperlink r:id="rId9" w:history="1">
        <w:r w:rsidRPr="00C47667">
          <w:rPr>
            <w:rStyle w:val="Hyperlink"/>
            <w:rFonts w:ascii="Verdana" w:hAnsi="Verdana"/>
            <w:sz w:val="16"/>
            <w:szCs w:val="16"/>
            <w:lang w:val="en-US"/>
          </w:rPr>
          <w:t>Financing Water Supply, Sanitation and Flood Protection: Challenges in EU Member States and Policy Options | OECD iLibrary (oecd-ilibrary.org)</w:t>
        </w:r>
      </w:hyperlink>
    </w:p>
  </w:footnote>
  <w:footnote w:id="41">
    <w:p w14:paraId="765BB7EA" w14:textId="77777777" w:rsidR="006B31EF" w:rsidRPr="0040676E" w:rsidRDefault="006B31EF" w:rsidP="00C47667">
      <w:pPr>
        <w:pStyle w:val="FootnoteText"/>
        <w:spacing w:after="120"/>
        <w:rPr>
          <w:lang w:val="en-US"/>
        </w:rPr>
      </w:pPr>
      <w:r w:rsidRPr="00C47667">
        <w:rPr>
          <w:rStyle w:val="FootnoteReference"/>
          <w:rFonts w:ascii="Verdana" w:hAnsi="Verdana"/>
          <w:sz w:val="16"/>
          <w:szCs w:val="16"/>
        </w:rPr>
        <w:footnoteRef/>
      </w:r>
      <w:r w:rsidRPr="00C47667">
        <w:rPr>
          <w:rFonts w:ascii="Verdana" w:hAnsi="Verdana"/>
          <w:sz w:val="16"/>
          <w:szCs w:val="16"/>
          <w:lang w:val="en-US"/>
        </w:rPr>
        <w:t xml:space="preserve"> </w:t>
      </w:r>
      <w:hyperlink r:id="rId10" w:history="1">
        <w:r w:rsidRPr="00C47667">
          <w:rPr>
            <w:rStyle w:val="Hyperlink"/>
            <w:rFonts w:ascii="Verdana" w:hAnsi="Verdana"/>
            <w:sz w:val="16"/>
            <w:szCs w:val="16"/>
            <w:lang w:val="en-US"/>
          </w:rPr>
          <w:t>https://www.wri.org/publication/aqueduct-floods-methodology</w:t>
        </w:r>
      </w:hyperlink>
      <w:r w:rsidRPr="00C47667">
        <w:rPr>
          <w:rFonts w:ascii="Verdana" w:hAnsi="Verdana"/>
          <w:sz w:val="16"/>
          <w:szCs w:val="16"/>
          <w:lang w:val="en-US"/>
        </w:rPr>
        <w:t xml:space="preserve"> – to be noted that results are based on rough estimations, that are not always reliable at local and regional scale.</w:t>
      </w:r>
    </w:p>
  </w:footnote>
  <w:footnote w:id="42">
    <w:p w14:paraId="37AB732F" w14:textId="77777777" w:rsidR="006B31EF" w:rsidRPr="00CD426D" w:rsidRDefault="006B31EF" w:rsidP="006B31EF">
      <w:pPr>
        <w:pStyle w:val="WDBodySmall"/>
        <w:rPr>
          <w:lang w:val="en-US"/>
        </w:rPr>
      </w:pPr>
      <w:r>
        <w:rPr>
          <w:rStyle w:val="FootnoteReference"/>
        </w:rPr>
        <w:footnoteRef/>
      </w:r>
      <w:r>
        <w:t xml:space="preserve"> See also </w:t>
      </w:r>
      <w:r w:rsidRPr="00222B4B">
        <w:rPr>
          <w:lang w:val="en-US"/>
        </w:rPr>
        <w:t xml:space="preserve">European Commission (2019). European Overview </w:t>
      </w:r>
      <w:r>
        <w:rPr>
          <w:lang w:val="en-US"/>
        </w:rPr>
        <w:t>–</w:t>
      </w:r>
      <w:r w:rsidRPr="00222B4B">
        <w:rPr>
          <w:lang w:val="en-US"/>
        </w:rPr>
        <w:t xml:space="preserve"> F</w:t>
      </w:r>
      <w:r>
        <w:rPr>
          <w:lang w:val="en-US"/>
        </w:rPr>
        <w:t xml:space="preserve">lood Risk Management Plans. </w:t>
      </w:r>
      <w:hyperlink r:id="rId11" w:history="1">
        <w:r w:rsidRPr="00B24ADA">
          <w:rPr>
            <w:rStyle w:val="Hyperlink"/>
            <w:lang w:val="en-US"/>
          </w:rPr>
          <w:t>https://eur-lex.europa.eu/legal-content/EN/TXT/PDF/?uri=SWD:2019:31:FIN&amp;qid=1551205988853&amp;from=EN</w:t>
        </w:r>
      </w:hyperlink>
      <w:hyperlink w:history="1"/>
    </w:p>
  </w:footnote>
  <w:footnote w:id="43">
    <w:p w14:paraId="476EB08F" w14:textId="77777777" w:rsidR="006B31EF" w:rsidRPr="00C47667" w:rsidRDefault="006B31EF" w:rsidP="00C47667">
      <w:pPr>
        <w:spacing w:after="120"/>
        <w:rPr>
          <w:rFonts w:ascii="Verdana" w:hAnsi="Verdana"/>
          <w:sz w:val="16"/>
          <w:szCs w:val="16"/>
          <w:lang w:val="en-US"/>
        </w:rPr>
      </w:pPr>
      <w:r>
        <w:rPr>
          <w:rStyle w:val="FootnoteReference"/>
        </w:rPr>
        <w:footnoteRef/>
      </w:r>
      <w:r w:rsidRPr="006B31EF">
        <w:rPr>
          <w:lang w:val="en-US"/>
        </w:rPr>
        <w:t xml:space="preserve"> </w:t>
      </w:r>
      <w:r w:rsidRPr="00C47667">
        <w:rPr>
          <w:rFonts w:ascii="Verdana" w:hAnsi="Verdana"/>
          <w:sz w:val="16"/>
          <w:szCs w:val="16"/>
          <w:lang w:val="en-US"/>
        </w:rPr>
        <w:t xml:space="preserve">Shah M.A.R, Rahman A., Chowdhury, S.H. (2018). Challenges for achieving sustainable flood risk management. Journal of Flood Risk Management, vol 11, issue 51. </w:t>
      </w:r>
      <w:hyperlink r:id="rId12" w:history="1">
        <w:r w:rsidRPr="00C47667">
          <w:rPr>
            <w:rStyle w:val="Hyperlink"/>
            <w:rFonts w:ascii="Verdana" w:hAnsi="Verdana"/>
            <w:sz w:val="16"/>
            <w:szCs w:val="16"/>
            <w:lang w:val="en-US"/>
          </w:rPr>
          <w:t>Challenges for achieving sustainable flood risk management - Shah - 2018 - Journal of Flood Risk Management - Wiley Online Library</w:t>
        </w:r>
      </w:hyperlink>
    </w:p>
  </w:footnote>
  <w:footnote w:id="44">
    <w:p w14:paraId="7C7839A8" w14:textId="77777777" w:rsidR="006B31EF" w:rsidRPr="00C47667" w:rsidRDefault="006B31EF" w:rsidP="00C47667">
      <w:pPr>
        <w:spacing w:after="120"/>
        <w:rPr>
          <w:rFonts w:ascii="Verdana" w:hAnsi="Verdana"/>
          <w:sz w:val="16"/>
          <w:szCs w:val="16"/>
          <w:lang w:val="en-US"/>
        </w:rPr>
      </w:pPr>
      <w:r w:rsidRPr="00C47667">
        <w:rPr>
          <w:rStyle w:val="FootnoteReference"/>
          <w:rFonts w:ascii="Verdana" w:hAnsi="Verdana"/>
          <w:sz w:val="16"/>
          <w:szCs w:val="16"/>
        </w:rPr>
        <w:footnoteRef/>
      </w:r>
      <w:r w:rsidRPr="00C47667">
        <w:rPr>
          <w:rFonts w:ascii="Verdana" w:hAnsi="Verdana"/>
          <w:sz w:val="16"/>
          <w:szCs w:val="16"/>
          <w:lang w:val="en-US"/>
        </w:rPr>
        <w:t xml:space="preserve"> Dawson, R.J., Ball, T., Werrity, J., Werrity, A., Hall, J.W., Roch, N. (2011). Assessing the effectiveness of non-structural flood management measures in the Thames Estuary under conditions of socio-economic and environmental change. Global Environmental Change vol 21, issue 2. </w:t>
      </w:r>
      <w:hyperlink r:id="rId13" w:history="1">
        <w:r w:rsidRPr="00C47667">
          <w:rPr>
            <w:rStyle w:val="Hyperlink"/>
            <w:rFonts w:ascii="Verdana" w:hAnsi="Verdana"/>
            <w:sz w:val="16"/>
            <w:szCs w:val="16"/>
            <w:lang w:val="en-US"/>
          </w:rPr>
          <w:t>Assessing the effectiveness of non-structural flood management measures in the Thames Estuary under conditions of socio-economic and environmental change - ScienceDirect</w:t>
        </w:r>
      </w:hyperlink>
    </w:p>
  </w:footnote>
  <w:footnote w:id="45">
    <w:p w14:paraId="2B48EED3" w14:textId="77777777" w:rsidR="006B31EF" w:rsidRPr="00C47667" w:rsidRDefault="006B31EF" w:rsidP="00C47667">
      <w:pPr>
        <w:spacing w:after="120"/>
        <w:rPr>
          <w:rFonts w:ascii="Verdana" w:hAnsi="Verdana"/>
          <w:sz w:val="16"/>
          <w:szCs w:val="16"/>
          <w:lang w:val="en-US"/>
        </w:rPr>
      </w:pPr>
      <w:r w:rsidRPr="00C47667">
        <w:rPr>
          <w:rStyle w:val="FootnoteReference"/>
          <w:rFonts w:ascii="Verdana" w:hAnsi="Verdana"/>
          <w:sz w:val="16"/>
          <w:szCs w:val="16"/>
        </w:rPr>
        <w:footnoteRef/>
      </w:r>
      <w:r w:rsidRPr="00C47667">
        <w:rPr>
          <w:rFonts w:ascii="Verdana" w:hAnsi="Verdana"/>
          <w:sz w:val="16"/>
          <w:szCs w:val="16"/>
          <w:lang w:val="en-US"/>
        </w:rPr>
        <w:t xml:space="preserve"> European Commission (2019). Guidance on a strategic framework for further supporting the deployment of EU-level green and blue infrastructure. </w:t>
      </w:r>
      <w:hyperlink r:id="rId14" w:history="1">
        <w:r w:rsidRPr="00C47667">
          <w:rPr>
            <w:rStyle w:val="Hyperlink"/>
            <w:rFonts w:ascii="Verdana" w:hAnsi="Verdana"/>
            <w:sz w:val="16"/>
            <w:szCs w:val="16"/>
          </w:rPr>
          <w:t>SWD(2019)193/F1 - EN (europa.eu)</w:t>
        </w:r>
      </w:hyperlink>
    </w:p>
  </w:footnote>
  <w:footnote w:id="46">
    <w:p w14:paraId="619613C4" w14:textId="77777777" w:rsidR="00F942AB" w:rsidRPr="00E026CD" w:rsidRDefault="00F942AB" w:rsidP="00F942AB">
      <w:pPr>
        <w:rPr>
          <w:rFonts w:ascii="Segoe UI" w:hAnsi="Segoe UI" w:cs="Segoe UI"/>
          <w:sz w:val="16"/>
          <w:szCs w:val="16"/>
          <w:lang w:val="en-US"/>
        </w:rPr>
      </w:pPr>
      <w:r w:rsidRPr="00E026CD">
        <w:rPr>
          <w:rStyle w:val="FootnoteReference"/>
          <w:rFonts w:ascii="Segoe UI" w:hAnsi="Segoe UI" w:cs="Segoe UI"/>
          <w:sz w:val="16"/>
          <w:szCs w:val="16"/>
        </w:rPr>
        <w:footnoteRef/>
      </w:r>
      <w:r w:rsidRPr="00F942AB">
        <w:rPr>
          <w:rFonts w:ascii="Segoe UI" w:hAnsi="Segoe UI" w:cs="Segoe UI"/>
          <w:sz w:val="16"/>
          <w:szCs w:val="16"/>
          <w:lang w:val="en-US"/>
        </w:rPr>
        <w:t xml:space="preserve"> For more information: </w:t>
      </w:r>
      <w:r w:rsidRPr="00E026CD">
        <w:rPr>
          <w:rFonts w:ascii="Segoe UI" w:hAnsi="Segoe UI" w:cs="Segoe UI"/>
          <w:sz w:val="16"/>
          <w:szCs w:val="16"/>
          <w:lang w:val="en-US"/>
        </w:rPr>
        <w:t>European Commission (2019). European Overview –River Basin Management Plans</w:t>
      </w:r>
    </w:p>
  </w:footnote>
  <w:footnote w:id="47">
    <w:p w14:paraId="558128BC" w14:textId="77777777" w:rsidR="00F942AB" w:rsidRPr="00F942AB" w:rsidRDefault="00F942AB" w:rsidP="00F942AB">
      <w:pPr>
        <w:rPr>
          <w:sz w:val="16"/>
          <w:szCs w:val="16"/>
        </w:rPr>
      </w:pPr>
      <w:r>
        <w:rPr>
          <w:rStyle w:val="FootnoteReference"/>
        </w:rPr>
        <w:footnoteRef/>
      </w:r>
      <w:r w:rsidRPr="00F942AB">
        <w:rPr>
          <w:lang w:val="en-US"/>
        </w:rPr>
        <w:t xml:space="preserve"> </w:t>
      </w:r>
      <w:r w:rsidRPr="00F942AB">
        <w:rPr>
          <w:sz w:val="16"/>
          <w:szCs w:val="16"/>
          <w:lang w:val="en-US"/>
        </w:rPr>
        <w:t xml:space="preserve">For more information: </w:t>
      </w:r>
      <w:r w:rsidRPr="00B22401">
        <w:rPr>
          <w:sz w:val="16"/>
          <w:szCs w:val="16"/>
          <w:lang w:val="en-US"/>
        </w:rPr>
        <w:t xml:space="preserve">European Commission (2019). European Overview – Flood Risk Management Plans. </w:t>
      </w:r>
      <w:hyperlink r:id="rId15" w:history="1">
        <w:r w:rsidRPr="00F942AB">
          <w:rPr>
            <w:rStyle w:val="Hyperlink"/>
            <w:sz w:val="16"/>
            <w:szCs w:val="16"/>
          </w:rPr>
          <w:t>https://eur-lex.europa.eu/legal-content/EN/TXT/PDF/?uri=SWD:2019:31:FIN&amp;qid=1551205988853&amp;from=EN</w:t>
        </w:r>
      </w:hyperlink>
      <w:r w:rsidRPr="00F942AB">
        <w:rPr>
          <w:sz w:val="16"/>
          <w:szCs w:val="16"/>
        </w:rPr>
        <w:t xml:space="preserve"> </w:t>
      </w:r>
    </w:p>
  </w:footnote>
  <w:footnote w:id="48">
    <w:p w14:paraId="570488AA" w14:textId="77777777" w:rsidR="00F942AB" w:rsidRPr="00B22401" w:rsidRDefault="00F942AB" w:rsidP="00F942AB">
      <w:pPr>
        <w:rPr>
          <w:lang w:val="en-US"/>
        </w:rPr>
      </w:pPr>
      <w:r>
        <w:rPr>
          <w:rStyle w:val="FootnoteReference"/>
        </w:rPr>
        <w:footnoteRef/>
      </w:r>
      <w:r w:rsidRPr="00F942AB">
        <w:rPr>
          <w:lang w:val="en-US"/>
        </w:rPr>
        <w:t xml:space="preserve"> </w:t>
      </w:r>
      <w:r w:rsidRPr="00F942AB">
        <w:rPr>
          <w:sz w:val="16"/>
          <w:szCs w:val="16"/>
          <w:lang w:val="en-US"/>
        </w:rPr>
        <w:t xml:space="preserve">For more information: </w:t>
      </w:r>
      <w:r w:rsidRPr="00B22401">
        <w:rPr>
          <w:sz w:val="16"/>
          <w:szCs w:val="16"/>
          <w:lang w:val="en-US"/>
        </w:rPr>
        <w:t xml:space="preserve">European Commission (2019). Guidance on a strategic framework for further supporting the deployment of EU-level green and blue infrastructure. </w:t>
      </w:r>
      <w:hyperlink r:id="rId16" w:history="1">
        <w:r w:rsidRPr="00F942AB">
          <w:rPr>
            <w:rStyle w:val="Hyperlink"/>
            <w:sz w:val="16"/>
            <w:szCs w:val="16"/>
            <w:lang w:val="en-US"/>
          </w:rPr>
          <w:t>SWD(2019)193/F1 - EN (europa.eu)</w:t>
        </w:r>
      </w:hyperlink>
    </w:p>
  </w:footnote>
  <w:footnote w:id="49">
    <w:p w14:paraId="63FBCFD3" w14:textId="77777777" w:rsidR="00F942AB" w:rsidRPr="00F942AB" w:rsidRDefault="00F942AB" w:rsidP="00F942AB">
      <w:pPr>
        <w:pStyle w:val="FootnoteText"/>
        <w:rPr>
          <w:sz w:val="16"/>
          <w:szCs w:val="16"/>
          <w:lang w:val="en-US"/>
        </w:rPr>
      </w:pPr>
      <w:r>
        <w:rPr>
          <w:rStyle w:val="FootnoteReference"/>
        </w:rPr>
        <w:footnoteRef/>
      </w:r>
      <w:r w:rsidRPr="00F942AB">
        <w:rPr>
          <w:lang w:val="en-US"/>
        </w:rPr>
        <w:t xml:space="preserve"> </w:t>
      </w:r>
      <w:r w:rsidRPr="00F942AB">
        <w:rPr>
          <w:sz w:val="16"/>
          <w:szCs w:val="16"/>
          <w:lang w:val="en-US"/>
        </w:rPr>
        <w:t>The Commission report “</w:t>
      </w:r>
      <w:r w:rsidRPr="000C5214">
        <w:rPr>
          <w:sz w:val="16"/>
          <w:szCs w:val="16"/>
          <w:lang w:val="en-US"/>
        </w:rPr>
        <w:t>E</w:t>
      </w:r>
      <w:r w:rsidRPr="00EA431E">
        <w:rPr>
          <w:sz w:val="16"/>
          <w:szCs w:val="16"/>
          <w:lang w:val="en-US"/>
        </w:rPr>
        <w:t>uropean Overview –</w:t>
      </w:r>
      <w:r w:rsidRPr="004B1E02">
        <w:rPr>
          <w:sz w:val="16"/>
          <w:szCs w:val="16"/>
          <w:lang w:val="en-US"/>
        </w:rPr>
        <w:t xml:space="preserve"> Flood Risk Management Plans”</w:t>
      </w:r>
      <w:r w:rsidRPr="00F942AB">
        <w:rPr>
          <w:sz w:val="16"/>
          <w:szCs w:val="16"/>
          <w:lang w:val="en-US"/>
        </w:rPr>
        <w:t xml:space="preserve"> also highlights that relatively few indications were found that multi-benefits were considered in economic appraisals.</w:t>
      </w:r>
      <w:r w:rsidRPr="00F942AB">
        <w:rPr>
          <w:lang w:val="en-US"/>
        </w:rPr>
        <w:t xml:space="preserve"> </w:t>
      </w:r>
      <w:r w:rsidRPr="00F942AB">
        <w:rPr>
          <w:sz w:val="16"/>
          <w:szCs w:val="16"/>
          <w:lang w:val="en-US"/>
        </w:rPr>
        <w:t xml:space="preserve">See also the document about link between the Floods and Nature Directives, </w:t>
      </w:r>
      <w:hyperlink r:id="rId17" w:history="1">
        <w:r w:rsidRPr="00F942AB">
          <w:rPr>
            <w:rStyle w:val="Hyperlink"/>
            <w:sz w:val="16"/>
            <w:szCs w:val="16"/>
            <w:lang w:val="en-US"/>
          </w:rPr>
          <w:t>https://circabc.europa.eu/ui/group/9ab5926d-bed4-4322-9aa7-9964bbe8312d/library/3a38aadb-4e2a-4e54-bb60-75f1942defe9/details</w:t>
        </w:r>
      </w:hyperlink>
    </w:p>
  </w:footnote>
  <w:footnote w:id="50">
    <w:p w14:paraId="4E60CB56" w14:textId="77777777" w:rsidR="00F942AB" w:rsidRPr="00F942AB" w:rsidRDefault="00F942AB" w:rsidP="00F942AB">
      <w:pPr>
        <w:pStyle w:val="FootnoteText"/>
        <w:rPr>
          <w:lang w:val="en-US"/>
        </w:rPr>
      </w:pPr>
      <w:r>
        <w:rPr>
          <w:rStyle w:val="FootnoteReference"/>
        </w:rPr>
        <w:footnoteRef/>
      </w:r>
      <w:r w:rsidRPr="00F942AB">
        <w:rPr>
          <w:lang w:val="en-US"/>
        </w:rPr>
        <w:t xml:space="preserve"> </w:t>
      </w:r>
      <w:hyperlink r:id="rId18" w:history="1">
        <w:r w:rsidRPr="00F942AB">
          <w:rPr>
            <w:rStyle w:val="Hyperlink"/>
            <w:lang w:val="en-US"/>
          </w:rPr>
          <w:t>https://op.europa.eu/nl/publication-detail/-/publication/64617091-8289-4841-b420-a377a270a8cf</w:t>
        </w:r>
      </w:hyperlink>
      <w:r w:rsidRPr="00F942AB">
        <w:rPr>
          <w:lang w:val="en-US"/>
        </w:rPr>
        <w:t>.</w:t>
      </w:r>
    </w:p>
  </w:footnote>
  <w:footnote w:id="51">
    <w:p w14:paraId="4C93103B" w14:textId="77777777" w:rsidR="004C0AA6" w:rsidRPr="00813188" w:rsidRDefault="004C0AA6" w:rsidP="004C0AA6">
      <w:pPr>
        <w:pStyle w:val="WDBodySmall"/>
        <w:rPr>
          <w:lang w:val="en-US"/>
        </w:rPr>
      </w:pPr>
      <w:r>
        <w:rPr>
          <w:rStyle w:val="FootnoteReference"/>
        </w:rPr>
        <w:footnoteRef/>
      </w:r>
      <w:r>
        <w:t xml:space="preserve"> </w:t>
      </w:r>
      <w:r w:rsidRPr="00813188">
        <w:rPr>
          <w:lang w:val="en-US"/>
        </w:rPr>
        <w:t>Please note that reference periods v</w:t>
      </w:r>
      <w:r>
        <w:rPr>
          <w:lang w:val="en-US"/>
        </w:rPr>
        <w:t>ary from one country to the other and, within one country, from one funding source to the other. Often, even within the same country, financing figures for the different sources are taken from different data sources. This is why data are not comparable across countries, and sometimes even within one and the same country.</w:t>
      </w:r>
    </w:p>
  </w:footnote>
  <w:footnote w:id="52">
    <w:p w14:paraId="40E27B34" w14:textId="77777777" w:rsidR="004C0AA6" w:rsidRPr="004C0AA6" w:rsidRDefault="004C0AA6" w:rsidP="004C0AA6">
      <w:pPr>
        <w:pStyle w:val="FootnoteText"/>
        <w:rPr>
          <w:lang w:val="en-US"/>
        </w:rPr>
      </w:pPr>
      <w:r>
        <w:rPr>
          <w:rStyle w:val="FootnoteReference"/>
        </w:rPr>
        <w:footnoteRef/>
      </w:r>
      <w:r w:rsidRPr="004C0AA6">
        <w:rPr>
          <w:lang w:val="en-US"/>
        </w:rPr>
        <w:t xml:space="preserve"> </w:t>
      </w:r>
      <w:r w:rsidRPr="006E2BA2">
        <w:rPr>
          <w:rFonts w:ascii="Verdana" w:hAnsi="Verdana"/>
          <w:sz w:val="16"/>
          <w:szCs w:val="16"/>
          <w:lang w:val="en-US"/>
        </w:rPr>
        <w:t>A reviewer noted that private investment might not be an option when water infrastructure is public – and stressing that this is a political choice. According to the reviewer, the graph does not mean much, as it only shows that there is a group of countries with some share of debts, and some countries without debts. In addition, in some countries it might be impossible to finance heavy investment projects with a long-term return from commercial debt. The analysis conducted in the context of this study does not provide elements to respond to this objection, but the authors deemed it useful to mention it in this footnote.</w:t>
      </w:r>
    </w:p>
  </w:footnote>
  <w:footnote w:id="53">
    <w:p w14:paraId="4B9D5694" w14:textId="77777777" w:rsidR="004C0AA6" w:rsidRPr="004C0AA6" w:rsidRDefault="004C0AA6" w:rsidP="004C0AA6">
      <w:pPr>
        <w:pStyle w:val="FootnoteText"/>
        <w:rPr>
          <w:lang w:val="en-US"/>
        </w:rPr>
      </w:pPr>
      <w:r>
        <w:rPr>
          <w:rStyle w:val="FootnoteReference"/>
        </w:rPr>
        <w:footnoteRef/>
      </w:r>
      <w:r w:rsidRPr="00B22401">
        <w:rPr>
          <w:lang w:val="en-US"/>
        </w:rPr>
        <w:t xml:space="preserve"> Aqua Publica Europea, 2019. </w:t>
      </w:r>
      <w:r w:rsidRPr="004C0AA6">
        <w:rPr>
          <w:lang w:val="en-US"/>
        </w:rPr>
        <w:t xml:space="preserve">The public water services of the future within society for sustainability. 10-year publication. </w:t>
      </w:r>
      <w:hyperlink r:id="rId19" w:history="1">
        <w:r w:rsidRPr="004C0AA6">
          <w:rPr>
            <w:rStyle w:val="Hyperlink"/>
            <w:lang w:val="en-US"/>
          </w:rPr>
          <w:t>https://www.aquapublica.eu/sites/default/files/document/file/Aqua%20Publica%20Europea_The%20Public%20Water%20Services%20of%20the%20Future.pdf</w:t>
        </w:r>
      </w:hyperlink>
      <w:r w:rsidRPr="004C0AA6">
        <w:rPr>
          <w:lang w:val="en-US"/>
        </w:rPr>
        <w:t xml:space="preserve"> </w:t>
      </w:r>
    </w:p>
  </w:footnote>
  <w:footnote w:id="54">
    <w:p w14:paraId="6E0F39B0" w14:textId="77777777" w:rsidR="004C0AA6" w:rsidRPr="004679C7" w:rsidRDefault="004C0AA6" w:rsidP="004C0AA6">
      <w:pPr>
        <w:pStyle w:val="FootnoteText"/>
        <w:rPr>
          <w:rFonts w:ascii="Verdana" w:hAnsi="Verdana"/>
          <w:sz w:val="16"/>
          <w:szCs w:val="16"/>
          <w:lang w:val="en-US"/>
        </w:rPr>
      </w:pPr>
      <w:r w:rsidRPr="004679C7">
        <w:rPr>
          <w:rStyle w:val="FootnoteReference"/>
          <w:rFonts w:ascii="Verdana" w:hAnsi="Verdana"/>
          <w:sz w:val="16"/>
          <w:szCs w:val="16"/>
        </w:rPr>
        <w:footnoteRef/>
      </w:r>
      <w:r w:rsidRPr="004679C7">
        <w:rPr>
          <w:rFonts w:ascii="Verdana" w:hAnsi="Verdana"/>
          <w:sz w:val="16"/>
          <w:szCs w:val="16"/>
          <w:lang w:val="en-US"/>
        </w:rPr>
        <w:t xml:space="preserve"> These fees are regulated by § 88 to 88l of Act No. 254/2001 Coll., On Waters and on the Amendment of Certain Acts (Water Act). </w:t>
      </w:r>
    </w:p>
  </w:footnote>
  <w:footnote w:id="55">
    <w:p w14:paraId="5925118B" w14:textId="77777777" w:rsidR="004C0AA6" w:rsidRPr="004679C7" w:rsidRDefault="004C0AA6" w:rsidP="004C0AA6">
      <w:pPr>
        <w:pStyle w:val="FootnoteText"/>
        <w:rPr>
          <w:rFonts w:ascii="Verdana" w:hAnsi="Verdana"/>
          <w:sz w:val="16"/>
          <w:szCs w:val="16"/>
          <w:lang w:val="en-US"/>
        </w:rPr>
      </w:pPr>
      <w:r w:rsidRPr="004679C7">
        <w:rPr>
          <w:rStyle w:val="FootnoteReference"/>
          <w:rFonts w:ascii="Verdana" w:hAnsi="Verdana"/>
          <w:sz w:val="16"/>
          <w:szCs w:val="16"/>
        </w:rPr>
        <w:footnoteRef/>
      </w:r>
      <w:r w:rsidRPr="004679C7">
        <w:rPr>
          <w:rFonts w:ascii="Verdana" w:hAnsi="Verdana"/>
          <w:sz w:val="16"/>
          <w:szCs w:val="16"/>
          <w:lang w:val="en-US"/>
        </w:rPr>
        <w:t xml:space="preserve"> These fees are regulated by § 101 of Act No. 254/2001 Coll </w:t>
      </w:r>
    </w:p>
  </w:footnote>
  <w:footnote w:id="56">
    <w:p w14:paraId="7E1EDE07" w14:textId="77777777" w:rsidR="004C0AA6" w:rsidRPr="00377DC5" w:rsidRDefault="004C0AA6" w:rsidP="004C0AA6">
      <w:pPr>
        <w:pStyle w:val="FootnoteText"/>
        <w:spacing w:after="0"/>
        <w:rPr>
          <w:sz w:val="16"/>
        </w:rPr>
      </w:pPr>
      <w:r w:rsidRPr="00F95E23">
        <w:rPr>
          <w:rStyle w:val="FootnoteReference"/>
          <w:sz w:val="16"/>
          <w:szCs w:val="16"/>
        </w:rPr>
        <w:footnoteRef/>
      </w:r>
      <w:r w:rsidRPr="00B22401">
        <w:rPr>
          <w:sz w:val="16"/>
          <w:szCs w:val="16"/>
          <w:lang w:val="en-US"/>
        </w:rPr>
        <w:t xml:space="preserve"> European Environmental Bureau, 2015. </w:t>
      </w:r>
      <w:r w:rsidRPr="004C0AA6">
        <w:rPr>
          <w:sz w:val="16"/>
          <w:szCs w:val="16"/>
          <w:lang w:val="en-US"/>
        </w:rPr>
        <w:t xml:space="preserve">2ND RIVER BASIN MANAGEMENT PLANS HEALTHIER RIVERS LESS DAMS, DYKES AND NITROGEN A CAMPAIGNING PAPER. </w:t>
      </w:r>
      <w:r w:rsidRPr="00B22401">
        <w:rPr>
          <w:sz w:val="16"/>
          <w:szCs w:val="16"/>
          <w:lang w:val="en-US"/>
        </w:rPr>
        <w:t xml:space="preserve"> </w:t>
      </w:r>
      <w:hyperlink r:id="rId20" w:history="1">
        <w:r w:rsidRPr="00E009C3">
          <w:rPr>
            <w:rStyle w:val="Hyperlink"/>
            <w:sz w:val="16"/>
          </w:rPr>
          <w:t>https://eeb.org/publications/56/water/963/2nd-river-basin-management-plans-healthier-rivers-less-dams-dykes-nitrogen-a-campaigning-paper.pdf</w:t>
        </w:r>
      </w:hyperlink>
      <w:r w:rsidRPr="00E009C3">
        <w:rPr>
          <w:sz w:val="16"/>
        </w:rPr>
        <w:t xml:space="preserve"> </w:t>
      </w:r>
    </w:p>
  </w:footnote>
  <w:footnote w:id="57">
    <w:p w14:paraId="4EDC8E26" w14:textId="77777777" w:rsidR="000F3909" w:rsidRPr="00F95E23" w:rsidRDefault="000F3909" w:rsidP="000F3909">
      <w:pPr>
        <w:pStyle w:val="FootnoteText"/>
        <w:spacing w:after="0"/>
        <w:rPr>
          <w:sz w:val="16"/>
          <w:szCs w:val="16"/>
          <w:lang w:val="en-US"/>
        </w:rPr>
      </w:pPr>
      <w:r w:rsidRPr="00F95E23">
        <w:rPr>
          <w:rStyle w:val="FootnoteReference"/>
          <w:sz w:val="16"/>
          <w:szCs w:val="16"/>
        </w:rPr>
        <w:footnoteRef/>
      </w:r>
      <w:r w:rsidRPr="001A7166">
        <w:rPr>
          <w:sz w:val="16"/>
          <w:szCs w:val="16"/>
          <w:lang w:val="en-US"/>
        </w:rPr>
        <w:t xml:space="preserve"> </w:t>
      </w:r>
      <w:r w:rsidRPr="00F95E23">
        <w:rPr>
          <w:sz w:val="16"/>
          <w:szCs w:val="16"/>
          <w:lang w:val="en-US"/>
        </w:rPr>
        <w:t>Average cost-recovery levels including both water supply and wastewater collection and treatment</w:t>
      </w:r>
    </w:p>
  </w:footnote>
  <w:footnote w:id="58">
    <w:p w14:paraId="7E4617C0" w14:textId="77777777" w:rsidR="000F3909" w:rsidRPr="001A7166" w:rsidRDefault="000F3909" w:rsidP="000F3909">
      <w:pPr>
        <w:pStyle w:val="FootnoteText"/>
        <w:rPr>
          <w:lang w:val="en-US"/>
        </w:rPr>
      </w:pPr>
      <w:r>
        <w:rPr>
          <w:rStyle w:val="FootnoteReference"/>
        </w:rPr>
        <w:footnoteRef/>
      </w:r>
      <w:r w:rsidRPr="001A7166">
        <w:rPr>
          <w:lang w:val="en-US"/>
        </w:rPr>
        <w:t xml:space="preserve"> </w:t>
      </w:r>
      <w:r w:rsidRPr="00E14072">
        <w:rPr>
          <w:rFonts w:ascii="Verdana" w:hAnsi="Verdana"/>
          <w:sz w:val="16"/>
          <w:szCs w:val="16"/>
          <w:lang w:val="en-US"/>
        </w:rPr>
        <w:t>In France, the cost-recovery rate provided in the fiche (and in this graph) is in fact the rate of the domestic sector as calculated in RBMPs – and thus it refers to water management costs as a whole, not to domestic WSS. This rate does not include financial transfers from other users’ sectors.</w:t>
      </w:r>
    </w:p>
  </w:footnote>
  <w:footnote w:id="59">
    <w:p w14:paraId="620A19AF" w14:textId="77777777" w:rsidR="000F3909" w:rsidRPr="00E14072" w:rsidRDefault="000F3909" w:rsidP="000F3909">
      <w:pPr>
        <w:pStyle w:val="FootnoteText"/>
        <w:rPr>
          <w:rFonts w:ascii="Verdana" w:hAnsi="Verdana"/>
          <w:sz w:val="16"/>
          <w:szCs w:val="16"/>
          <w:lang w:val="en-US"/>
        </w:rPr>
      </w:pPr>
      <w:r>
        <w:rPr>
          <w:rStyle w:val="FootnoteReference"/>
        </w:rPr>
        <w:footnoteRef/>
      </w:r>
      <w:r w:rsidRPr="001A7166">
        <w:rPr>
          <w:lang w:val="en-US"/>
        </w:rPr>
        <w:t xml:space="preserve"> </w:t>
      </w:r>
      <w:r w:rsidRPr="00E14072">
        <w:rPr>
          <w:rFonts w:ascii="Verdana" w:hAnsi="Verdana"/>
          <w:sz w:val="16"/>
          <w:szCs w:val="16"/>
          <w:lang w:val="en-US"/>
        </w:rPr>
        <w:t>When available, Eureau data (2018) were used to build the graph, to achieve the best comparability of data. EUREAU data were included in MS fiches whenever available.</w:t>
      </w:r>
    </w:p>
  </w:footnote>
  <w:footnote w:id="60">
    <w:p w14:paraId="38882F02" w14:textId="77777777" w:rsidR="000F3909" w:rsidRPr="00E14072" w:rsidRDefault="000F3909" w:rsidP="000F3909">
      <w:pPr>
        <w:pStyle w:val="FootnoteText"/>
        <w:rPr>
          <w:rFonts w:ascii="Verdana" w:hAnsi="Verdana"/>
          <w:sz w:val="16"/>
          <w:szCs w:val="16"/>
          <w:lang w:val="en-US"/>
        </w:rPr>
      </w:pPr>
      <w:r w:rsidRPr="00E14072">
        <w:rPr>
          <w:rStyle w:val="FootnoteReference"/>
          <w:rFonts w:ascii="Verdana" w:hAnsi="Verdana"/>
          <w:sz w:val="16"/>
          <w:szCs w:val="16"/>
        </w:rPr>
        <w:footnoteRef/>
      </w:r>
      <w:r w:rsidRPr="00E14072">
        <w:rPr>
          <w:rFonts w:ascii="Verdana" w:hAnsi="Verdana"/>
          <w:sz w:val="16"/>
          <w:szCs w:val="16"/>
          <w:lang w:val="en-US"/>
        </w:rPr>
        <w:t xml:space="preserve"> Whenever available and possible, OECD data on affordability were used as source data, to improve data comparability across countries. The source for all full cost-recovery equivalent rates is always the OECD.</w:t>
      </w:r>
    </w:p>
  </w:footnote>
  <w:footnote w:id="61">
    <w:p w14:paraId="41830DD5" w14:textId="77777777" w:rsidR="00A01317" w:rsidRDefault="00A01317" w:rsidP="00A01317">
      <w:pPr>
        <w:pStyle w:val="WDBodySmall"/>
      </w:pPr>
      <w:r>
        <w:rPr>
          <w:rStyle w:val="FootnoteReference"/>
        </w:rPr>
        <w:footnoteRef/>
      </w:r>
      <w:r>
        <w:t xml:space="preserve"> Once the countries that only provide cost estimates for basic (Luxembourg) or supplementary measures (Belgium, Netherlands, Lithuania) are excluded.</w:t>
      </w:r>
      <w:r w:rsidRPr="00570C77">
        <w:t xml:space="preserve"> </w:t>
      </w:r>
      <w:r>
        <w:t>Czechia reported EUR 0 cost for supplementary measures.</w:t>
      </w:r>
    </w:p>
  </w:footnote>
  <w:footnote w:id="62">
    <w:p w14:paraId="7C0345ED" w14:textId="77777777" w:rsidR="00780719" w:rsidRPr="007F073C" w:rsidRDefault="00780719" w:rsidP="00780719">
      <w:pPr>
        <w:pStyle w:val="FootnoteText"/>
        <w:rPr>
          <w:lang w:val="en-US"/>
        </w:rPr>
      </w:pPr>
      <w:r>
        <w:rPr>
          <w:rStyle w:val="FootnoteReference"/>
        </w:rPr>
        <w:footnoteRef/>
      </w:r>
      <w:r w:rsidRPr="00D14669">
        <w:rPr>
          <w:lang w:val="en-US"/>
        </w:rPr>
        <w:t xml:space="preserve"> </w:t>
      </w:r>
      <w:r w:rsidRPr="007F073C">
        <w:rPr>
          <w:lang w:val="en-US"/>
        </w:rPr>
        <w:t xml:space="preserve">These funding sources are likely </w:t>
      </w:r>
      <w:r>
        <w:rPr>
          <w:lang w:val="en-US"/>
        </w:rPr>
        <w:t>to be in place in all MS – however, in come MS fiches no information was found and reported.</w:t>
      </w:r>
    </w:p>
  </w:footnote>
  <w:footnote w:id="63">
    <w:p w14:paraId="249EA1E4" w14:textId="77777777" w:rsidR="00780719" w:rsidRPr="006E4346" w:rsidRDefault="00780719" w:rsidP="00780719">
      <w:pPr>
        <w:pStyle w:val="WDBullets"/>
        <w:ind w:left="0" w:firstLine="0"/>
      </w:pPr>
      <w:r>
        <w:rPr>
          <w:rStyle w:val="FootnoteReference"/>
        </w:rPr>
        <w:footnoteRef/>
      </w:r>
      <w:r w:rsidRPr="00D8338D">
        <w:rPr>
          <w:lang w:val="en-US"/>
        </w:rPr>
        <w:t xml:space="preserve"> </w:t>
      </w:r>
      <w:r w:rsidRPr="00D8338D">
        <w:rPr>
          <w:sz w:val="18"/>
          <w:szCs w:val="18"/>
          <w:lang w:val="en-US"/>
        </w:rPr>
        <w:t xml:space="preserve">A MS suggested that </w:t>
      </w:r>
      <w:r w:rsidRPr="00D8338D">
        <w:rPr>
          <w:sz w:val="18"/>
          <w:szCs w:val="18"/>
        </w:rPr>
        <w:t>This might be a good starting point to think about the future work at the level of Strategic Coordination Group (EC Water Team).</w:t>
      </w:r>
    </w:p>
  </w:footnote>
  <w:footnote w:id="64">
    <w:p w14:paraId="74B566FD" w14:textId="77777777" w:rsidR="00780719" w:rsidRPr="00D14669" w:rsidRDefault="00780719" w:rsidP="00780719">
      <w:pPr>
        <w:pStyle w:val="FootnoteText"/>
        <w:rPr>
          <w:sz w:val="16"/>
          <w:szCs w:val="16"/>
          <w:lang w:val="en-US"/>
        </w:rPr>
      </w:pPr>
      <w:r w:rsidRPr="00EB7883">
        <w:rPr>
          <w:rStyle w:val="FootnoteReference"/>
          <w:sz w:val="16"/>
          <w:szCs w:val="16"/>
        </w:rPr>
        <w:footnoteRef/>
      </w:r>
      <w:r w:rsidRPr="00D14669">
        <w:rPr>
          <w:sz w:val="16"/>
          <w:szCs w:val="16"/>
          <w:lang w:val="en-US"/>
        </w:rPr>
        <w:t xml:space="preserve"> Still, water consumers in the majority of countries might still face challenges in paying their water bills, with mechanisms put in place for supporting them to ensure they benefit from the essential water services. </w:t>
      </w:r>
    </w:p>
  </w:footnote>
  <w:footnote w:id="65">
    <w:p w14:paraId="67263780" w14:textId="77777777" w:rsidR="008E7AB2" w:rsidRPr="005D776B" w:rsidRDefault="008E7AB2" w:rsidP="008E7AB2">
      <w:pPr>
        <w:pStyle w:val="WDBodySmall"/>
      </w:pPr>
      <w:r w:rsidRPr="005D776B">
        <w:rPr>
          <w:rStyle w:val="FootnoteReference"/>
          <w:rFonts w:cs="Segoe UI"/>
          <w:sz w:val="20"/>
        </w:rPr>
        <w:footnoteRef/>
      </w:r>
      <w:r w:rsidRPr="00EC3AD7">
        <w:t xml:space="preserve"> United Nations Environment Programme. </w:t>
      </w:r>
      <w:r w:rsidRPr="005D776B">
        <w:t>The Adaptation Finance Gap Report 2016; Nairobi, Kenya</w:t>
      </w:r>
    </w:p>
  </w:footnote>
  <w:footnote w:id="66">
    <w:p w14:paraId="402C1493" w14:textId="77777777" w:rsidR="008E7AB2" w:rsidRPr="00E66665" w:rsidRDefault="008E7AB2" w:rsidP="008E7AB2">
      <w:pPr>
        <w:pStyle w:val="WDBodySmall"/>
      </w:pPr>
      <w:r w:rsidRPr="00E66665">
        <w:rPr>
          <w:rStyle w:val="FootnoteReference"/>
          <w:rFonts w:cs="Segoe UI"/>
          <w:sz w:val="20"/>
          <w:szCs w:val="20"/>
        </w:rPr>
        <w:footnoteRef/>
      </w:r>
      <w:r w:rsidRPr="00E66665">
        <w:rPr>
          <w:lang w:val="es-ES"/>
        </w:rPr>
        <w:t xml:space="preserve"> </w:t>
      </w:r>
      <w:r w:rsidRPr="00E66665">
        <w:rPr>
          <w:shd w:val="clear" w:color="auto" w:fill="FFFFFF"/>
          <w:lang w:val="es-ES"/>
        </w:rPr>
        <w:t xml:space="preserve">Urrea-Mallebrera, M. A., Altarejos-García, L., &amp; García-Bermejo, J. T. </w:t>
      </w:r>
      <w:r w:rsidRPr="00E66665">
        <w:rPr>
          <w:rFonts w:eastAsia="Calibri"/>
          <w:shd w:val="clear" w:color="auto" w:fill="FFFFFF"/>
          <w:lang w:val="es-ES"/>
        </w:rPr>
        <w:t>(</w:t>
      </w:r>
      <w:r w:rsidRPr="00E66665">
        <w:rPr>
          <w:shd w:val="clear" w:color="auto" w:fill="FFFFFF"/>
          <w:lang w:val="es-ES"/>
        </w:rPr>
        <w:t>2020</w:t>
      </w:r>
      <w:r w:rsidRPr="00E66665">
        <w:rPr>
          <w:rFonts w:eastAsia="Calibri"/>
          <w:shd w:val="clear" w:color="auto" w:fill="FFFFFF"/>
          <w:lang w:val="es-ES"/>
        </w:rPr>
        <w:t>)</w:t>
      </w:r>
      <w:r w:rsidRPr="00E66665">
        <w:rPr>
          <w:shd w:val="clear" w:color="auto" w:fill="FFFFFF"/>
          <w:lang w:val="es-ES"/>
        </w:rPr>
        <w:t xml:space="preserve">. </w:t>
      </w:r>
      <w:r w:rsidRPr="00E66665">
        <w:rPr>
          <w:shd w:val="clear" w:color="auto" w:fill="FFFFFF"/>
        </w:rPr>
        <w:t>Management of River Basin Physical Assets. In </w:t>
      </w:r>
      <w:r w:rsidRPr="00E66665">
        <w:rPr>
          <w:i/>
          <w:iCs/>
        </w:rPr>
        <w:t>River Basin Management</w:t>
      </w:r>
      <w:r w:rsidRPr="00E66665">
        <w:rPr>
          <w:shd w:val="clear" w:color="auto" w:fill="FFFFFF"/>
        </w:rPr>
        <w:t>. IntechOpen.</w:t>
      </w:r>
    </w:p>
    <w:p w14:paraId="761E1488" w14:textId="77777777" w:rsidR="008E7AB2" w:rsidRPr="008E7AB2" w:rsidRDefault="008E7AB2" w:rsidP="008E7AB2">
      <w:pPr>
        <w:pStyle w:val="FootnoteText"/>
        <w:rPr>
          <w:lang w:val="en-US"/>
        </w:rPr>
      </w:pPr>
    </w:p>
  </w:footnote>
  <w:footnote w:id="67">
    <w:p w14:paraId="7B068A08" w14:textId="77777777" w:rsidR="008E7AB2" w:rsidRPr="005D776B" w:rsidRDefault="008E7AB2" w:rsidP="008E7AB2">
      <w:pPr>
        <w:pStyle w:val="WDBodySmall"/>
      </w:pPr>
      <w:r w:rsidRPr="005D776B">
        <w:rPr>
          <w:rStyle w:val="FootnoteReference"/>
          <w:rFonts w:cs="Segoe UI"/>
          <w:sz w:val="20"/>
          <w:szCs w:val="20"/>
        </w:rPr>
        <w:footnoteRef/>
      </w:r>
      <w:r w:rsidRPr="005D776B">
        <w:t xml:space="preserve"> Machác</w:t>
      </w:r>
      <w:r w:rsidRPr="005D776B">
        <w:rPr>
          <w:rFonts w:eastAsia="Calibri"/>
        </w:rPr>
        <w:t>̌</w:t>
      </w:r>
      <w:r w:rsidRPr="005D776B">
        <w:t>, J.; Brabec, J. and Voj</w:t>
      </w:r>
      <w:r w:rsidRPr="005D776B">
        <w:rPr>
          <w:rFonts w:eastAsia="Calibri"/>
        </w:rPr>
        <w:t>áč</w:t>
      </w:r>
      <w:r w:rsidRPr="005D776B">
        <w:t>ek, O. 2020. Development and implementation of the concept of disproportionate costs in water management in central Europe in the light of the EU WFD.</w:t>
      </w:r>
      <w:r w:rsidRPr="005D776B">
        <w:br/>
        <w:t xml:space="preserve">Water Alternatives 13(3): 618-633 </w:t>
      </w:r>
    </w:p>
    <w:p w14:paraId="44EA5303" w14:textId="77777777" w:rsidR="008E7AB2" w:rsidRPr="005D776B" w:rsidRDefault="008E7AB2" w:rsidP="008E7AB2">
      <w:pPr>
        <w:pStyle w:val="FootnoteText"/>
        <w:rPr>
          <w:lang w:val="es-ES"/>
        </w:rPr>
      </w:pPr>
    </w:p>
  </w:footnote>
  <w:footnote w:id="68">
    <w:p w14:paraId="6C7F688A" w14:textId="77777777" w:rsidR="008E7AB2" w:rsidRPr="008E7AB2" w:rsidRDefault="008E7AB2" w:rsidP="008E7AB2">
      <w:pPr>
        <w:pStyle w:val="FootnoteText"/>
        <w:rPr>
          <w:lang w:val="en-US"/>
        </w:rPr>
      </w:pPr>
      <w:r>
        <w:rPr>
          <w:rStyle w:val="FootnoteReference"/>
        </w:rPr>
        <w:footnoteRef/>
      </w:r>
      <w:r w:rsidRPr="008E7AB2">
        <w:rPr>
          <w:lang w:val="en-US"/>
        </w:rPr>
        <w:t xml:space="preserve"> BOT, </w:t>
      </w:r>
      <w:r w:rsidRPr="008E7AB2">
        <w:rPr>
          <w:sz w:val="16"/>
          <w:szCs w:val="16"/>
          <w:lang w:val="en-US"/>
        </w:rPr>
        <w:t xml:space="preserve">a model used in Public-Private-Partnerships, is a project delivery method used for large-scale (water and other) infrastructure projects: a private entity receives a concession from the public sector to finance, design, construct, own, and operate a facility stated in the concession contract.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1D2A51" w14:paraId="2E43333B" w14:textId="77777777" w:rsidTr="00030154">
      <w:trPr>
        <w:trHeight w:val="1597"/>
      </w:trPr>
      <w:tc>
        <w:tcPr>
          <w:tcW w:w="1117" w:type="dxa"/>
        </w:tcPr>
        <w:p w14:paraId="1CA099F3" w14:textId="77777777" w:rsidR="001D2A51" w:rsidRDefault="001D2A51"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14:paraId="583EBD64" w14:textId="77777777" w:rsidR="001D2A51" w:rsidRDefault="001D2A51" w:rsidP="007A4813">
          <w:pPr>
            <w:pStyle w:val="ZDGName"/>
            <w:jc w:val="center"/>
            <w:rPr>
              <w:rFonts w:ascii="Verdana" w:hAnsi="Verdana"/>
              <w:caps/>
              <w:sz w:val="18"/>
              <w:szCs w:val="18"/>
            </w:rPr>
          </w:pPr>
        </w:p>
        <w:p w14:paraId="79F4956B" w14:textId="77777777" w:rsidR="001D2A51" w:rsidRPr="00DC39C7" w:rsidRDefault="001D2A51" w:rsidP="007A4813">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Pr>
            <w:t>document</w:t>
          </w:r>
        </w:p>
      </w:tc>
      <w:tc>
        <w:tcPr>
          <w:tcW w:w="1146" w:type="dxa"/>
        </w:tcPr>
        <w:p w14:paraId="37151FE2" w14:textId="77777777" w:rsidR="001D2A51" w:rsidRDefault="001D2A51" w:rsidP="00ED7DE3">
          <w:pPr>
            <w:pStyle w:val="ZCom"/>
          </w:pPr>
        </w:p>
        <w:p w14:paraId="4074FE3D" w14:textId="77777777" w:rsidR="001D2A51" w:rsidRDefault="001D2A51" w:rsidP="00ED7DE3">
          <w:pPr>
            <w:pStyle w:val="ZDGName"/>
          </w:pPr>
        </w:p>
        <w:p w14:paraId="634A3B88" w14:textId="77777777" w:rsidR="001D2A51" w:rsidRDefault="001D2A51" w:rsidP="00ED7DE3">
          <w:pPr>
            <w:pStyle w:val="ZDGName"/>
          </w:pPr>
        </w:p>
        <w:p w14:paraId="31DAB449" w14:textId="77777777" w:rsidR="001D2A51" w:rsidRPr="007D46C5" w:rsidRDefault="001D2A51" w:rsidP="00ED7DE3">
          <w:pPr>
            <w:pStyle w:val="ZDGName"/>
          </w:pPr>
        </w:p>
      </w:tc>
    </w:tr>
  </w:tbl>
  <w:p w14:paraId="631128B0" w14:textId="77777777" w:rsidR="001D2A51" w:rsidRDefault="001D2A51" w:rsidP="005931F7">
    <w:pPr>
      <w:pStyle w:val="Header"/>
      <w:tabs>
        <w:tab w:val="clear" w:pos="8306"/>
      </w:tabs>
      <w:ind w:right="-74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AE538" w14:textId="77777777" w:rsidR="001D2A51" w:rsidRDefault="000535B3" w:rsidP="000535B3">
    <w:pPr>
      <w:pStyle w:val="Header"/>
      <w:tabs>
        <w:tab w:val="clear" w:pos="4153"/>
        <w:tab w:val="center" w:pos="4536"/>
        <w:tab w:val="left" w:pos="7513"/>
      </w:tabs>
      <w:spacing w:after="0"/>
      <w:jc w:val="center"/>
    </w:pPr>
    <w:r>
      <w:rPr>
        <w:noProof/>
        <w:lang w:val="en-US"/>
      </w:rPr>
      <w:drawing>
        <wp:anchor distT="0" distB="0" distL="114300" distR="114300" simplePos="0" relativeHeight="251646464" behindDoc="1" locked="0" layoutInCell="1" allowOverlap="1" wp14:anchorId="352DCC78" wp14:editId="1F854F1F">
          <wp:simplePos x="0" y="0"/>
          <wp:positionH relativeFrom="margin">
            <wp:posOffset>-923290</wp:posOffset>
          </wp:positionH>
          <wp:positionV relativeFrom="margin">
            <wp:posOffset>288290</wp:posOffset>
          </wp:positionV>
          <wp:extent cx="7345045" cy="7423785"/>
          <wp:effectExtent l="0" t="0" r="0" b="0"/>
          <wp:wrapNone/>
          <wp:docPr id="8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4B0A7D51" wp14:editId="58390A63">
          <wp:extent cx="2266950" cy="1743075"/>
          <wp:effectExtent l="0" t="0" r="0" b="0"/>
          <wp:docPr id="89" name="Picture 5"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EE7AC" w14:textId="77777777" w:rsidR="001D2A51" w:rsidRPr="00623ED0" w:rsidRDefault="001D2A51" w:rsidP="00623ED0">
    <w:pPr>
      <w:pStyle w:val="Header"/>
      <w:tabs>
        <w:tab w:val="left" w:pos="7513"/>
      </w:tabs>
      <w:spacing w:after="0"/>
      <w:ind w:left="4153" w:hanging="4153"/>
      <w:jc w:val="center"/>
      <w:rPr>
        <w:lang w:val="fr-B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A6D75" w14:textId="77777777" w:rsidR="00E15F27" w:rsidRPr="00E15F27" w:rsidRDefault="00CF0228" w:rsidP="00E15F2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E1BE5" w14:textId="6E523570" w:rsidR="001D2A51" w:rsidRDefault="001D2A51" w:rsidP="005931F7">
    <w:pPr>
      <w:pStyle w:val="Header"/>
      <w:tabs>
        <w:tab w:val="clear" w:pos="8306"/>
      </w:tabs>
      <w:ind w:right="-742"/>
    </w:pPr>
    <w:r>
      <w:rPr>
        <w:noProof/>
        <w:lang w:val="en-US"/>
      </w:rPr>
      <w:drawing>
        <wp:anchor distT="0" distB="0" distL="114300" distR="114300" simplePos="0" relativeHeight="251657728" behindDoc="1" locked="0" layoutInCell="1" allowOverlap="1" wp14:anchorId="64A59E8D" wp14:editId="609B627B">
          <wp:simplePos x="0" y="0"/>
          <wp:positionH relativeFrom="margin">
            <wp:posOffset>6654537</wp:posOffset>
          </wp:positionH>
          <wp:positionV relativeFrom="margin">
            <wp:posOffset>2622046</wp:posOffset>
          </wp:positionV>
          <wp:extent cx="7356672" cy="7425559"/>
          <wp:effectExtent l="19050" t="0" r="0" b="0"/>
          <wp:wrapNone/>
          <wp:docPr id="102"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9889E" w14:textId="47818410" w:rsidR="00623ED0" w:rsidRPr="00623ED0" w:rsidRDefault="00F05BB8" w:rsidP="00623ED0">
    <w:pPr>
      <w:pStyle w:val="Header"/>
      <w:tabs>
        <w:tab w:val="left" w:pos="7513"/>
      </w:tabs>
      <w:spacing w:after="0"/>
      <w:jc w:val="center"/>
      <w:rPr>
        <w:noProof/>
        <w:lang w:val="en-GB" w:eastAsia="en-GB"/>
      </w:rPr>
    </w:pPr>
    <w:r>
      <w:rPr>
        <w:noProof/>
        <w:lang w:val="en-US"/>
      </w:rPr>
      <mc:AlternateContent>
        <mc:Choice Requires="wps">
          <w:drawing>
            <wp:anchor distT="0" distB="0" distL="114300" distR="114300" simplePos="0" relativeHeight="251658752" behindDoc="0" locked="0" layoutInCell="1" allowOverlap="1" wp14:anchorId="34B676AB" wp14:editId="441DF3AE">
              <wp:simplePos x="0" y="0"/>
              <wp:positionH relativeFrom="margin">
                <wp:posOffset>5754370</wp:posOffset>
              </wp:positionH>
              <wp:positionV relativeFrom="page">
                <wp:posOffset>119380</wp:posOffset>
              </wp:positionV>
              <wp:extent cx="622300" cy="1229360"/>
              <wp:effectExtent l="1270" t="0" r="0" b="381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A1829" w14:textId="77777777" w:rsidR="001D2A51" w:rsidRPr="00367149" w:rsidRDefault="001D2A51" w:rsidP="00367149">
                          <w:pPr>
                            <w:rPr>
                              <w:rFonts w:ascii="Verdana" w:hAnsi="Verdana"/>
                              <w:color w:val="FFFFFF" w:themeColor="background1"/>
                              <w:sz w:val="16"/>
                              <w:lang w:val="fr-B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676AB" id="_x0000_t202" coordsize="21600,21600" o:spt="202" path="m,l,21600r21600,l21600,xe">
              <v:stroke joinstyle="miter"/>
              <v:path gradientshapeok="t" o:connecttype="rect"/>
            </v:shapetype>
            <v:shape id="Text Box 72" o:spid="_x0000_s1043" type="#_x0000_t202" style="position:absolute;left:0;text-align:left;margin-left:453.1pt;margin-top:9.4pt;width:49pt;height:96.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V0qwIAALEFAAAOAAAAZHJzL2Uyb0RvYy54bWysVNuOmzAQfa/Uf7D8znJZQgIKWWVD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HGPESQsUPdFBo3sxoHlg2tN3KoFTjx2c0wPsA822VNU9iOK7QlxsasL3dC2l6GtKSkjPNzfdq6sj&#10;jjIgu/6TKCEOOWhhgYZKtqZ30A0E6EDT85kak0sBm1EQ3HrgKcDlB0F8G1nuXJJMtzup9AcqWmSM&#10;FEug3qKT44PSJhuSTEdMMC5y1jSW/oa/2ICD4w7EhqvGZ7KwbP6MvXi72C5CJwyirRN6Weas803o&#10;RLk/n2W32WaT+b9MXD9MalaWlJswk7L88G3MnTQ+auKsLSUaVho4k5KS+92mkehIjLLtZ3sOnssx&#10;92UatglQy6uS/CD07oPYyaPF3AnzcObEc2/heH58H0deGIdZ/rKkB8bpv5eEehDdLJiNYrok/cba&#10;SNIyDbOjYW2KF+cGkMRIcMtLS60mrBntq1aY9C+tALonoq1gjUZHtephN9inYdVsxLwT5TMoWAoQ&#10;GIgR5h4YZsWohxmSYvXjQCTFqPnI4RWYgTMZcjJ2k0F4UQsYRXB5NDd6HEyHTrJ9DcjjO+NiDS+l&#10;YlbElyxO7wvmgq3lNMPM4Ln+t6cuk3b1GwAA//8DAFBLAwQUAAYACAAAACEAb72Edt0AAAALAQAA&#10;DwAAAGRycy9kb3ducmV2LnhtbEyPwU7DMBBE70j8g7VIXBC161ZVGuJUCFHBlbQf4MZLEhGvo9hp&#10;079ne4Lj7szOvil2s+/FGcfYBTKwXCgQSHVwHTUGjof9cwYiJkvO9oHQwBUj7Mr7u8LmLlzoC89V&#10;agSHUMytgTalIZcy1i16GxdhQGLtO4zeJh7HRrrRXjjc91IrtZHedsQfWjvgW4v1TzV5xrjqw2r1&#10;0e8/tzrhk6t0Nr17Yx4f5tcXEAnn9GeGGz7fQMlMpzCRi6I3sFUbzVYWMq5wMyi15s3JgF7qNciy&#10;kP87lL8AAAD//wMAUEsBAi0AFAAGAAgAAAAhALaDOJL+AAAA4QEAABMAAAAAAAAAAAAAAAAAAAAA&#10;AFtDb250ZW50X1R5cGVzXS54bWxQSwECLQAUAAYACAAAACEAOP0h/9YAAACUAQAACwAAAAAAAAAA&#10;AAAAAAAvAQAAX3JlbHMvLnJlbHNQSwECLQAUAAYACAAAACEA+45VdKsCAACxBQAADgAAAAAAAAAA&#10;AAAAAAAuAgAAZHJzL2Uyb0RvYy54bWxQSwECLQAUAAYACAAAACEAb72Edt0AAAALAQAADwAAAAAA&#10;AAAAAAAAAAAFBQAAZHJzL2Rvd25yZXYueG1sUEsFBgAAAAAEAAQA8wAAAA8GAAAAAA==&#10;" filled="f" fillcolor="black" stroked="f">
              <v:textbox style="layout-flow:vertical" inset="0,0,0,0">
                <w:txbxContent>
                  <w:p w14:paraId="203A1829" w14:textId="77777777" w:rsidR="001D2A51" w:rsidRPr="00367149" w:rsidRDefault="001D2A51" w:rsidP="00367149">
                    <w:pPr>
                      <w:rPr>
                        <w:rFonts w:ascii="Verdana" w:hAnsi="Verdana"/>
                        <w:color w:val="FFFFFF" w:themeColor="background1"/>
                        <w:sz w:val="16"/>
                        <w:lang w:val="fr-BE"/>
                      </w:rPr>
                    </w:pPr>
                  </w:p>
                </w:txbxContent>
              </v:textbox>
              <w10:wrap anchorx="margin" anchory="page"/>
            </v:shape>
          </w:pict>
        </mc:Fallback>
      </mc:AlternateContent>
    </w:r>
    <w:r w:rsidR="00492D6B">
      <w:rPr>
        <w:noProof/>
        <w:lang w:val="en-US"/>
      </w:rPr>
      <w:drawing>
        <wp:anchor distT="0" distB="0" distL="114300" distR="114300" simplePos="0" relativeHeight="251656704" behindDoc="1" locked="0" layoutInCell="1" allowOverlap="1" wp14:anchorId="4E7161D6" wp14:editId="4C1A42BC">
          <wp:simplePos x="0" y="0"/>
          <wp:positionH relativeFrom="margin">
            <wp:posOffset>-914285</wp:posOffset>
          </wp:positionH>
          <wp:positionV relativeFrom="margin">
            <wp:posOffset>15240</wp:posOffset>
          </wp:positionV>
          <wp:extent cx="7868188" cy="8188036"/>
          <wp:effectExtent l="0" t="0" r="0" b="3810"/>
          <wp:wrapNone/>
          <wp:docPr id="15"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14:sizeRelV relativeFrom="margin">
            <wp14:pctHeight>0</wp14:pctHeight>
          </wp14:sizeRelV>
        </wp:anchor>
      </w:drawing>
    </w:r>
    <w:r w:rsidR="00623ED0">
      <w:rPr>
        <w:noProof/>
        <w:lang w:val="en-US"/>
      </w:rPr>
      <mc:AlternateContent>
        <mc:Choice Requires="wps">
          <w:drawing>
            <wp:anchor distT="0" distB="0" distL="114300" distR="114300" simplePos="0" relativeHeight="251659776" behindDoc="1" locked="0" layoutInCell="1" allowOverlap="1" wp14:anchorId="4E8E7E18" wp14:editId="5C29F6AF">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EC08C" id="Rectangle 2" o:spid="_x0000_s1026" style="position:absolute;margin-left:-70.9pt;margin-top:-107pt;width:595.3pt;height:107.9pt;z-index:-251656704;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FlwIAAIYFAAAOAAAAZHJzL2Uyb0RvYy54bWysVMFu2zAMvQ/YPwi6r7bTtGmDOkWQosOA&#10;oi3aDj0rshQbkEVNUuJkXz9Ksp2uK3YYloMiiuQj+Uzy6nrfKrIT1jWgS1qc5JQIzaFq9Kak319u&#10;v1xQ4jzTFVOgRUkPwtHrxedPV52ZiwnUoCphCYJoN+9MSWvvzTzLHK9Fy9wJGKFRKcG2zKNoN1ll&#10;WYforcomeX6edWArY4EL5/D1JinpIuJLKbh/kNIJT1RJMTcfTxvPdTizxRWbbywzdcP7NNg/ZNGy&#10;RmPQEeqGeUa2tvkDqm24BQfSn3BoM5Cy4SLWgNUU+btqnmtmRKwFyXFmpMn9P1h+v3u0pKlKOqFE&#10;sxY/0ROSxvRGCTIJ9HTGzdHq2TzaXnJ4DbXupW3DP1ZB9pHSw0ip2HvC8XF2dp6fFsg8R11xOsvz&#10;01lAzY7uxjr/VUBLwqWkFsNHKtnuzvlkOpiEaA5UU902SkXBbtYrZcmOhe+bT6eX0x79NzOlg7GG&#10;4JYQw0sWSkvFxJs/KBHslH4SEjnB9Ccxk9iNYozDOBfaF0lVs0qk8Gc5/obooX+DR6w0AgZkifFH&#10;7B5gsEwgA3bKsrcPriI28+ic/y2x5Dx6xMig/ejcNhrsRwAKq+ojJ/uBpERNYGkN1QE7xkIaJWf4&#10;bYPf7Y45/8gszg5+a9wH/gEPqaArKfQ3SmqwPz96D/bY0qilpMNZLKn7sWVWUKK+aWz2y2I6DcMb&#10;henZbIKCfatZv9XobbsCbIcCN4/h8RrsvRqu0kL7imtjGaKiimmOsUvKvR2ElU87AhcPF8tlNMOB&#10;Nczf6WfDA3hgNfTly/6VWdM3r8e+v4dhbtn8XQ8n2+CpYbn1IJvY4Edee75x2GPj9IspbJO3crQ6&#10;rs/FLwAAAP//AwBQSwMEFAAGAAgAAAAhAAtFhkHeAAAADAEAAA8AAABkcnMvZG93bnJldi54bWxM&#10;j0FLw0AQhe+C/2EZwVu7SQ0SYjZFBC9CQVsVvE2z0ySYnQ272zb+e6cnvb2Zebz5Xr2e3ahOFOLg&#10;2UC+zEARt94O3Bl43z0vSlAxIVscPZOBH4qwbq6vaqysP/MbnbapUxLCsUIDfUpTpXVse3IYl34i&#10;ltvBB4dJxtBpG/As4W7Uqyy71w4Hlg89TvTUU/u9PToDrXdfXh/iHYf5dWPDzm1ePj6Nub2ZHx9A&#10;JZrTnxku+IIOjTDt/ZFtVKOBRV7kwp5ErfJCal08WVHKbi+qBN3U+n+J5hcAAP//AwBQSwECLQAU&#10;AAYACAAAACEAtoM4kv4AAADhAQAAEwAAAAAAAAAAAAAAAAAAAAAAW0NvbnRlbnRfVHlwZXNdLnht&#10;bFBLAQItABQABgAIAAAAIQA4/SH/1gAAAJQBAAALAAAAAAAAAAAAAAAAAC8BAABfcmVscy8ucmVs&#10;c1BLAQItABQABgAIAAAAIQDuN/vFlwIAAIYFAAAOAAAAAAAAAAAAAAAAAC4CAABkcnMvZTJvRG9j&#10;LnhtbFBLAQItABQABgAIAAAAIQALRYZB3gAAAAwBAAAPAAAAAAAAAAAAAAAAAPEEAABkcnMvZG93&#10;bnJldi54bWxQSwUGAAAAAAQABADzAAAA/AUAAAAA&#10;" fillcolor="#004494" stroked="f" strokeweight="2pt">
              <w10:wrap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6D0B4D"/>
    <w:multiLevelType w:val="hybridMultilevel"/>
    <w:tmpl w:val="DF22A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C20DE6"/>
    <w:multiLevelType w:val="hybridMultilevel"/>
    <w:tmpl w:val="CB10CD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D153F1"/>
    <w:multiLevelType w:val="hybridMultilevel"/>
    <w:tmpl w:val="25BAA83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71B25"/>
    <w:multiLevelType w:val="hybridMultilevel"/>
    <w:tmpl w:val="2B96998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C34703"/>
    <w:multiLevelType w:val="hybridMultilevel"/>
    <w:tmpl w:val="6532B3D4"/>
    <w:lvl w:ilvl="0" w:tplc="9A5C4D82">
      <w:start w:val="1"/>
      <w:numFmt w:val="bullet"/>
      <w:pStyle w:val="WDBullets"/>
      <w:lvlText w:val="l"/>
      <w:lvlJc w:val="left"/>
      <w:pPr>
        <w:ind w:left="1211" w:hanging="360"/>
      </w:pPr>
      <w:rPr>
        <w:rFonts w:ascii="Wingdings" w:hAnsi="Wingdings" w:hint="default"/>
        <w:color w:val="1F497D" w:themeColor="text2"/>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4D6BA5"/>
    <w:multiLevelType w:val="hybridMultilevel"/>
    <w:tmpl w:val="C526E0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042BDC"/>
    <w:multiLevelType w:val="hybridMultilevel"/>
    <w:tmpl w:val="8A8A70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35248AB"/>
    <w:multiLevelType w:val="hybridMultilevel"/>
    <w:tmpl w:val="CDB2E2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DA262F"/>
    <w:multiLevelType w:val="hybridMultilevel"/>
    <w:tmpl w:val="218E9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7A11366"/>
    <w:multiLevelType w:val="hybridMultilevel"/>
    <w:tmpl w:val="C192A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DB95FD5"/>
    <w:multiLevelType w:val="hybridMultilevel"/>
    <w:tmpl w:val="DA14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021E31"/>
    <w:multiLevelType w:val="hybridMultilevel"/>
    <w:tmpl w:val="D5A0D8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C4389B"/>
    <w:multiLevelType w:val="multilevel"/>
    <w:tmpl w:val="687E2FEA"/>
    <w:styleLink w:val="AMEC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1" w15:restartNumberingAfterBreak="0">
    <w:nsid w:val="31763C96"/>
    <w:multiLevelType w:val="hybridMultilevel"/>
    <w:tmpl w:val="2056D58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3" w15:restartNumberingAfterBreak="0">
    <w:nsid w:val="348642E3"/>
    <w:multiLevelType w:val="hybridMultilevel"/>
    <w:tmpl w:val="88EE82DC"/>
    <w:lvl w:ilvl="0" w:tplc="58C602A8">
      <w:start w:val="1"/>
      <w:numFmt w:val="decimal"/>
      <w:pStyle w:val="Heading10"/>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7" w15:restartNumberingAfterBreak="0">
    <w:nsid w:val="41A753DE"/>
    <w:multiLevelType w:val="hybridMultilevel"/>
    <w:tmpl w:val="48F070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3456F1"/>
    <w:multiLevelType w:val="hybridMultilevel"/>
    <w:tmpl w:val="6C267C1C"/>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43E4278"/>
    <w:multiLevelType w:val="hybridMultilevel"/>
    <w:tmpl w:val="754EC9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15:restartNumberingAfterBreak="0">
    <w:nsid w:val="46127521"/>
    <w:multiLevelType w:val="hybridMultilevel"/>
    <w:tmpl w:val="9132B3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74025B7"/>
    <w:multiLevelType w:val="hybridMultilevel"/>
    <w:tmpl w:val="C9E02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8105C5A"/>
    <w:multiLevelType w:val="hybridMultilevel"/>
    <w:tmpl w:val="7C960A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E5268FA"/>
    <w:multiLevelType w:val="hybridMultilevel"/>
    <w:tmpl w:val="4AE23D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7" w15:restartNumberingAfterBreak="0">
    <w:nsid w:val="529270A4"/>
    <w:multiLevelType w:val="hybridMultilevel"/>
    <w:tmpl w:val="40009EB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15:restartNumberingAfterBreak="0">
    <w:nsid w:val="55927BEB"/>
    <w:multiLevelType w:val="hybridMultilevel"/>
    <w:tmpl w:val="846EE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9F974B6"/>
    <w:multiLevelType w:val="hybridMultilevel"/>
    <w:tmpl w:val="6B8AF1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AEA0E04"/>
    <w:multiLevelType w:val="hybridMultilevel"/>
    <w:tmpl w:val="5D607F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4"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5" w15:restartNumberingAfterBreak="0">
    <w:nsid w:val="644C7D3A"/>
    <w:multiLevelType w:val="hybridMultilevel"/>
    <w:tmpl w:val="CFB6F4F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7"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1F497D"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4AE06B5"/>
    <w:multiLevelType w:val="hybridMultilevel"/>
    <w:tmpl w:val="F630482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99477FF"/>
    <w:multiLevelType w:val="hybridMultilevel"/>
    <w:tmpl w:val="68F023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ABF5047"/>
    <w:multiLevelType w:val="hybridMultilevel"/>
    <w:tmpl w:val="17186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26"/>
  </w:num>
  <w:num w:numId="5">
    <w:abstractNumId w:val="16"/>
  </w:num>
  <w:num w:numId="6">
    <w:abstractNumId w:val="25"/>
  </w:num>
  <w:num w:numId="7">
    <w:abstractNumId w:val="44"/>
  </w:num>
  <w:num w:numId="8">
    <w:abstractNumId w:val="46"/>
  </w:num>
  <w:num w:numId="9">
    <w:abstractNumId w:val="22"/>
  </w:num>
  <w:num w:numId="10">
    <w:abstractNumId w:val="43"/>
  </w:num>
  <w:num w:numId="11">
    <w:abstractNumId w:val="42"/>
  </w:num>
  <w:num w:numId="12">
    <w:abstractNumId w:val="30"/>
  </w:num>
  <w:num w:numId="13">
    <w:abstractNumId w:val="38"/>
  </w:num>
  <w:num w:numId="14">
    <w:abstractNumId w:val="12"/>
  </w:num>
  <w:num w:numId="15">
    <w:abstractNumId w:val="24"/>
  </w:num>
  <w:num w:numId="16">
    <w:abstractNumId w:val="7"/>
  </w:num>
  <w:num w:numId="17">
    <w:abstractNumId w:val="17"/>
  </w:num>
  <w:num w:numId="18">
    <w:abstractNumId w:val="48"/>
  </w:num>
  <w:num w:numId="19">
    <w:abstractNumId w:val="34"/>
  </w:num>
  <w:num w:numId="20">
    <w:abstractNumId w:val="5"/>
  </w:num>
  <w:num w:numId="21">
    <w:abstractNumId w:val="36"/>
  </w:num>
  <w:num w:numId="22">
    <w:abstractNumId w:val="19"/>
  </w:num>
  <w:num w:numId="23">
    <w:abstractNumId w:val="10"/>
  </w:num>
  <w:num w:numId="24">
    <w:abstractNumId w:val="20"/>
  </w:num>
  <w:num w:numId="25">
    <w:abstractNumId w:val="39"/>
  </w:num>
  <w:num w:numId="26">
    <w:abstractNumId w:val="23"/>
  </w:num>
  <w:num w:numId="27">
    <w:abstractNumId w:val="8"/>
  </w:num>
  <w:num w:numId="28">
    <w:abstractNumId w:val="27"/>
  </w:num>
  <w:num w:numId="29">
    <w:abstractNumId w:val="28"/>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num>
  <w:num w:numId="33">
    <w:abstractNumId w:val="18"/>
  </w:num>
  <w:num w:numId="34">
    <w:abstractNumId w:val="14"/>
  </w:num>
  <w:num w:numId="35">
    <w:abstractNumId w:val="40"/>
  </w:num>
  <w:num w:numId="36">
    <w:abstractNumId w:val="11"/>
  </w:num>
  <w:num w:numId="37">
    <w:abstractNumId w:val="15"/>
  </w:num>
  <w:num w:numId="38">
    <w:abstractNumId w:val="50"/>
  </w:num>
  <w:num w:numId="39">
    <w:abstractNumId w:val="31"/>
  </w:num>
  <w:num w:numId="40">
    <w:abstractNumId w:val="51"/>
  </w:num>
  <w:num w:numId="41">
    <w:abstractNumId w:val="41"/>
  </w:num>
  <w:num w:numId="42">
    <w:abstractNumId w:val="21"/>
  </w:num>
  <w:num w:numId="43">
    <w:abstractNumId w:val="6"/>
  </w:num>
  <w:num w:numId="44">
    <w:abstractNumId w:val="33"/>
  </w:num>
  <w:num w:numId="45">
    <w:abstractNumId w:val="49"/>
  </w:num>
  <w:num w:numId="46">
    <w:abstractNumId w:val="2"/>
  </w:num>
  <w:num w:numId="47">
    <w:abstractNumId w:val="3"/>
  </w:num>
  <w:num w:numId="48">
    <w:abstractNumId w:val="45"/>
  </w:num>
  <w:num w:numId="49">
    <w:abstractNumId w:val="29"/>
  </w:num>
  <w:num w:numId="50">
    <w:abstractNumId w:val="13"/>
  </w:num>
  <w:num w:numId="51">
    <w:abstractNumId w:val="4"/>
  </w:num>
  <w:num w:numId="52">
    <w:abstractNumId w:val="35"/>
  </w:num>
  <w:num w:numId="53">
    <w:abstractNumId w:val="37"/>
  </w:num>
  <w:num w:numId="54">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evenAndOddHeaders/>
  <w:drawingGridHorizontalSpacing w:val="120"/>
  <w:displayHorizontalDrawingGridEvery w:val="0"/>
  <w:displayVerticalDrawingGridEvery w:val="0"/>
  <w:noPunctuationKerning/>
  <w:characterSpacingControl w:val="doNotCompress"/>
  <w:hdrShapeDefaults>
    <o:shapedefaults v:ext="edit" spidmax="4097" style="mso-position-vertical-relative:margin" fillcolor="#002395" stroke="f">
      <v:fill color="#002395"/>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1268"/>
    <w:rsid w:val="00012209"/>
    <w:rsid w:val="0001748A"/>
    <w:rsid w:val="0002439A"/>
    <w:rsid w:val="00030154"/>
    <w:rsid w:val="0003531E"/>
    <w:rsid w:val="00037F1F"/>
    <w:rsid w:val="00041E23"/>
    <w:rsid w:val="000420DD"/>
    <w:rsid w:val="00050692"/>
    <w:rsid w:val="00051099"/>
    <w:rsid w:val="00052009"/>
    <w:rsid w:val="000535B3"/>
    <w:rsid w:val="000624B2"/>
    <w:rsid w:val="000679B8"/>
    <w:rsid w:val="000846B0"/>
    <w:rsid w:val="0009555A"/>
    <w:rsid w:val="00097276"/>
    <w:rsid w:val="000A110F"/>
    <w:rsid w:val="000A26C4"/>
    <w:rsid w:val="000A5212"/>
    <w:rsid w:val="000A7FCF"/>
    <w:rsid w:val="000B62F1"/>
    <w:rsid w:val="000C5348"/>
    <w:rsid w:val="000D17BE"/>
    <w:rsid w:val="000D203C"/>
    <w:rsid w:val="000D52C0"/>
    <w:rsid w:val="000E2787"/>
    <w:rsid w:val="000E3F61"/>
    <w:rsid w:val="000F1813"/>
    <w:rsid w:val="000F3909"/>
    <w:rsid w:val="000F4A43"/>
    <w:rsid w:val="0010339F"/>
    <w:rsid w:val="001053D1"/>
    <w:rsid w:val="0010726F"/>
    <w:rsid w:val="0011681E"/>
    <w:rsid w:val="00121ECE"/>
    <w:rsid w:val="00124CBC"/>
    <w:rsid w:val="001269C5"/>
    <w:rsid w:val="00131BE7"/>
    <w:rsid w:val="00136138"/>
    <w:rsid w:val="00141116"/>
    <w:rsid w:val="001449F2"/>
    <w:rsid w:val="0014596A"/>
    <w:rsid w:val="001467E6"/>
    <w:rsid w:val="00150783"/>
    <w:rsid w:val="00150DDE"/>
    <w:rsid w:val="001636EC"/>
    <w:rsid w:val="001651E0"/>
    <w:rsid w:val="00170246"/>
    <w:rsid w:val="00170A63"/>
    <w:rsid w:val="001841D0"/>
    <w:rsid w:val="00186A17"/>
    <w:rsid w:val="001901AA"/>
    <w:rsid w:val="00196719"/>
    <w:rsid w:val="00196A3D"/>
    <w:rsid w:val="001A3654"/>
    <w:rsid w:val="001A7166"/>
    <w:rsid w:val="001B3CA5"/>
    <w:rsid w:val="001B4BBC"/>
    <w:rsid w:val="001C7F6D"/>
    <w:rsid w:val="001D2A51"/>
    <w:rsid w:val="001D33A8"/>
    <w:rsid w:val="001D4A21"/>
    <w:rsid w:val="001E6AC6"/>
    <w:rsid w:val="001F4CB2"/>
    <w:rsid w:val="00203347"/>
    <w:rsid w:val="002067A1"/>
    <w:rsid w:val="0021201F"/>
    <w:rsid w:val="00213AE8"/>
    <w:rsid w:val="002146E5"/>
    <w:rsid w:val="00215A57"/>
    <w:rsid w:val="00221BF6"/>
    <w:rsid w:val="00225290"/>
    <w:rsid w:val="00234AFB"/>
    <w:rsid w:val="002367E6"/>
    <w:rsid w:val="00241A4D"/>
    <w:rsid w:val="00255775"/>
    <w:rsid w:val="00266ED9"/>
    <w:rsid w:val="0026795B"/>
    <w:rsid w:val="00277967"/>
    <w:rsid w:val="00277A20"/>
    <w:rsid w:val="00282256"/>
    <w:rsid w:val="00286153"/>
    <w:rsid w:val="002934F3"/>
    <w:rsid w:val="002A726D"/>
    <w:rsid w:val="002B0865"/>
    <w:rsid w:val="002D1EF3"/>
    <w:rsid w:val="002D2C3E"/>
    <w:rsid w:val="002D52C0"/>
    <w:rsid w:val="002E2FBF"/>
    <w:rsid w:val="002E4BA1"/>
    <w:rsid w:val="002E782C"/>
    <w:rsid w:val="002F1592"/>
    <w:rsid w:val="002F611F"/>
    <w:rsid w:val="0030325A"/>
    <w:rsid w:val="00304A76"/>
    <w:rsid w:val="00312FE3"/>
    <w:rsid w:val="0031320E"/>
    <w:rsid w:val="00324094"/>
    <w:rsid w:val="00331BA5"/>
    <w:rsid w:val="003416C6"/>
    <w:rsid w:val="00342414"/>
    <w:rsid w:val="0034518D"/>
    <w:rsid w:val="00350D85"/>
    <w:rsid w:val="00351E4D"/>
    <w:rsid w:val="003566D6"/>
    <w:rsid w:val="00362478"/>
    <w:rsid w:val="003658D8"/>
    <w:rsid w:val="00365B66"/>
    <w:rsid w:val="003662DA"/>
    <w:rsid w:val="00367149"/>
    <w:rsid w:val="003752F8"/>
    <w:rsid w:val="0037757F"/>
    <w:rsid w:val="00382FF6"/>
    <w:rsid w:val="0038553A"/>
    <w:rsid w:val="0039110A"/>
    <w:rsid w:val="003A356C"/>
    <w:rsid w:val="003A4447"/>
    <w:rsid w:val="003B304A"/>
    <w:rsid w:val="003C7839"/>
    <w:rsid w:val="003C7A25"/>
    <w:rsid w:val="003D6E0A"/>
    <w:rsid w:val="003E1C2A"/>
    <w:rsid w:val="003E1CCA"/>
    <w:rsid w:val="003F02EE"/>
    <w:rsid w:val="003F0556"/>
    <w:rsid w:val="004010EE"/>
    <w:rsid w:val="00401AA5"/>
    <w:rsid w:val="00411576"/>
    <w:rsid w:val="00430977"/>
    <w:rsid w:val="004401F1"/>
    <w:rsid w:val="0044503B"/>
    <w:rsid w:val="00446FD7"/>
    <w:rsid w:val="00455233"/>
    <w:rsid w:val="00456FC8"/>
    <w:rsid w:val="00457C3F"/>
    <w:rsid w:val="00461D0A"/>
    <w:rsid w:val="00462166"/>
    <w:rsid w:val="00462E28"/>
    <w:rsid w:val="004679C7"/>
    <w:rsid w:val="004849C6"/>
    <w:rsid w:val="00492D6B"/>
    <w:rsid w:val="004A4C16"/>
    <w:rsid w:val="004A6099"/>
    <w:rsid w:val="004B015E"/>
    <w:rsid w:val="004B378A"/>
    <w:rsid w:val="004B4D19"/>
    <w:rsid w:val="004B63C2"/>
    <w:rsid w:val="004C0AA6"/>
    <w:rsid w:val="004E26FB"/>
    <w:rsid w:val="00502419"/>
    <w:rsid w:val="00503DA8"/>
    <w:rsid w:val="00506408"/>
    <w:rsid w:val="00515F27"/>
    <w:rsid w:val="00524518"/>
    <w:rsid w:val="00524C7A"/>
    <w:rsid w:val="00533B07"/>
    <w:rsid w:val="00542908"/>
    <w:rsid w:val="0054589F"/>
    <w:rsid w:val="0054698A"/>
    <w:rsid w:val="0055434B"/>
    <w:rsid w:val="00564348"/>
    <w:rsid w:val="0056442A"/>
    <w:rsid w:val="005677CD"/>
    <w:rsid w:val="00574F79"/>
    <w:rsid w:val="00577EC6"/>
    <w:rsid w:val="005816A2"/>
    <w:rsid w:val="00582E52"/>
    <w:rsid w:val="005848E1"/>
    <w:rsid w:val="005878B4"/>
    <w:rsid w:val="00592685"/>
    <w:rsid w:val="005931F7"/>
    <w:rsid w:val="005944CD"/>
    <w:rsid w:val="005A59E2"/>
    <w:rsid w:val="005B4538"/>
    <w:rsid w:val="005B56E9"/>
    <w:rsid w:val="005C6427"/>
    <w:rsid w:val="005C672B"/>
    <w:rsid w:val="005D51A6"/>
    <w:rsid w:val="005E5008"/>
    <w:rsid w:val="005F1B3E"/>
    <w:rsid w:val="005F49D5"/>
    <w:rsid w:val="005F5D31"/>
    <w:rsid w:val="00601B08"/>
    <w:rsid w:val="00605453"/>
    <w:rsid w:val="0061222C"/>
    <w:rsid w:val="00614345"/>
    <w:rsid w:val="00623C28"/>
    <w:rsid w:val="00623ED0"/>
    <w:rsid w:val="00633774"/>
    <w:rsid w:val="00633EF6"/>
    <w:rsid w:val="00646C13"/>
    <w:rsid w:val="00660F1F"/>
    <w:rsid w:val="00663DA8"/>
    <w:rsid w:val="00667EF5"/>
    <w:rsid w:val="0068109F"/>
    <w:rsid w:val="006849FF"/>
    <w:rsid w:val="006875E7"/>
    <w:rsid w:val="00690DA5"/>
    <w:rsid w:val="00690E99"/>
    <w:rsid w:val="006913F0"/>
    <w:rsid w:val="006914AD"/>
    <w:rsid w:val="00693978"/>
    <w:rsid w:val="006943F5"/>
    <w:rsid w:val="00696241"/>
    <w:rsid w:val="00696E04"/>
    <w:rsid w:val="006A41B0"/>
    <w:rsid w:val="006A6301"/>
    <w:rsid w:val="006B2165"/>
    <w:rsid w:val="006B26AA"/>
    <w:rsid w:val="006B31EF"/>
    <w:rsid w:val="006C1104"/>
    <w:rsid w:val="006D13C5"/>
    <w:rsid w:val="006D578F"/>
    <w:rsid w:val="006E23A8"/>
    <w:rsid w:val="006E2BA2"/>
    <w:rsid w:val="006F3042"/>
    <w:rsid w:val="007033B1"/>
    <w:rsid w:val="00707F5B"/>
    <w:rsid w:val="0071242D"/>
    <w:rsid w:val="00713494"/>
    <w:rsid w:val="00715F11"/>
    <w:rsid w:val="00723273"/>
    <w:rsid w:val="00726E76"/>
    <w:rsid w:val="007303B7"/>
    <w:rsid w:val="007354C7"/>
    <w:rsid w:val="007524C6"/>
    <w:rsid w:val="00753B14"/>
    <w:rsid w:val="00761ED4"/>
    <w:rsid w:val="007630EA"/>
    <w:rsid w:val="00763725"/>
    <w:rsid w:val="00773036"/>
    <w:rsid w:val="00780719"/>
    <w:rsid w:val="00781294"/>
    <w:rsid w:val="007852FF"/>
    <w:rsid w:val="00785D4A"/>
    <w:rsid w:val="0079010D"/>
    <w:rsid w:val="007A0562"/>
    <w:rsid w:val="007A0E3E"/>
    <w:rsid w:val="007A4813"/>
    <w:rsid w:val="007A772C"/>
    <w:rsid w:val="007B134E"/>
    <w:rsid w:val="007B2DA6"/>
    <w:rsid w:val="007C0ACB"/>
    <w:rsid w:val="007C1114"/>
    <w:rsid w:val="007D46C5"/>
    <w:rsid w:val="007D49B8"/>
    <w:rsid w:val="007D78D3"/>
    <w:rsid w:val="007E7290"/>
    <w:rsid w:val="007F3473"/>
    <w:rsid w:val="00800CC5"/>
    <w:rsid w:val="00801EB4"/>
    <w:rsid w:val="008056FA"/>
    <w:rsid w:val="00810882"/>
    <w:rsid w:val="00824FCF"/>
    <w:rsid w:val="008252B3"/>
    <w:rsid w:val="00832D56"/>
    <w:rsid w:val="00841A91"/>
    <w:rsid w:val="00841DEC"/>
    <w:rsid w:val="00844512"/>
    <w:rsid w:val="00845B29"/>
    <w:rsid w:val="00852A36"/>
    <w:rsid w:val="00855342"/>
    <w:rsid w:val="0086757F"/>
    <w:rsid w:val="008805B1"/>
    <w:rsid w:val="00892A92"/>
    <w:rsid w:val="00893BA2"/>
    <w:rsid w:val="008B0FCF"/>
    <w:rsid w:val="008B69DB"/>
    <w:rsid w:val="008B7ABA"/>
    <w:rsid w:val="008C29AF"/>
    <w:rsid w:val="008C61ED"/>
    <w:rsid w:val="008D744B"/>
    <w:rsid w:val="008E7AB2"/>
    <w:rsid w:val="008F5CB4"/>
    <w:rsid w:val="008F739E"/>
    <w:rsid w:val="009020E9"/>
    <w:rsid w:val="00910BEB"/>
    <w:rsid w:val="009241B0"/>
    <w:rsid w:val="00925BB3"/>
    <w:rsid w:val="00931E7A"/>
    <w:rsid w:val="00932695"/>
    <w:rsid w:val="009349E8"/>
    <w:rsid w:val="009356D2"/>
    <w:rsid w:val="009370CD"/>
    <w:rsid w:val="009463FC"/>
    <w:rsid w:val="0095201B"/>
    <w:rsid w:val="009579A7"/>
    <w:rsid w:val="00957B85"/>
    <w:rsid w:val="00965B22"/>
    <w:rsid w:val="0096616A"/>
    <w:rsid w:val="00966BF2"/>
    <w:rsid w:val="0096722A"/>
    <w:rsid w:val="00971D2B"/>
    <w:rsid w:val="00971E70"/>
    <w:rsid w:val="00972EE7"/>
    <w:rsid w:val="009A0B23"/>
    <w:rsid w:val="009A1671"/>
    <w:rsid w:val="009B6318"/>
    <w:rsid w:val="009B68E4"/>
    <w:rsid w:val="009C128A"/>
    <w:rsid w:val="009C7F27"/>
    <w:rsid w:val="009D6273"/>
    <w:rsid w:val="009D6AD7"/>
    <w:rsid w:val="009E041C"/>
    <w:rsid w:val="009E2CF8"/>
    <w:rsid w:val="009E7520"/>
    <w:rsid w:val="00A01317"/>
    <w:rsid w:val="00A07F6E"/>
    <w:rsid w:val="00A12886"/>
    <w:rsid w:val="00A12AB1"/>
    <w:rsid w:val="00A13462"/>
    <w:rsid w:val="00A15D8A"/>
    <w:rsid w:val="00A20D7A"/>
    <w:rsid w:val="00A20FF6"/>
    <w:rsid w:val="00A23822"/>
    <w:rsid w:val="00A255FF"/>
    <w:rsid w:val="00A25BEB"/>
    <w:rsid w:val="00A321F1"/>
    <w:rsid w:val="00A36AFF"/>
    <w:rsid w:val="00A43153"/>
    <w:rsid w:val="00A44841"/>
    <w:rsid w:val="00A46DDD"/>
    <w:rsid w:val="00A4746C"/>
    <w:rsid w:val="00A50808"/>
    <w:rsid w:val="00A5371E"/>
    <w:rsid w:val="00A578DF"/>
    <w:rsid w:val="00A72060"/>
    <w:rsid w:val="00A73378"/>
    <w:rsid w:val="00A77243"/>
    <w:rsid w:val="00A87C4F"/>
    <w:rsid w:val="00A92E21"/>
    <w:rsid w:val="00A943DB"/>
    <w:rsid w:val="00A94477"/>
    <w:rsid w:val="00AA4227"/>
    <w:rsid w:val="00AA7E68"/>
    <w:rsid w:val="00AB1329"/>
    <w:rsid w:val="00AB6965"/>
    <w:rsid w:val="00AB7468"/>
    <w:rsid w:val="00AC2A77"/>
    <w:rsid w:val="00AC5C0D"/>
    <w:rsid w:val="00AD0341"/>
    <w:rsid w:val="00AD4D4B"/>
    <w:rsid w:val="00AD5CA9"/>
    <w:rsid w:val="00AE51D6"/>
    <w:rsid w:val="00AE7C03"/>
    <w:rsid w:val="00AF2E91"/>
    <w:rsid w:val="00B018B9"/>
    <w:rsid w:val="00B12480"/>
    <w:rsid w:val="00B141D4"/>
    <w:rsid w:val="00B14205"/>
    <w:rsid w:val="00B15429"/>
    <w:rsid w:val="00B155F2"/>
    <w:rsid w:val="00B1638C"/>
    <w:rsid w:val="00B16E17"/>
    <w:rsid w:val="00B21265"/>
    <w:rsid w:val="00B21726"/>
    <w:rsid w:val="00B245A4"/>
    <w:rsid w:val="00B24D10"/>
    <w:rsid w:val="00B267B7"/>
    <w:rsid w:val="00B31214"/>
    <w:rsid w:val="00B3378D"/>
    <w:rsid w:val="00B425C0"/>
    <w:rsid w:val="00B53996"/>
    <w:rsid w:val="00B631A9"/>
    <w:rsid w:val="00B67611"/>
    <w:rsid w:val="00B67936"/>
    <w:rsid w:val="00B70D46"/>
    <w:rsid w:val="00B856FC"/>
    <w:rsid w:val="00B9193E"/>
    <w:rsid w:val="00B94BF1"/>
    <w:rsid w:val="00B95205"/>
    <w:rsid w:val="00B95304"/>
    <w:rsid w:val="00B95678"/>
    <w:rsid w:val="00B956B9"/>
    <w:rsid w:val="00BA369B"/>
    <w:rsid w:val="00BA62BA"/>
    <w:rsid w:val="00BB2397"/>
    <w:rsid w:val="00BB3CD1"/>
    <w:rsid w:val="00BB4EEB"/>
    <w:rsid w:val="00BD7858"/>
    <w:rsid w:val="00BE15E2"/>
    <w:rsid w:val="00BE55E6"/>
    <w:rsid w:val="00BF6AA3"/>
    <w:rsid w:val="00BF6CCA"/>
    <w:rsid w:val="00BF7B12"/>
    <w:rsid w:val="00C02386"/>
    <w:rsid w:val="00C026B8"/>
    <w:rsid w:val="00C0507D"/>
    <w:rsid w:val="00C07B71"/>
    <w:rsid w:val="00C13690"/>
    <w:rsid w:val="00C47667"/>
    <w:rsid w:val="00C60AE3"/>
    <w:rsid w:val="00C61159"/>
    <w:rsid w:val="00C70AA8"/>
    <w:rsid w:val="00C94311"/>
    <w:rsid w:val="00C94995"/>
    <w:rsid w:val="00CA0164"/>
    <w:rsid w:val="00CB17F2"/>
    <w:rsid w:val="00CB6D43"/>
    <w:rsid w:val="00CC5B54"/>
    <w:rsid w:val="00CC62B7"/>
    <w:rsid w:val="00CC7008"/>
    <w:rsid w:val="00CC7F1A"/>
    <w:rsid w:val="00CD08CF"/>
    <w:rsid w:val="00CF0228"/>
    <w:rsid w:val="00CF07FB"/>
    <w:rsid w:val="00CF1237"/>
    <w:rsid w:val="00D01759"/>
    <w:rsid w:val="00D026E6"/>
    <w:rsid w:val="00D02BAF"/>
    <w:rsid w:val="00D14669"/>
    <w:rsid w:val="00D16043"/>
    <w:rsid w:val="00D21395"/>
    <w:rsid w:val="00D24A5A"/>
    <w:rsid w:val="00D363D0"/>
    <w:rsid w:val="00D3782E"/>
    <w:rsid w:val="00D56C86"/>
    <w:rsid w:val="00D62EBB"/>
    <w:rsid w:val="00D63776"/>
    <w:rsid w:val="00D7496E"/>
    <w:rsid w:val="00D76875"/>
    <w:rsid w:val="00D80700"/>
    <w:rsid w:val="00DA348E"/>
    <w:rsid w:val="00DA7700"/>
    <w:rsid w:val="00DB14A0"/>
    <w:rsid w:val="00DB3459"/>
    <w:rsid w:val="00DB4303"/>
    <w:rsid w:val="00DC3072"/>
    <w:rsid w:val="00DC39C7"/>
    <w:rsid w:val="00DC625B"/>
    <w:rsid w:val="00DF2209"/>
    <w:rsid w:val="00DF6B9F"/>
    <w:rsid w:val="00DF79C0"/>
    <w:rsid w:val="00E132E6"/>
    <w:rsid w:val="00E14072"/>
    <w:rsid w:val="00E146A8"/>
    <w:rsid w:val="00E15C78"/>
    <w:rsid w:val="00E15F27"/>
    <w:rsid w:val="00E26EB4"/>
    <w:rsid w:val="00E278AA"/>
    <w:rsid w:val="00E27E4D"/>
    <w:rsid w:val="00E32799"/>
    <w:rsid w:val="00E40A5F"/>
    <w:rsid w:val="00E52A1D"/>
    <w:rsid w:val="00E5618A"/>
    <w:rsid w:val="00E614D5"/>
    <w:rsid w:val="00E61645"/>
    <w:rsid w:val="00E65E3D"/>
    <w:rsid w:val="00E90838"/>
    <w:rsid w:val="00EA375A"/>
    <w:rsid w:val="00EB2FA2"/>
    <w:rsid w:val="00EB7DEF"/>
    <w:rsid w:val="00EC050F"/>
    <w:rsid w:val="00ED2B11"/>
    <w:rsid w:val="00ED381A"/>
    <w:rsid w:val="00ED3E8D"/>
    <w:rsid w:val="00ED62E6"/>
    <w:rsid w:val="00ED7D13"/>
    <w:rsid w:val="00ED7DE3"/>
    <w:rsid w:val="00EE0D0E"/>
    <w:rsid w:val="00EE60CF"/>
    <w:rsid w:val="00EF2D45"/>
    <w:rsid w:val="00EF5D52"/>
    <w:rsid w:val="00EF7057"/>
    <w:rsid w:val="00F05BB8"/>
    <w:rsid w:val="00F05DB1"/>
    <w:rsid w:val="00F127A9"/>
    <w:rsid w:val="00F158A3"/>
    <w:rsid w:val="00F16218"/>
    <w:rsid w:val="00F16F70"/>
    <w:rsid w:val="00F21AD6"/>
    <w:rsid w:val="00F22465"/>
    <w:rsid w:val="00F2386B"/>
    <w:rsid w:val="00F42090"/>
    <w:rsid w:val="00F442A6"/>
    <w:rsid w:val="00F55526"/>
    <w:rsid w:val="00F5647F"/>
    <w:rsid w:val="00F57EDE"/>
    <w:rsid w:val="00F62D7B"/>
    <w:rsid w:val="00F641E4"/>
    <w:rsid w:val="00F804A3"/>
    <w:rsid w:val="00F942AB"/>
    <w:rsid w:val="00FA5E1E"/>
    <w:rsid w:val="00FB0647"/>
    <w:rsid w:val="00FB177B"/>
    <w:rsid w:val="00FB6571"/>
    <w:rsid w:val="00FC36D7"/>
    <w:rsid w:val="00FE0A80"/>
    <w:rsid w:val="00FE10BD"/>
    <w:rsid w:val="00FE115F"/>
    <w:rsid w:val="00FE5338"/>
    <w:rsid w:val="00FF452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margin" fillcolor="#002395" stroke="f">
      <v:fill color="#002395"/>
      <v:stroke on="f"/>
    </o:shapedefaults>
    <o:shapelayout v:ext="edit">
      <o:idmap v:ext="edit" data="1"/>
    </o:shapelayout>
  </w:shapeDefaults>
  <w:decimalSymbol w:val=","/>
  <w:listSeparator w:val=";"/>
  <w14:docId w14:val="3A84C6A3"/>
  <w15:docId w15:val="{BA24FDC2-7818-48F7-94E1-07A6A8F86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61D0A"/>
    <w:pPr>
      <w:spacing w:after="240"/>
      <w:jc w:val="both"/>
    </w:pPr>
    <w:rPr>
      <w:sz w:val="24"/>
      <w:lang w:val="fr-FR" w:eastAsia="en-US"/>
    </w:rPr>
  </w:style>
  <w:style w:type="paragraph" w:styleId="Heading1">
    <w:name w:val="heading 1"/>
    <w:aliases w:val="Lev 1,Char Char,Section Heading,Section,Chapter Hdg,Do Not Use,h1,1,Chapter Level,Chapter,Chapter head,L1,CH,. (1.0),Heading 1 - chapter,Heading 1 Char Char,Heading 1 Char Char Char Char Char Char,H1,(Section),MOVE-it 1,Heading 11,Hoofdstuk"/>
    <w:basedOn w:val="Normal"/>
    <w:next w:val="Text1"/>
    <w:uiPriority w:val="9"/>
    <w:qFormat/>
    <w:rsid w:val="009E7520"/>
    <w:pPr>
      <w:keepNext/>
      <w:numPr>
        <w:numId w:val="3"/>
      </w:numPr>
      <w:spacing w:before="240"/>
      <w:outlineLvl w:val="0"/>
    </w:pPr>
    <w:rPr>
      <w:rFonts w:ascii="Verdana" w:hAnsi="Verdana"/>
      <w:b/>
      <w:smallCaps/>
      <w:color w:val="1F497D" w:themeColor="text2"/>
      <w:sz w:val="32"/>
    </w:rPr>
  </w:style>
  <w:style w:type="paragraph" w:styleId="Heading2">
    <w:name w:val="heading 2"/>
    <w:aliases w:val="Lev 2,Major,Reset numbering,Para Nos,Paragraph,Letter Level 1,Para,h2,heading 2,headline,2,Section head,L2,SH,. (1.1),Heading 2 - section,Outline2,Kop 2 Char1,Kop 2 Char Char,Kop 2 Char Char Char,Paragraaf,NEA2,14,H2,Se,Section1"/>
    <w:basedOn w:val="Normal"/>
    <w:next w:val="Text2"/>
    <w:uiPriority w:val="9"/>
    <w:qFormat/>
    <w:rsid w:val="009E7520"/>
    <w:pPr>
      <w:keepNext/>
      <w:numPr>
        <w:ilvl w:val="1"/>
        <w:numId w:val="3"/>
      </w:numPr>
      <w:outlineLvl w:val="1"/>
    </w:pPr>
    <w:rPr>
      <w:rFonts w:ascii="Verdana" w:hAnsi="Verdana"/>
      <w:b/>
      <w:color w:val="548DD4" w:themeColor="text2" w:themeTint="99"/>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uiPriority w:val="9"/>
    <w:rsid w:val="00461D0A"/>
    <w:pPr>
      <w:tabs>
        <w:tab w:val="num" w:pos="0"/>
      </w:tabs>
      <w:spacing w:before="240" w:after="60"/>
      <w:outlineLvl w:val="6"/>
    </w:pPr>
    <w:rPr>
      <w:rFonts w:ascii="Arial" w:hAnsi="Arial"/>
      <w:sz w:val="20"/>
    </w:rPr>
  </w:style>
  <w:style w:type="paragraph" w:styleId="Heading8">
    <w:name w:val="heading 8"/>
    <w:basedOn w:val="Normal"/>
    <w:next w:val="Normal"/>
    <w:uiPriority w:val="9"/>
    <w:qFormat/>
    <w:rsid w:val="00461D0A"/>
    <w:pPr>
      <w:tabs>
        <w:tab w:val="num" w:pos="0"/>
      </w:tabs>
      <w:spacing w:before="240" w:after="60"/>
      <w:outlineLvl w:val="7"/>
    </w:pPr>
    <w:rPr>
      <w:rFonts w:ascii="Arial" w:hAnsi="Arial"/>
      <w:i/>
      <w:sz w:val="20"/>
    </w:rPr>
  </w:style>
  <w:style w:type="paragraph" w:styleId="Heading9">
    <w:name w:val="heading 9"/>
    <w:basedOn w:val="Normal"/>
    <w:next w:val="Normal"/>
    <w:uiPriority w:val="9"/>
    <w:qFormat/>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uiPriority w:val="35"/>
    <w:qFormat/>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RSK-FT,RSK-FT1,RSK-FT2,Fußnotentext arial,Fußnotentextf,Fußnotentextr,stile 1,Footnote,Footnote1,Footnote2,Footnote3,Footnote4,Footnote5,Footnote6,Footnote7,Footnote8,Footnote9,Footnote10,Footnote11,Footnote21,Footnote31"/>
    <w:basedOn w:val="Normal"/>
    <w:link w:val="FootnoteTextChar"/>
    <w:uiPriority w:val="99"/>
    <w:qFormat/>
    <w:rsid w:val="00461D0A"/>
    <w:pPr>
      <w:ind w:left="357" w:hanging="357"/>
    </w:pPr>
    <w:rPr>
      <w:sz w:val="20"/>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SUPERS,Odwołanie przypisu,Times 10 Point,Exposant 3 Point,Footnote symbol,Footnote reference number,number,Footnote Reference Superscript,stylish,Знак сноски-FN,Ciae niinee-FN,Знак сноски 1,(Footnote Reference),FR,R"/>
    <w:link w:val="SUPERSCharCharCharCharCharCharCharChar"/>
    <w:uiPriority w:val="99"/>
    <w:qFormat/>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7F3473"/>
    <w:pPr>
      <w:numPr>
        <w:numId w:val="20"/>
      </w:numPr>
      <w:spacing w:after="120"/>
      <w:jc w:val="left"/>
    </w:pPr>
    <w:rPr>
      <w:rFonts w:ascii="Verdana" w:hAnsi="Verdana"/>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F3473"/>
    <w:rPr>
      <w:rFonts w:ascii="Verdana" w:hAnsi="Verdana"/>
      <w:sz w:val="18"/>
      <w:lang w:val="fr-FR" w:eastAsia="en-US"/>
    </w:rPr>
  </w:style>
  <w:style w:type="paragraph" w:customStyle="1" w:styleId="BulletPoint2">
    <w:name w:val="Bullet Point 2"/>
    <w:basedOn w:val="NormalIndent"/>
    <w:link w:val="BulletPoint2Char"/>
    <w:qFormat/>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aliases w:val="WD Body,AFW Body,Normal Arial,AFW Memo Body,AFW Mins,NuGen Body Numbered,AMEC Body,Body (IACC),NG Body Numbered,Infin Body Numbered,Vat Body Numbered,Body (DIO PSP),38058 11pt Body,AFW Capability Body 9pt,AFW Profile Body 9pt,36380  Body,WD Mins"/>
    <w:basedOn w:val="Normal"/>
    <w:link w:val="BodyChar"/>
    <w:qFormat/>
    <w:rsid w:val="003F0556"/>
    <w:pPr>
      <w:spacing w:after="120" w:line="264" w:lineRule="auto"/>
    </w:pPr>
    <w:rPr>
      <w:rFonts w:ascii="Verdana" w:hAnsi="Verdana"/>
      <w:sz w:val="20"/>
    </w:rPr>
  </w:style>
  <w:style w:type="character" w:customStyle="1" w:styleId="BulletPoint2Char">
    <w:name w:val="Bullet Point 2 Char"/>
    <w:link w:val="BulletPoint2"/>
    <w:rsid w:val="00577EC6"/>
    <w:rPr>
      <w:rFonts w:ascii="Verdana" w:hAnsi="Verdana"/>
      <w:sz w:val="18"/>
      <w:lang w:val="fr-FR" w:eastAsia="en-US"/>
    </w:rPr>
  </w:style>
  <w:style w:type="paragraph" w:customStyle="1" w:styleId="Heading20">
    <w:name w:val="Heading2"/>
    <w:basedOn w:val="Title2"/>
    <w:link w:val="Heading2Char"/>
    <w:qFormat/>
    <w:rsid w:val="009370CD"/>
    <w:pPr>
      <w:numPr>
        <w:numId w:val="0"/>
      </w:numPr>
    </w:pPr>
    <w:rPr>
      <w:rFonts w:ascii="Verdana" w:hAnsi="Verdana"/>
      <w:b/>
      <w:i/>
    </w:rPr>
  </w:style>
  <w:style w:type="character" w:customStyle="1" w:styleId="BodyChar">
    <w:name w:val="Body Char"/>
    <w:aliases w:val="AFW Body Char,AFW Capability Body 9pt Char"/>
    <w:link w:val="Body"/>
    <w:rsid w:val="003F0556"/>
    <w:rPr>
      <w:rFonts w:ascii="Verdana" w:hAnsi="Verdana"/>
      <w:lang w:val="fr-FR" w:eastAsia="en-US"/>
    </w:rPr>
  </w:style>
  <w:style w:type="table" w:styleId="TableGrid">
    <w:name w:val="Table Grid"/>
    <w:aliases w:val="Document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1"/>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table" w:styleId="TableGrid1">
    <w:name w:val="Table Grid 1"/>
    <w:basedOn w:val="TableNormal"/>
    <w:rsid w:val="00362478"/>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FollowedHyperlink">
    <w:name w:val="FollowedHyperlink"/>
    <w:basedOn w:val="DefaultParagraphFont"/>
    <w:rsid w:val="005F5D31"/>
    <w:rPr>
      <w:color w:val="800080" w:themeColor="followedHyperlink"/>
      <w:u w:val="single"/>
    </w:rPr>
  </w:style>
  <w:style w:type="character" w:styleId="CommentReference">
    <w:name w:val="annotation reference"/>
    <w:basedOn w:val="DefaultParagraphFont"/>
    <w:uiPriority w:val="99"/>
    <w:semiHidden/>
    <w:unhideWhenUsed/>
    <w:rsid w:val="003F0556"/>
    <w:rPr>
      <w:sz w:val="16"/>
      <w:szCs w:val="16"/>
    </w:rPr>
  </w:style>
  <w:style w:type="character" w:customStyle="1" w:styleId="CommentTextChar">
    <w:name w:val="Comment Text Char"/>
    <w:basedOn w:val="DefaultParagraphFont"/>
    <w:link w:val="CommentText"/>
    <w:rsid w:val="003F0556"/>
    <w:rPr>
      <w:lang w:val="fr-FR" w:eastAsia="en-US"/>
    </w:rPr>
  </w:style>
  <w:style w:type="paragraph" w:customStyle="1" w:styleId="Heading10">
    <w:name w:val="Heading1"/>
    <w:basedOn w:val="Heading"/>
    <w:link w:val="Heading1Carattere"/>
    <w:qFormat/>
    <w:rsid w:val="00B267B7"/>
    <w:pPr>
      <w:numPr>
        <w:numId w:val="26"/>
      </w:numPr>
      <w:spacing w:after="240"/>
    </w:pPr>
    <w:rPr>
      <w:color w:val="1F497D" w:themeColor="text2"/>
      <w:sz w:val="32"/>
      <w:u w:val="none"/>
      <w:lang w:val="en-GB"/>
    </w:rPr>
  </w:style>
  <w:style w:type="numbering" w:customStyle="1" w:styleId="AMECHeadings">
    <w:name w:val="AMEC_Headings"/>
    <w:uiPriority w:val="99"/>
    <w:rsid w:val="00FF4526"/>
    <w:pPr>
      <w:numPr>
        <w:numId w:val="24"/>
      </w:numPr>
    </w:pPr>
  </w:style>
  <w:style w:type="character" w:customStyle="1" w:styleId="Heading1Carattere">
    <w:name w:val="Heading1 Carattere"/>
    <w:basedOn w:val="HeadingChar"/>
    <w:link w:val="Heading10"/>
    <w:rsid w:val="00B267B7"/>
    <w:rPr>
      <w:rFonts w:ascii="Verdana" w:hAnsi="Verdana"/>
      <w:b/>
      <w:caps/>
      <w:color w:val="1F497D" w:themeColor="text2"/>
      <w:sz w:val="32"/>
      <w:u w:val="single"/>
      <w:lang w:val="en-GB" w:eastAsia="en-US"/>
    </w:rPr>
  </w:style>
  <w:style w:type="paragraph" w:customStyle="1" w:styleId="WDBodyNumbered">
    <w:name w:val="WD Body Numbered"/>
    <w:aliases w:val="Paranums,AFW Body Numbered"/>
    <w:basedOn w:val="Body"/>
    <w:qFormat/>
    <w:rsid w:val="00FF4526"/>
    <w:pPr>
      <w:spacing w:after="160" w:line="240" w:lineRule="atLeast"/>
      <w:ind w:left="851" w:hanging="851"/>
      <w:jc w:val="left"/>
    </w:pPr>
    <w:rPr>
      <w:rFonts w:ascii="Segoe UI" w:eastAsiaTheme="minorHAnsi" w:hAnsi="Segoe UI" w:cstheme="minorBidi"/>
      <w:color w:val="000000"/>
      <w:szCs w:val="22"/>
      <w:lang w:val="en-GB"/>
    </w:rPr>
  </w:style>
  <w:style w:type="paragraph" w:customStyle="1" w:styleId="Heading2a">
    <w:name w:val="Heading2a"/>
    <w:basedOn w:val="Body"/>
    <w:link w:val="Heading2aCarattere"/>
    <w:qFormat/>
    <w:rsid w:val="00196719"/>
    <w:rPr>
      <w:b/>
      <w:color w:val="548DD4" w:themeColor="text2" w:themeTint="99"/>
      <w:sz w:val="24"/>
      <w:lang w:val="en-US"/>
    </w:rPr>
  </w:style>
  <w:style w:type="character" w:customStyle="1" w:styleId="UnresolvedMention">
    <w:name w:val="Unresolved Mention"/>
    <w:basedOn w:val="DefaultParagraphFont"/>
    <w:uiPriority w:val="99"/>
    <w:semiHidden/>
    <w:unhideWhenUsed/>
    <w:rsid w:val="007303B7"/>
    <w:rPr>
      <w:color w:val="605E5C"/>
      <w:shd w:val="clear" w:color="auto" w:fill="E1DFDD"/>
    </w:rPr>
  </w:style>
  <w:style w:type="character" w:customStyle="1" w:styleId="Heading2aCarattere">
    <w:name w:val="Heading2a Carattere"/>
    <w:basedOn w:val="BodyChar"/>
    <w:link w:val="Heading2a"/>
    <w:rsid w:val="00196719"/>
    <w:rPr>
      <w:rFonts w:ascii="Verdana" w:hAnsi="Verdana"/>
      <w:b/>
      <w:color w:val="548DD4" w:themeColor="text2" w:themeTint="99"/>
      <w:sz w:val="24"/>
      <w:lang w:val="en-US" w:eastAsia="en-US"/>
    </w:rPr>
  </w:style>
  <w:style w:type="paragraph" w:customStyle="1" w:styleId="WDFigureTitle">
    <w:name w:val="WD Figure Title"/>
    <w:basedOn w:val="Normal"/>
    <w:next w:val="Body"/>
    <w:rsid w:val="009D6273"/>
    <w:pPr>
      <w:keepNext/>
      <w:keepLines/>
      <w:numPr>
        <w:ilvl w:val="3"/>
      </w:numPr>
      <w:tabs>
        <w:tab w:val="left" w:pos="1134"/>
      </w:tabs>
      <w:spacing w:before="360" w:after="160"/>
      <w:jc w:val="left"/>
      <w:outlineLvl w:val="3"/>
    </w:pPr>
    <w:rPr>
      <w:rFonts w:ascii="Segoe UI" w:hAnsi="Segoe UI" w:cstheme="majorBidi"/>
      <w:iCs/>
      <w:color w:val="884C91"/>
      <w:sz w:val="20"/>
      <w:szCs w:val="26"/>
      <w:lang w:val="en-GB" w:eastAsia="en-GB"/>
    </w:rPr>
  </w:style>
  <w:style w:type="paragraph" w:customStyle="1" w:styleId="WDBodySmall">
    <w:name w:val="WD Body Small"/>
    <w:aliases w:val="Body Small,AFW Body Small"/>
    <w:basedOn w:val="Body"/>
    <w:qFormat/>
    <w:rsid w:val="009D6273"/>
    <w:pPr>
      <w:spacing w:after="0" w:line="240" w:lineRule="auto"/>
      <w:jc w:val="left"/>
    </w:pPr>
    <w:rPr>
      <w:rFonts w:ascii="Segoe UI" w:eastAsiaTheme="minorHAnsi" w:hAnsi="Segoe UI" w:cstheme="minorBidi"/>
      <w:color w:val="000000"/>
      <w:sz w:val="16"/>
      <w:szCs w:val="22"/>
      <w:lang w:val="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9D6273"/>
    <w:pPr>
      <w:spacing w:after="160" w:line="240" w:lineRule="exact"/>
      <w:jc w:val="left"/>
    </w:pPr>
    <w:rPr>
      <w:sz w:val="20"/>
      <w:vertAlign w:val="superscript"/>
      <w:lang w:val="nl-BE" w:eastAsia="nl-BE"/>
    </w:rPr>
  </w:style>
  <w:style w:type="paragraph" w:customStyle="1" w:styleId="WDBullets">
    <w:name w:val="WD Bullets"/>
    <w:aliases w:val="Bullets 1,AFW Bullets,AFW Memo Bullets"/>
    <w:basedOn w:val="Body"/>
    <w:qFormat/>
    <w:rsid w:val="00365B66"/>
    <w:pPr>
      <w:numPr>
        <w:numId w:val="27"/>
      </w:numPr>
      <w:spacing w:after="160" w:line="240" w:lineRule="atLeast"/>
      <w:jc w:val="left"/>
    </w:pPr>
    <w:rPr>
      <w:rFonts w:ascii="Segoe UI" w:eastAsiaTheme="minorHAnsi" w:hAnsi="Segoe UI" w:cstheme="minorBidi"/>
      <w:color w:val="000000"/>
      <w:szCs w:val="22"/>
      <w:lang w:val="en-GB"/>
    </w:rPr>
  </w:style>
  <w:style w:type="paragraph" w:customStyle="1" w:styleId="Default">
    <w:name w:val="Default"/>
    <w:rsid w:val="00365B66"/>
    <w:pPr>
      <w:autoSpaceDE w:val="0"/>
      <w:autoSpaceDN w:val="0"/>
      <w:adjustRightInd w:val="0"/>
    </w:pPr>
    <w:rPr>
      <w:rFonts w:eastAsiaTheme="minorHAnsi"/>
      <w:color w:val="000000"/>
      <w:sz w:val="24"/>
      <w:szCs w:val="24"/>
      <w:lang w:val="en-GB" w:eastAsia="en-US"/>
    </w:rPr>
  </w:style>
  <w:style w:type="paragraph" w:customStyle="1" w:styleId="WDAppendixTitle">
    <w:name w:val="WD Appendix Title"/>
    <w:basedOn w:val="Body"/>
    <w:next w:val="Body"/>
    <w:rsid w:val="00726E76"/>
    <w:pPr>
      <w:keepNext/>
      <w:pageBreakBefore/>
      <w:numPr>
        <w:numId w:val="29"/>
      </w:numPr>
      <w:spacing w:after="520" w:line="240" w:lineRule="auto"/>
      <w:jc w:val="left"/>
      <w:outlineLvl w:val="0"/>
    </w:pPr>
    <w:rPr>
      <w:rFonts w:ascii="Segoe UI" w:hAnsi="Segoe UI" w:cs="Arial"/>
      <w:b/>
      <w:bCs/>
      <w:color w:val="884C91"/>
      <w:kern w:val="32"/>
      <w:sz w:val="40"/>
      <w:szCs w:val="40"/>
      <w:lang w:val="en-GB" w:eastAsia="en-GB"/>
    </w:rPr>
  </w:style>
  <w:style w:type="paragraph" w:customStyle="1" w:styleId="WDBullets2">
    <w:name w:val="WD Bullets 2"/>
    <w:aliases w:val="Bullets 2,AFW Bullets 2,AFW Bullets (second level)"/>
    <w:basedOn w:val="WDBullets"/>
    <w:qFormat/>
    <w:rsid w:val="006B31EF"/>
    <w:pPr>
      <w:numPr>
        <w:numId w:val="32"/>
      </w:numPr>
    </w:pPr>
  </w:style>
  <w:style w:type="paragraph" w:styleId="ListParagraph">
    <w:name w:val="List Paragraph"/>
    <w:aliases w:val="Heading 2_sj,List Paragraph1,1st level - Bullet List Paragraph,Lettre d'introduction,Medium Grid 1 - Accent 21,FooterText,Paragraphe de liste1,Numbered Para 1,Dot pt,No Spacing1,lp1,Lijstalinea"/>
    <w:basedOn w:val="Normal"/>
    <w:link w:val="ListParagraphChar"/>
    <w:uiPriority w:val="34"/>
    <w:qFormat/>
    <w:rsid w:val="006B31EF"/>
    <w:pPr>
      <w:spacing w:after="160" w:line="240" w:lineRule="atLeast"/>
      <w:ind w:left="720"/>
      <w:contextualSpacing/>
      <w:jc w:val="left"/>
    </w:pPr>
    <w:rPr>
      <w:rFonts w:ascii="Segoe UI" w:hAnsi="Segoe UI" w:cs="Calibri"/>
      <w:sz w:val="20"/>
      <w:szCs w:val="22"/>
      <w:lang w:val="en-US" w:eastAsia="en-GB"/>
    </w:rPr>
  </w:style>
  <w:style w:type="character" w:customStyle="1" w:styleId="FootnoteTextChar">
    <w:name w:val="Footnote Text Char"/>
    <w:aliases w:val="RSK-FT Char,RSK-FT1 Char,RSK-FT2 Char,Fußnotentext arial Char,Fußnotentextf Char,Fußnotentextr Char,stile 1 Char,Footnote Char,Footnote1 Char,Footnote2 Char,Footnote3 Char,Footnote4 Char,Footnote5 Char,Footnote6 Char,Footnote7 Char"/>
    <w:basedOn w:val="DefaultParagraphFont"/>
    <w:link w:val="FootnoteText"/>
    <w:uiPriority w:val="99"/>
    <w:rsid w:val="006B31EF"/>
    <w:rPr>
      <w:lang w:val="fr-FR" w:eastAsia="en-US"/>
    </w:rPr>
  </w:style>
  <w:style w:type="character" w:customStyle="1" w:styleId="ListParagraphChar">
    <w:name w:val="List Paragraph Char"/>
    <w:aliases w:val="Heading 2_sj Char,List Paragraph1 Char,1st level - Bullet List Paragraph Char,Lettre d'introduction Char,Medium Grid 1 - Accent 21 Char,FooterText Char,Paragraphe de liste1 Char,Numbered Para 1 Char,Dot pt Char,No Spacing1 Char"/>
    <w:basedOn w:val="DefaultParagraphFont"/>
    <w:link w:val="ListParagraph"/>
    <w:uiPriority w:val="34"/>
    <w:qFormat/>
    <w:locked/>
    <w:rsid w:val="006B31EF"/>
    <w:rPr>
      <w:rFonts w:ascii="Segoe UI" w:hAnsi="Segoe UI" w:cs="Calibri"/>
      <w:szCs w:val="22"/>
      <w:lang w:val="en-US" w:eastAsia="en-GB"/>
    </w:rPr>
  </w:style>
  <w:style w:type="table" w:customStyle="1" w:styleId="WoodEISUKReportTable">
    <w:name w:val="Wood E&amp;IS UK Report Table"/>
    <w:basedOn w:val="TableNormal"/>
    <w:uiPriority w:val="99"/>
    <w:qFormat/>
    <w:rsid w:val="004C0AA6"/>
    <w:rPr>
      <w:rFonts w:ascii="Arial" w:eastAsiaTheme="minorHAnsi" w:hAnsi="Arial" w:cstheme="minorBidi"/>
      <w:color w:val="000000" w:themeColor="text1" w:themeShade="BF"/>
      <w:szCs w:val="22"/>
      <w:lang w:val="en-GB" w:eastAsia="en-US"/>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paragraph" w:customStyle="1" w:styleId="WDTableTitle">
    <w:name w:val="WD Table Title"/>
    <w:basedOn w:val="Heading4"/>
    <w:rsid w:val="004C0AA6"/>
    <w:pPr>
      <w:keepLines/>
      <w:numPr>
        <w:numId w:val="0"/>
      </w:numPr>
      <w:tabs>
        <w:tab w:val="left" w:pos="1134"/>
      </w:tabs>
      <w:spacing w:before="360" w:after="160"/>
      <w:jc w:val="left"/>
    </w:pPr>
    <w:rPr>
      <w:rFonts w:ascii="Segoe UI" w:hAnsi="Segoe UI" w:cstheme="majorBidi"/>
      <w:iCs/>
      <w:color w:val="884C91"/>
      <w:sz w:val="20"/>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uropa.eu/european-union/index_en" TargetMode="External"/><Relationship Id="rId21" Type="http://schemas.openxmlformats.org/officeDocument/2006/relationships/header" Target="header3.xml"/><Relationship Id="rId42" Type="http://schemas.openxmlformats.org/officeDocument/2006/relationships/hyperlink" Target="https://www.eea.europa.eu/themes/water/european-waters/water-quality-and-water-assessment/water-assessments/pressures-and-impacts-of-water-bodies" TargetMode="External"/><Relationship Id="rId47" Type="http://schemas.openxmlformats.org/officeDocument/2006/relationships/hyperlink" Target="https://www.eea.europa.eu/themes/water/european-waters/water-quality-and-water-assessment/water-assessments/pressures-and-impacts-of-water-bodies" TargetMode="External"/><Relationship Id="rId63" Type="http://schemas.openxmlformats.org/officeDocument/2006/relationships/image" Target="media/image13.png"/><Relationship Id="rId68" Type="http://schemas.openxmlformats.org/officeDocument/2006/relationships/image" Target="media/image17.png"/><Relationship Id="rId84" Type="http://schemas.openxmlformats.org/officeDocument/2006/relationships/image" Target="media/image29.emf"/><Relationship Id="rId89"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hyperlink" Target="https://tableau.discomap.eea.europa.eu/t/Wateronline/views/WISE_SOW_SurfaceWaterBody/SWB_ChemicalStatus?:embed=y&amp;:showShareOptions=true&amp;:display_count=no&amp;:showVizHome=no" TargetMode="External"/><Relationship Id="rId37" Type="http://schemas.openxmlformats.org/officeDocument/2006/relationships/chart" Target="charts/chart4.xml"/><Relationship Id="rId53" Type="http://schemas.openxmlformats.org/officeDocument/2006/relationships/image" Target="media/image8.png"/><Relationship Id="rId58" Type="http://schemas.openxmlformats.org/officeDocument/2006/relationships/chart" Target="charts/chart10.xml"/><Relationship Id="rId74" Type="http://schemas.openxmlformats.org/officeDocument/2006/relationships/hyperlink" Target="https://vattenkraftensmiljofond.se/" TargetMode="External"/><Relationship Id="rId79" Type="http://schemas.openxmlformats.org/officeDocument/2006/relationships/image" Target="media/image24.png"/><Relationship Id="rId5" Type="http://schemas.openxmlformats.org/officeDocument/2006/relationships/customXml" Target="../customXml/item5.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europa.eu/european-union/contact_en" TargetMode="External"/><Relationship Id="rId30" Type="http://schemas.openxmlformats.org/officeDocument/2006/relationships/hyperlink" Target="https://tableau.discomap.eea.europa.eu/t/Wateronline/views/WISE_SOW_SurfaceWaterBody/SWB_EcologicalStatusGroup?:embed=y&amp;:showShareOptions=true&amp;:display_count=no&amp;:showVizHome=no" TargetMode="External"/><Relationship Id="rId35" Type="http://schemas.openxmlformats.org/officeDocument/2006/relationships/hyperlink" Target="https://tableau.discomap.eea.europa.eu/t/Wateronline/views/WISE_SOW_GroundWaterBody/GWB_ChemicalStatus?:embed=y&amp;:showShareOptions=true&amp;:display_count=no&amp;:" TargetMode="External"/><Relationship Id="rId43" Type="http://schemas.openxmlformats.org/officeDocument/2006/relationships/chart" Target="charts/chart6.xml"/><Relationship Id="rId48" Type="http://schemas.openxmlformats.org/officeDocument/2006/relationships/hyperlink" Target="https://www.eea.europa.eu/themes/water/european-waters/water-quality-and-water-assessment/water-assessments/pressures-and-impacts-of-water-bodies" TargetMode="External"/><Relationship Id="rId56" Type="http://schemas.openxmlformats.org/officeDocument/2006/relationships/image" Target="media/image10.png"/><Relationship Id="rId64" Type="http://schemas.openxmlformats.org/officeDocument/2006/relationships/image" Target="media/image14.png"/><Relationship Id="rId69" Type="http://schemas.openxmlformats.org/officeDocument/2006/relationships/image" Target="media/image18.png"/><Relationship Id="rId77" Type="http://schemas.openxmlformats.org/officeDocument/2006/relationships/image" Target="media/image22.emf"/><Relationship Id="rId8" Type="http://schemas.openxmlformats.org/officeDocument/2006/relationships/numbering" Target="numbering.xml"/><Relationship Id="rId51" Type="http://schemas.openxmlformats.org/officeDocument/2006/relationships/header" Target="header5.xml"/><Relationship Id="rId72" Type="http://schemas.openxmlformats.org/officeDocument/2006/relationships/hyperlink" Target="https://vattenkraftensmiljofond.se/" TargetMode="External"/><Relationship Id="rId80" Type="http://schemas.openxmlformats.org/officeDocument/2006/relationships/image" Target="media/image25.png"/><Relationship Id="rId85"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europa.eu/european-union/contact_en" TargetMode="External"/><Relationship Id="rId33" Type="http://schemas.openxmlformats.org/officeDocument/2006/relationships/chart" Target="charts/chart3.xml"/><Relationship Id="rId38" Type="http://schemas.openxmlformats.org/officeDocument/2006/relationships/hyperlink" Target="https://www.eea.europa.eu/themes/water/european-waters/water-quality-and-water-assessment/water-assessments/pressures-and-impacts-of-water-bodies" TargetMode="External"/><Relationship Id="rId46" Type="http://schemas.openxmlformats.org/officeDocument/2006/relationships/chart" Target="charts/chart7.xml"/><Relationship Id="rId59" Type="http://schemas.openxmlformats.org/officeDocument/2006/relationships/image" Target="media/image11.png"/><Relationship Id="rId67" Type="http://schemas.openxmlformats.org/officeDocument/2006/relationships/image" Target="media/image16.png"/><Relationship Id="rId20" Type="http://schemas.openxmlformats.org/officeDocument/2006/relationships/image" Target="media/image5.png"/><Relationship Id="rId41" Type="http://schemas.openxmlformats.org/officeDocument/2006/relationships/hyperlink" Target="https://www.eea.europa.eu/themes/water/european-waters/water-quality-and-water-assessment/water-assessments/pressures-and-impacts-of-water-bodies" TargetMode="External"/><Relationship Id="rId54" Type="http://schemas.openxmlformats.org/officeDocument/2006/relationships/image" Target="media/image9.png"/><Relationship Id="rId62" Type="http://schemas.openxmlformats.org/officeDocument/2006/relationships/chart" Target="charts/chart11.xml"/><Relationship Id="rId70" Type="http://schemas.openxmlformats.org/officeDocument/2006/relationships/image" Target="media/image19.png"/><Relationship Id="rId75" Type="http://schemas.openxmlformats.org/officeDocument/2006/relationships/image" Target="media/image20.png"/><Relationship Id="rId83" Type="http://schemas.openxmlformats.org/officeDocument/2006/relationships/image" Target="media/image28.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eur-lex.europa.eu" TargetMode="External"/><Relationship Id="rId36" Type="http://schemas.openxmlformats.org/officeDocument/2006/relationships/hyperlink" Target="https://tableau.discomap.eea.europa.eu/t/Wateronline/views/WISE_SOW_GroundWaterBody/GWB_ChemicalStatus?:embed=y&amp;:showShareOptions=true&amp;:display_count=no&amp;:showVizHome=no" TargetMode="External"/><Relationship Id="rId49" Type="http://schemas.openxmlformats.org/officeDocument/2006/relationships/image" Target="media/image6.png"/><Relationship Id="rId57" Type="http://schemas.openxmlformats.org/officeDocument/2006/relationships/chart" Target="charts/chart9.xml"/><Relationship Id="rId10" Type="http://schemas.openxmlformats.org/officeDocument/2006/relationships/settings" Target="settings.xml"/><Relationship Id="rId31" Type="http://schemas.openxmlformats.org/officeDocument/2006/relationships/chart" Target="charts/chart2.xml"/><Relationship Id="rId44" Type="http://schemas.openxmlformats.org/officeDocument/2006/relationships/hyperlink" Target="https://www.eea.europa.eu/themes/water/european-waters/water-quality-and-water-assessment/water-assessments/pressures-and-impacts-of-water-bodies" TargetMode="External"/><Relationship Id="rId52" Type="http://schemas.openxmlformats.org/officeDocument/2006/relationships/footer" Target="footer4.xml"/><Relationship Id="rId60" Type="http://schemas.openxmlformats.org/officeDocument/2006/relationships/image" Target="media/image12.png"/><Relationship Id="rId65" Type="http://schemas.openxmlformats.org/officeDocument/2006/relationships/chart" Target="charts/chart12.xml"/><Relationship Id="rId73" Type="http://schemas.openxmlformats.org/officeDocument/2006/relationships/hyperlink" Target="https://www.government.se/articles/2016/06/agreement-on-swedish-energy-policy/" TargetMode="External"/><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hyperlink" Target="https://www.eea.europa.eu/themes/water/european-waters/water-quality-and-water-assessment/water-assessments/pressures-and-impacts-of-water-bodies" TargetMode="External"/><Relationship Id="rId34" Type="http://schemas.openxmlformats.org/officeDocument/2006/relationships/hyperlink" Target="https://tableau.discomap.eea.europa.eu/t/Wateronline/views/WISE_SOW_GroundWaterBody/GWB_QuantitativeStatus?:embed=y&amp;:showShareOptions=true&amp;:display_count=no&amp;:showVizHome=no%20" TargetMode="External"/><Relationship Id="rId50" Type="http://schemas.openxmlformats.org/officeDocument/2006/relationships/image" Target="media/image7.tiff"/><Relationship Id="rId55" Type="http://schemas.openxmlformats.org/officeDocument/2006/relationships/chart" Target="charts/chart8.xml"/><Relationship Id="rId76" Type="http://schemas.openxmlformats.org/officeDocument/2006/relationships/image" Target="media/image21.png"/><Relationship Id="rId7" Type="http://schemas.openxmlformats.org/officeDocument/2006/relationships/customXml" Target="../customXml/item7.xml"/><Relationship Id="rId71" Type="http://schemas.openxmlformats.org/officeDocument/2006/relationships/hyperlink" Target="https://www.government.se/articles/2016/06/agreement-on-swedish-energy-policy/" TargetMode="Externa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hyperlink" Target="https://europa.eu/european-union/contact_en" TargetMode="External"/><Relationship Id="rId40" Type="http://schemas.openxmlformats.org/officeDocument/2006/relationships/chart" Target="charts/chart5.xml"/><Relationship Id="rId45" Type="http://schemas.openxmlformats.org/officeDocument/2006/relationships/hyperlink" Target="https://www.eea.europa.eu/themes/water/european-waters/water-quality-and-water-assessment/water-assessments/pressures-and-impacts-of-water-bodies" TargetMode="External"/><Relationship Id="rId66" Type="http://schemas.openxmlformats.org/officeDocument/2006/relationships/image" Target="media/image15.png"/><Relationship Id="rId87" Type="http://schemas.openxmlformats.org/officeDocument/2006/relationships/footer" Target="footer5.xml"/><Relationship Id="rId61" Type="http://schemas.openxmlformats.org/officeDocument/2006/relationships/image" Target="cid:image004.png@01D6F61F.6E5D84D0" TargetMode="External"/><Relationship Id="rId82" Type="http://schemas.openxmlformats.org/officeDocument/2006/relationships/image" Target="media/image27.png"/><Relationship Id="rId19"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info/files/swd_2019_0439_en.pdf" TargetMode="External"/><Relationship Id="rId13" Type="http://schemas.openxmlformats.org/officeDocument/2006/relationships/hyperlink" Target="https://www.sciencedirect.com/science/article/abs/pii/S0959378011000148" TargetMode="External"/><Relationship Id="rId18" Type="http://schemas.openxmlformats.org/officeDocument/2006/relationships/hyperlink" Target="https://op.europa.eu/nl/publication-detail/-/publication/64617091-8289-4841-b420-a377a270a8cf" TargetMode="External"/><Relationship Id="rId3" Type="http://schemas.openxmlformats.org/officeDocument/2006/relationships/hyperlink" Target="https://circabc.europa.eu/ui/group/9ab5926d-bed4-4322-9aa7-9964bbe8312d/library/36226ee2-d311-401f-8b7c-35b3b4d21990?p=1&amp;n=10&amp;sort=modified_DESC" TargetMode="External"/><Relationship Id="rId7" Type="http://schemas.openxmlformats.org/officeDocument/2006/relationships/hyperlink" Target="https://circabc.europa.eu/ui/group/9ab5926d-bed4-4322-9aa7-9964bbe8312d/library/b855ab56-b8b7-41c1-aba0-3c582112f098/details" TargetMode="External"/><Relationship Id="rId12" Type="http://schemas.openxmlformats.org/officeDocument/2006/relationships/hyperlink" Target="https://onlinelibrary.wiley.com/doi/full/10.1111/jfr3.12211" TargetMode="External"/><Relationship Id="rId17" Type="http://schemas.openxmlformats.org/officeDocument/2006/relationships/hyperlink" Target="https://circabc.europa.eu/ui/group/9ab5926d-bed4-4322-9aa7-9964bbe8312d/library/3a38aadb-4e2a-4e54-bb60-75f1942defe9/details" TargetMode="External"/><Relationship Id="rId2" Type="http://schemas.openxmlformats.org/officeDocument/2006/relationships/hyperlink" Target="https://eur-lex.europa.eu/legal-content/EN/TXT/?uri=CELEX:32007L0060" TargetMode="External"/><Relationship Id="rId16" Type="http://schemas.openxmlformats.org/officeDocument/2006/relationships/hyperlink" Target="https://ec.europa.eu/transparency/regdoc/rep/10102/2019/EN/SWD-2019-193-F1-EN-MAIN-PART-1.PDF" TargetMode="External"/><Relationship Id="rId20" Type="http://schemas.openxmlformats.org/officeDocument/2006/relationships/hyperlink" Target="https://eeb.org/publications/56/water/963/2nd-river-basin-management-plans-healthier-rivers-less-dams-dykes-nitrogen-a-campaigning-paper.pdf" TargetMode="External"/><Relationship Id="rId1" Type="http://schemas.openxmlformats.org/officeDocument/2006/relationships/hyperlink" Target="https://eur-lex.europa.eu/legal-content/EN/TXT/?uri=CELEX:32000L0060" TargetMode="External"/><Relationship Id="rId6" Type="http://schemas.openxmlformats.org/officeDocument/2006/relationships/hyperlink" Target="https://eur-lex.europa.eu/legal-content/EN/TXT/PDF/?uri=SWD:2019:31:FIN&amp;qid=1551205988853&amp;from=EN" TargetMode="External"/><Relationship Id="rId11" Type="http://schemas.openxmlformats.org/officeDocument/2006/relationships/hyperlink" Target="https://eur-lex.europa.eu/legal-content/EN/TXT/PDF/?uri=SWD:2019:31:FIN&amp;qid=1551205988853&amp;from=EN" TargetMode="External"/><Relationship Id="rId5" Type="http://schemas.openxmlformats.org/officeDocument/2006/relationships/hyperlink" Target="https://ec.europa.eu/info/sites/info/files/swd_2019_0439_en.pdf" TargetMode="External"/><Relationship Id="rId15" Type="http://schemas.openxmlformats.org/officeDocument/2006/relationships/hyperlink" Target="https://eur-lex.europa.eu/legal-content/EN/TXT/PDF/?uri=SWD:2019:31:FIN&amp;qid=1551205988853&amp;from=EN" TargetMode="External"/><Relationship Id="rId10" Type="http://schemas.openxmlformats.org/officeDocument/2006/relationships/hyperlink" Target="https://www.wri.org/publication/aqueduct-floods-methodology" TargetMode="External"/><Relationship Id="rId19" Type="http://schemas.openxmlformats.org/officeDocument/2006/relationships/hyperlink" Target="https://www.aquapublica.eu/sites/default/files/document/file/Aqua%20Publica%20Europea_The%20Public%20Water%20Services%20of%20the%20Future.pdf" TargetMode="External"/><Relationship Id="rId4" Type="http://schemas.openxmlformats.org/officeDocument/2006/relationships/hyperlink" Target="https://www.wfcatprogrammes.com/documents/20142/34131/SR_FLOODS_EN.pdf/c296b847-db8b-6ed3-f0e3-f0c1aaab6a7c" TargetMode="External"/><Relationship Id="rId9" Type="http://schemas.openxmlformats.org/officeDocument/2006/relationships/hyperlink" Target="https://www.oecd-ilibrary.org/sites/6893cdac-en/1/1/index.html?itemId=/content/publication/6893cdac-en&amp;_csp_=6d99cab0ab4541869c1dfa4bc5a155f4&amp;itemIGO=oecd&amp;itemContentType=book" TargetMode="External"/><Relationship Id="rId14" Type="http://schemas.openxmlformats.org/officeDocument/2006/relationships/hyperlink" Target="https://ec.europa.eu/transparency/regdoc/rep/10102/2019/EN/SWD-2019-193-F1-EN-MAIN-PART-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Arbeitsblat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Arbeitsblat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cteone-my.sharepoint.com/personal/r_van-duinen_acteon-environment_eu/Documents/Acteon/Projects/Economic%20data%20and%20WFD/Synthesis%20table/Copie%20de%20Synthesis%20data%202020-09-16_ACTeon_Wood%20merged_aqueduc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cteone-my.sharepoint.com/personal/r_van-duinen_acteon-environment_eu/Documents/Acteon/Projects/Economic%20data%20and%20WFD/Synthesis%20report/Synthesis%20of%20flood%20dat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Arbeitsblat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Arbeitsblat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Arbeitsblat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Arbeitsblat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Arbeitsblat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Arbeitsblat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Arbeitsblat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Arbeitsblat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Updated!$C$14</c:f>
              <c:strCache>
                <c:ptCount val="1"/>
                <c:pt idx="0">
                  <c:v>Good or 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Updated!$B$15:$B$16</c:f>
              <c:strCache>
                <c:ptCount val="2"/>
                <c:pt idx="0">
                  <c:v>Surface waterbodies: ecological (1st RBMPs)</c:v>
                </c:pt>
                <c:pt idx="1">
                  <c:v>Surface waterbodies: ecological (2nd RBMPs)</c:v>
                </c:pt>
              </c:strCache>
            </c:strRef>
          </c:cat>
          <c:val>
            <c:numRef>
              <c:f>Updated!$C$15:$C$16</c:f>
              <c:numCache>
                <c:formatCode>0%</c:formatCode>
                <c:ptCount val="2"/>
                <c:pt idx="0">
                  <c:v>0.39037167656776978</c:v>
                </c:pt>
                <c:pt idx="1">
                  <c:v>0.40125020653191606</c:v>
                </c:pt>
              </c:numCache>
            </c:numRef>
          </c:val>
          <c:extLst>
            <c:ext xmlns:c16="http://schemas.microsoft.com/office/drawing/2014/chart" uri="{C3380CC4-5D6E-409C-BE32-E72D297353CC}">
              <c16:uniqueId val="{00000000-FEBA-4480-B219-07FBF02EA7B0}"/>
            </c:ext>
          </c:extLst>
        </c:ser>
        <c:ser>
          <c:idx val="1"/>
          <c:order val="1"/>
          <c:tx>
            <c:strRef>
              <c:f>Updated!$D$14</c:f>
              <c:strCache>
                <c:ptCount val="1"/>
                <c:pt idx="0">
                  <c:v>Failing to achieve good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Updated!$B$15:$B$16</c:f>
              <c:strCache>
                <c:ptCount val="2"/>
                <c:pt idx="0">
                  <c:v>Surface waterbodies: ecological (1st RBMPs)</c:v>
                </c:pt>
                <c:pt idx="1">
                  <c:v>Surface waterbodies: ecological (2nd RBMPs)</c:v>
                </c:pt>
              </c:strCache>
            </c:strRef>
          </c:cat>
          <c:val>
            <c:numRef>
              <c:f>Updated!$D$15:$D$16</c:f>
              <c:numCache>
                <c:formatCode>0%</c:formatCode>
                <c:ptCount val="2"/>
                <c:pt idx="0">
                  <c:v>0.44355515228296039</c:v>
                </c:pt>
                <c:pt idx="1">
                  <c:v>0.54432633878577596</c:v>
                </c:pt>
              </c:numCache>
            </c:numRef>
          </c:val>
          <c:extLst>
            <c:ext xmlns:c16="http://schemas.microsoft.com/office/drawing/2014/chart" uri="{C3380CC4-5D6E-409C-BE32-E72D297353CC}">
              <c16:uniqueId val="{00000001-FEBA-4480-B219-07FBF02EA7B0}"/>
            </c:ext>
          </c:extLst>
        </c:ser>
        <c:ser>
          <c:idx val="2"/>
          <c:order val="2"/>
          <c:tx>
            <c:strRef>
              <c:f>Updated!$E$14</c:f>
              <c:strCache>
                <c:ptCount val="1"/>
                <c:pt idx="0">
                  <c:v>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Updated!$B$15:$B$16</c:f>
              <c:strCache>
                <c:ptCount val="2"/>
                <c:pt idx="0">
                  <c:v>Surface waterbodies: ecological (1st RBMPs)</c:v>
                </c:pt>
                <c:pt idx="1">
                  <c:v>Surface waterbodies: ecological (2nd RBMPs)</c:v>
                </c:pt>
              </c:strCache>
            </c:strRef>
          </c:cat>
          <c:val>
            <c:numRef>
              <c:f>Updated!$E$15:$E$16</c:f>
              <c:numCache>
                <c:formatCode>0%</c:formatCode>
                <c:ptCount val="2"/>
                <c:pt idx="0">
                  <c:v>0.16601325092876343</c:v>
                </c:pt>
                <c:pt idx="1">
                  <c:v>5.3992032457638006E-2</c:v>
                </c:pt>
              </c:numCache>
            </c:numRef>
          </c:val>
          <c:extLst>
            <c:ext xmlns:c16="http://schemas.microsoft.com/office/drawing/2014/chart" uri="{C3380CC4-5D6E-409C-BE32-E72D297353CC}">
              <c16:uniqueId val="{00000002-FEBA-4480-B219-07FBF02EA7B0}"/>
            </c:ext>
          </c:extLst>
        </c:ser>
        <c:dLbls>
          <c:showLegendKey val="0"/>
          <c:showVal val="0"/>
          <c:showCatName val="0"/>
          <c:showSerName val="0"/>
          <c:showPercent val="0"/>
          <c:showBubbleSize val="0"/>
        </c:dLbls>
        <c:gapWidth val="150"/>
        <c:overlap val="100"/>
        <c:axId val="686410016"/>
        <c:axId val="686410408"/>
      </c:barChart>
      <c:catAx>
        <c:axId val="68641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86410408"/>
        <c:crosses val="autoZero"/>
        <c:auto val="1"/>
        <c:lblAlgn val="ctr"/>
        <c:lblOffset val="100"/>
        <c:noMultiLvlLbl val="0"/>
      </c:catAx>
      <c:valAx>
        <c:axId val="6864104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410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'PPT-costs_all countries'!$C$116</c:f>
              <c:strCache>
                <c:ptCount val="1"/>
                <c:pt idx="0">
                  <c:v>Yes</c:v>
                </c:pt>
              </c:strCache>
            </c:strRef>
          </c:tx>
          <c:spPr>
            <a:solidFill>
              <a:schemeClr val="accent1"/>
            </a:solidFill>
            <a:ln>
              <a:noFill/>
            </a:ln>
            <a:effectLst/>
          </c:spPr>
          <c:invertIfNegative val="0"/>
          <c:cat>
            <c:strRef>
              <c:f>'PPT-costs_all countries'!$B$117</c:f>
              <c:strCache>
                <c:ptCount val="1"/>
                <c:pt idx="0">
                  <c:v>Costs of achieving WFD objectives</c:v>
                </c:pt>
              </c:strCache>
            </c:strRef>
          </c:cat>
          <c:val>
            <c:numRef>
              <c:f>'PPT-costs_all countries'!$C$117</c:f>
              <c:numCache>
                <c:formatCode>0%</c:formatCode>
                <c:ptCount val="1"/>
                <c:pt idx="0">
                  <c:v>0.29629629629629628</c:v>
                </c:pt>
              </c:numCache>
            </c:numRef>
          </c:val>
          <c:extLst>
            <c:ext xmlns:c16="http://schemas.microsoft.com/office/drawing/2014/chart" uri="{C3380CC4-5D6E-409C-BE32-E72D297353CC}">
              <c16:uniqueId val="{00000000-4E18-4F17-B343-DF36A9198707}"/>
            </c:ext>
          </c:extLst>
        </c:ser>
        <c:ser>
          <c:idx val="1"/>
          <c:order val="1"/>
          <c:tx>
            <c:strRef>
              <c:f>'PPT-costs_all countries'!$E$116</c:f>
              <c:strCache>
                <c:ptCount val="1"/>
                <c:pt idx="0">
                  <c:v>No</c:v>
                </c:pt>
              </c:strCache>
            </c:strRef>
          </c:tx>
          <c:spPr>
            <a:solidFill>
              <a:schemeClr val="accent2"/>
            </a:solidFill>
            <a:ln>
              <a:noFill/>
            </a:ln>
            <a:effectLst/>
          </c:spPr>
          <c:invertIfNegative val="0"/>
          <c:cat>
            <c:strRef>
              <c:f>'PPT-costs_all countries'!$B$117</c:f>
              <c:strCache>
                <c:ptCount val="1"/>
                <c:pt idx="0">
                  <c:v>Costs of achieving WFD objectives</c:v>
                </c:pt>
              </c:strCache>
            </c:strRef>
          </c:cat>
          <c:val>
            <c:numRef>
              <c:f>'PPT-costs_all countries'!$E$117</c:f>
              <c:numCache>
                <c:formatCode>0%</c:formatCode>
                <c:ptCount val="1"/>
                <c:pt idx="0">
                  <c:v>0.70370370370370372</c:v>
                </c:pt>
              </c:numCache>
            </c:numRef>
          </c:val>
          <c:extLst>
            <c:ext xmlns:c16="http://schemas.microsoft.com/office/drawing/2014/chart" uri="{C3380CC4-5D6E-409C-BE32-E72D297353CC}">
              <c16:uniqueId val="{00000001-4E18-4F17-B343-DF36A9198707}"/>
            </c:ext>
          </c:extLst>
        </c:ser>
        <c:dLbls>
          <c:showLegendKey val="0"/>
          <c:showVal val="0"/>
          <c:showCatName val="0"/>
          <c:showSerName val="0"/>
          <c:showPercent val="0"/>
          <c:showBubbleSize val="0"/>
        </c:dLbls>
        <c:gapWidth val="150"/>
        <c:overlap val="100"/>
        <c:axId val="427494552"/>
        <c:axId val="427494944"/>
      </c:barChart>
      <c:catAx>
        <c:axId val="427494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494944"/>
        <c:crosses val="autoZero"/>
        <c:auto val="1"/>
        <c:lblAlgn val="ctr"/>
        <c:lblOffset val="100"/>
        <c:noMultiLvlLbl val="0"/>
      </c:catAx>
      <c:valAx>
        <c:axId val="4274949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49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Clean!$A$233:$B$233</c:f>
              <c:strCache>
                <c:ptCount val="2"/>
                <c:pt idx="0">
                  <c:v>Value of assets at risk of flooding</c:v>
                </c:pt>
              </c:strCache>
            </c:strRef>
          </c:tx>
          <c:spPr>
            <a:ln w="19050" cap="rnd">
              <a:noFill/>
              <a:round/>
            </a:ln>
            <a:effectLst/>
          </c:spPr>
          <c:marker>
            <c:symbol val="circle"/>
            <c:size val="4"/>
            <c:spPr>
              <a:solidFill>
                <a:schemeClr val="accent1"/>
              </a:solidFill>
              <a:ln w="9525">
                <a:solidFill>
                  <a:schemeClr val="accent1"/>
                </a:solidFill>
              </a:ln>
              <a:effectLst/>
            </c:spPr>
          </c:marker>
          <c:cat>
            <c:strRef>
              <c:f>Clean!$C$1:$AC$1</c:f>
              <c:strCache>
                <c:ptCount val="27"/>
                <c:pt idx="0">
                  <c:v>Austria</c:v>
                </c:pt>
                <c:pt idx="1">
                  <c:v>Belgium</c:v>
                </c:pt>
                <c:pt idx="2">
                  <c:v>Bulgaria</c:v>
                </c:pt>
                <c:pt idx="3">
                  <c:v>Croatia</c:v>
                </c:pt>
                <c:pt idx="4">
                  <c:v>Cyprus</c:v>
                </c:pt>
                <c:pt idx="5">
                  <c:v>Czechia</c:v>
                </c:pt>
                <c:pt idx="6">
                  <c:v>Denmark</c:v>
                </c:pt>
                <c:pt idx="7">
                  <c:v>Estonia</c:v>
                </c:pt>
                <c:pt idx="8">
                  <c:v>Finland</c:v>
                </c:pt>
                <c:pt idx="9">
                  <c:v>France</c:v>
                </c:pt>
                <c:pt idx="10">
                  <c:v>Germany </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Slovakia</c:v>
                </c:pt>
                <c:pt idx="24">
                  <c:v>Slovenia</c:v>
                </c:pt>
                <c:pt idx="25">
                  <c:v>Spain</c:v>
                </c:pt>
                <c:pt idx="26">
                  <c:v>Sweden</c:v>
                </c:pt>
              </c:strCache>
            </c:strRef>
          </c:cat>
          <c:val>
            <c:numRef>
              <c:f>Clean!$C$233:$AC$233</c:f>
              <c:numCache>
                <c:formatCode>0</c:formatCode>
                <c:ptCount val="27"/>
                <c:pt idx="0">
                  <c:v>2.5161290322580641</c:v>
                </c:pt>
                <c:pt idx="1">
                  <c:v>4.7571428571428571</c:v>
                </c:pt>
                <c:pt idx="2">
                  <c:v>2.4482758620689653</c:v>
                </c:pt>
                <c:pt idx="3">
                  <c:v>6.4804646251319955</c:v>
                </c:pt>
                <c:pt idx="4">
                  <c:v>2.1170731707317074</c:v>
                </c:pt>
                <c:pt idx="5">
                  <c:v>2.805970149253731</c:v>
                </c:pt>
                <c:pt idx="6">
                  <c:v>11.714285714285715</c:v>
                </c:pt>
                <c:pt idx="7">
                  <c:v>8.0928571428571434</c:v>
                </c:pt>
                <c:pt idx="8">
                  <c:v>3.4695863746958642</c:v>
                </c:pt>
                <c:pt idx="9">
                  <c:v>3.3333333333333335</c:v>
                </c:pt>
                <c:pt idx="10">
                  <c:v>3.5425742574257422</c:v>
                </c:pt>
                <c:pt idx="11">
                  <c:v>0.10655737704918034</c:v>
                </c:pt>
                <c:pt idx="12">
                  <c:v>6.1966873706004142</c:v>
                </c:pt>
                <c:pt idx="13">
                  <c:v>11.4434250764526</c:v>
                </c:pt>
                <c:pt idx="14">
                  <c:v>4.3235294117647056</c:v>
                </c:pt>
                <c:pt idx="15">
                  <c:v>0.52998776009791926</c:v>
                </c:pt>
                <c:pt idx="16">
                  <c:v>2.0280112044817926</c:v>
                </c:pt>
                <c:pt idx="17">
                  <c:v>4.1236897274633124</c:v>
                </c:pt>
                <c:pt idx="18">
                  <c:v>4.7244897959183678</c:v>
                </c:pt>
                <c:pt idx="19">
                  <c:v>10.211678832116789</c:v>
                </c:pt>
                <c:pt idx="20">
                  <c:v>4.2917316692667704</c:v>
                </c:pt>
                <c:pt idx="21">
                  <c:v>3.76953125</c:v>
                </c:pt>
                <c:pt idx="22">
                  <c:v>2.9683544303797467</c:v>
                </c:pt>
                <c:pt idx="23">
                  <c:v>3.223529411764706</c:v>
                </c:pt>
                <c:pt idx="24">
                  <c:v>14.184357541899441</c:v>
                </c:pt>
                <c:pt idx="25">
                  <c:v>0.19411764705882351</c:v>
                </c:pt>
                <c:pt idx="26">
                  <c:v>7.65893271461717</c:v>
                </c:pt>
              </c:numCache>
            </c:numRef>
          </c:val>
          <c:smooth val="0"/>
          <c:extLst>
            <c:ext xmlns:c16="http://schemas.microsoft.com/office/drawing/2014/chart" uri="{C3380CC4-5D6E-409C-BE32-E72D297353CC}">
              <c16:uniqueId val="{00000000-19AA-4320-A4F2-49B6B165A374}"/>
            </c:ext>
          </c:extLst>
        </c:ser>
        <c:ser>
          <c:idx val="1"/>
          <c:order val="1"/>
          <c:tx>
            <c:strRef>
              <c:f>Clean!$A$236:$B$236</c:f>
              <c:strCache>
                <c:ptCount val="2"/>
                <c:pt idx="0">
                  <c:v>Nr. of people affected by floods</c:v>
                </c:pt>
              </c:strCache>
            </c:strRef>
          </c:tx>
          <c:spPr>
            <a:ln w="19050" cap="rnd">
              <a:noFill/>
              <a:round/>
            </a:ln>
            <a:effectLst/>
          </c:spPr>
          <c:marker>
            <c:symbol val="circle"/>
            <c:size val="4"/>
            <c:spPr>
              <a:solidFill>
                <a:schemeClr val="accent2"/>
              </a:solidFill>
              <a:ln w="9525">
                <a:solidFill>
                  <a:schemeClr val="accent2"/>
                </a:solidFill>
              </a:ln>
              <a:effectLst/>
            </c:spPr>
          </c:marker>
          <c:cat>
            <c:strRef>
              <c:f>Clean!$C$1:$AC$1</c:f>
              <c:strCache>
                <c:ptCount val="27"/>
                <c:pt idx="0">
                  <c:v>Austria</c:v>
                </c:pt>
                <c:pt idx="1">
                  <c:v>Belgium</c:v>
                </c:pt>
                <c:pt idx="2">
                  <c:v>Bulgaria</c:v>
                </c:pt>
                <c:pt idx="3">
                  <c:v>Croatia</c:v>
                </c:pt>
                <c:pt idx="4">
                  <c:v>Cyprus</c:v>
                </c:pt>
                <c:pt idx="5">
                  <c:v>Czechia</c:v>
                </c:pt>
                <c:pt idx="6">
                  <c:v>Denmark</c:v>
                </c:pt>
                <c:pt idx="7">
                  <c:v>Estonia</c:v>
                </c:pt>
                <c:pt idx="8">
                  <c:v>Finland</c:v>
                </c:pt>
                <c:pt idx="9">
                  <c:v>France</c:v>
                </c:pt>
                <c:pt idx="10">
                  <c:v>Germany </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Slovakia</c:v>
                </c:pt>
                <c:pt idx="24">
                  <c:v>Slovenia</c:v>
                </c:pt>
                <c:pt idx="25">
                  <c:v>Spain</c:v>
                </c:pt>
                <c:pt idx="26">
                  <c:v>Sweden</c:v>
                </c:pt>
              </c:strCache>
            </c:strRef>
          </c:cat>
          <c:val>
            <c:numRef>
              <c:f>Clean!$C$236:$AC$236</c:f>
              <c:numCache>
                <c:formatCode>0</c:formatCode>
                <c:ptCount val="27"/>
                <c:pt idx="0">
                  <c:v>0.93478260869565222</c:v>
                </c:pt>
                <c:pt idx="1">
                  <c:v>1.8733624454148472</c:v>
                </c:pt>
                <c:pt idx="2">
                  <c:v>0.68928571428571428</c:v>
                </c:pt>
                <c:pt idx="3">
                  <c:v>1.7160714285714285</c:v>
                </c:pt>
                <c:pt idx="4">
                  <c:v>0.79314888010540185</c:v>
                </c:pt>
                <c:pt idx="5">
                  <c:v>0.584313725490196</c:v>
                </c:pt>
                <c:pt idx="6">
                  <c:v>4.023952095808383</c:v>
                </c:pt>
                <c:pt idx="7">
                  <c:v>1.3641025641025641</c:v>
                </c:pt>
                <c:pt idx="8">
                  <c:v>1.3026315789473684</c:v>
                </c:pt>
                <c:pt idx="9">
                  <c:v>1.4009174311926604</c:v>
                </c:pt>
                <c:pt idx="10">
                  <c:v>1.1836461126005362</c:v>
                </c:pt>
                <c:pt idx="11">
                  <c:v>4.2735042735042694E-2</c:v>
                </c:pt>
                <c:pt idx="12">
                  <c:v>1.0911392405063292</c:v>
                </c:pt>
                <c:pt idx="13">
                  <c:v>3.7913669064748201</c:v>
                </c:pt>
                <c:pt idx="14">
                  <c:v>1.4362962962962964</c:v>
                </c:pt>
                <c:pt idx="15">
                  <c:v>0.10017574692442888</c:v>
                </c:pt>
                <c:pt idx="16">
                  <c:v>0.4042553191489362</c:v>
                </c:pt>
                <c:pt idx="17">
                  <c:v>2.9508928571428572</c:v>
                </c:pt>
                <c:pt idx="18">
                  <c:v>1.3011904761904762</c:v>
                </c:pt>
                <c:pt idx="19">
                  <c:v>3.5394045534150611</c:v>
                </c:pt>
                <c:pt idx="20">
                  <c:v>0.80962025316455699</c:v>
                </c:pt>
                <c:pt idx="21">
                  <c:v>1.1286666666666667</c:v>
                </c:pt>
                <c:pt idx="22">
                  <c:v>0.44673913043478264</c:v>
                </c:pt>
                <c:pt idx="23">
                  <c:v>0.65722543352601148</c:v>
                </c:pt>
                <c:pt idx="24">
                  <c:v>3.1331828442437923</c:v>
                </c:pt>
                <c:pt idx="25">
                  <c:v>9.0561224489795866E-2</c:v>
                </c:pt>
                <c:pt idx="26">
                  <c:v>2.8082191780821919</c:v>
                </c:pt>
              </c:numCache>
            </c:numRef>
          </c:val>
          <c:smooth val="0"/>
          <c:extLst>
            <c:ext xmlns:c16="http://schemas.microsoft.com/office/drawing/2014/chart" uri="{C3380CC4-5D6E-409C-BE32-E72D297353CC}">
              <c16:uniqueId val="{00000001-19AA-4320-A4F2-49B6B165A374}"/>
            </c:ext>
          </c:extLst>
        </c:ser>
        <c:ser>
          <c:idx val="2"/>
          <c:order val="2"/>
          <c:tx>
            <c:strRef>
              <c:f>Clean!$A$239:$B$239</c:f>
              <c:strCache>
                <c:ptCount val="2"/>
                <c:pt idx="0">
                  <c:v>Value of GDP affected by floods</c:v>
                </c:pt>
              </c:strCache>
            </c:strRef>
          </c:tx>
          <c:spPr>
            <a:ln w="19050" cap="rnd">
              <a:noFill/>
              <a:round/>
            </a:ln>
            <a:effectLst/>
          </c:spPr>
          <c:marker>
            <c:symbol val="circle"/>
            <c:size val="4"/>
            <c:spPr>
              <a:solidFill>
                <a:schemeClr val="accent3"/>
              </a:solidFill>
              <a:ln w="9525">
                <a:solidFill>
                  <a:schemeClr val="accent3"/>
                </a:solidFill>
              </a:ln>
              <a:effectLst/>
            </c:spPr>
          </c:marker>
          <c:cat>
            <c:strRef>
              <c:f>Clean!$C$1:$AC$1</c:f>
              <c:strCache>
                <c:ptCount val="27"/>
                <c:pt idx="0">
                  <c:v>Austria</c:v>
                </c:pt>
                <c:pt idx="1">
                  <c:v>Belgium</c:v>
                </c:pt>
                <c:pt idx="2">
                  <c:v>Bulgaria</c:v>
                </c:pt>
                <c:pt idx="3">
                  <c:v>Croatia</c:v>
                </c:pt>
                <c:pt idx="4">
                  <c:v>Cyprus</c:v>
                </c:pt>
                <c:pt idx="5">
                  <c:v>Czechia</c:v>
                </c:pt>
                <c:pt idx="6">
                  <c:v>Denmark</c:v>
                </c:pt>
                <c:pt idx="7">
                  <c:v>Estonia</c:v>
                </c:pt>
                <c:pt idx="8">
                  <c:v>Finland</c:v>
                </c:pt>
                <c:pt idx="9">
                  <c:v>France</c:v>
                </c:pt>
                <c:pt idx="10">
                  <c:v>Germany </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Slovakia</c:v>
                </c:pt>
                <c:pt idx="24">
                  <c:v>Slovenia</c:v>
                </c:pt>
                <c:pt idx="25">
                  <c:v>Spain</c:v>
                </c:pt>
                <c:pt idx="26">
                  <c:v>Sweden</c:v>
                </c:pt>
              </c:strCache>
            </c:strRef>
          </c:cat>
          <c:val>
            <c:numRef>
              <c:f>Clean!$C$239:$AC$239</c:f>
              <c:numCache>
                <c:formatCode>0</c:formatCode>
                <c:ptCount val="27"/>
                <c:pt idx="0">
                  <c:v>2.3725000000000005</c:v>
                </c:pt>
                <c:pt idx="1">
                  <c:v>4.8331318016928657</c:v>
                </c:pt>
                <c:pt idx="2">
                  <c:v>2.0206611570247932</c:v>
                </c:pt>
                <c:pt idx="3">
                  <c:v>4.5657894736842106</c:v>
                </c:pt>
                <c:pt idx="4">
                  <c:v>1.7191780821917808</c:v>
                </c:pt>
                <c:pt idx="5">
                  <c:v>2.4385964912280702</c:v>
                </c:pt>
                <c:pt idx="6">
                  <c:v>9.7889273356401389</c:v>
                </c:pt>
                <c:pt idx="7">
                  <c:v>6.7070707070707067</c:v>
                </c:pt>
                <c:pt idx="8">
                  <c:v>3.2649572649572649</c:v>
                </c:pt>
                <c:pt idx="9">
                  <c:v>3.243161094224924</c:v>
                </c:pt>
                <c:pt idx="10">
                  <c:v>2.9723320158102773</c:v>
                </c:pt>
                <c:pt idx="11">
                  <c:v>0.15000000000000002</c:v>
                </c:pt>
                <c:pt idx="12">
                  <c:v>4.4636871508379885</c:v>
                </c:pt>
                <c:pt idx="13">
                  <c:v>8.4626865671641784</c:v>
                </c:pt>
                <c:pt idx="14">
                  <c:v>1.3929539295392954</c:v>
                </c:pt>
                <c:pt idx="15">
                  <c:v>0.44863459037711306</c:v>
                </c:pt>
                <c:pt idx="16">
                  <c:v>1.5619047619047619</c:v>
                </c:pt>
                <c:pt idx="17">
                  <c:v>4.4610389610389607</c:v>
                </c:pt>
                <c:pt idx="18">
                  <c:v>4.1578947368421053</c:v>
                </c:pt>
                <c:pt idx="19">
                  <c:v>8.6036866359447011</c:v>
                </c:pt>
                <c:pt idx="20">
                  <c:v>3.0030349013657056</c:v>
                </c:pt>
                <c:pt idx="21">
                  <c:v>3.2259136212624586</c:v>
                </c:pt>
                <c:pt idx="22">
                  <c:v>2.0587570621468929</c:v>
                </c:pt>
                <c:pt idx="23">
                  <c:v>2.6190476190476191</c:v>
                </c:pt>
                <c:pt idx="24">
                  <c:v>8.9523809523809526</c:v>
                </c:pt>
                <c:pt idx="25">
                  <c:v>0.200956937799043</c:v>
                </c:pt>
                <c:pt idx="26">
                  <c:v>6.895953757225433</c:v>
                </c:pt>
              </c:numCache>
            </c:numRef>
          </c:val>
          <c:smooth val="0"/>
          <c:extLst>
            <c:ext xmlns:c16="http://schemas.microsoft.com/office/drawing/2014/chart" uri="{C3380CC4-5D6E-409C-BE32-E72D297353CC}">
              <c16:uniqueId val="{00000002-19AA-4320-A4F2-49B6B165A37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229879103"/>
        <c:axId val="1415918415"/>
      </c:stockChart>
      <c:catAx>
        <c:axId val="122987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918415"/>
        <c:crosses val="autoZero"/>
        <c:auto val="1"/>
        <c:lblAlgn val="ctr"/>
        <c:lblOffset val="100"/>
        <c:noMultiLvlLbl val="0"/>
      </c:catAx>
      <c:valAx>
        <c:axId val="1415918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79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15-4BD8-ABB1-D0376E3934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15-4BD8-ABB1-D0376E3934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15-4BD8-ABB1-D0376E3934E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'Economic ranking'!$B$5:$B$7</c:f>
              <c:strCache>
                <c:ptCount val="3"/>
                <c:pt idx="0">
                  <c:v>Yes</c:v>
                </c:pt>
                <c:pt idx="1">
                  <c:v>No</c:v>
                </c:pt>
                <c:pt idx="2">
                  <c:v>Partial</c:v>
                </c:pt>
              </c:strCache>
            </c:strRef>
          </c:cat>
          <c:val>
            <c:numRef>
              <c:f>'Economic ranking'!$C$5:$C$7</c:f>
              <c:numCache>
                <c:formatCode>General</c:formatCode>
                <c:ptCount val="3"/>
                <c:pt idx="0">
                  <c:v>15</c:v>
                </c:pt>
                <c:pt idx="1">
                  <c:v>4</c:v>
                </c:pt>
                <c:pt idx="2">
                  <c:v>8</c:v>
                </c:pt>
              </c:numCache>
            </c:numRef>
          </c:val>
          <c:extLst>
            <c:ext xmlns:c16="http://schemas.microsoft.com/office/drawing/2014/chart" uri="{C3380CC4-5D6E-409C-BE32-E72D297353CC}">
              <c16:uniqueId val="{00000006-BA15-4BD8-ABB1-D0376E3934E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Updated!$C$30</c:f>
              <c:strCache>
                <c:ptCount val="1"/>
                <c:pt idx="0">
                  <c:v>Good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Updated!$B$31:$B$32</c:f>
              <c:strCache>
                <c:ptCount val="2"/>
                <c:pt idx="0">
                  <c:v>Surface waterbodies: chemical (1st RBMPs)</c:v>
                </c:pt>
                <c:pt idx="1">
                  <c:v>Surface waterbodies: chemical (2nd RBMPs)</c:v>
                </c:pt>
              </c:strCache>
            </c:strRef>
          </c:cat>
          <c:val>
            <c:numRef>
              <c:f>Updated!$C$31:$C$32</c:f>
              <c:numCache>
                <c:formatCode>0%</c:formatCode>
                <c:ptCount val="2"/>
                <c:pt idx="0">
                  <c:v>0.36787591378336271</c:v>
                </c:pt>
                <c:pt idx="1">
                  <c:v>0.33169025720107947</c:v>
                </c:pt>
              </c:numCache>
            </c:numRef>
          </c:val>
          <c:extLst>
            <c:ext xmlns:c16="http://schemas.microsoft.com/office/drawing/2014/chart" uri="{C3380CC4-5D6E-409C-BE32-E72D297353CC}">
              <c16:uniqueId val="{00000000-0EEF-43D9-ACA8-91B0A29BC4AB}"/>
            </c:ext>
          </c:extLst>
        </c:ser>
        <c:ser>
          <c:idx val="1"/>
          <c:order val="1"/>
          <c:tx>
            <c:strRef>
              <c:f>Updated!$D$30</c:f>
              <c:strCache>
                <c:ptCount val="1"/>
                <c:pt idx="0">
                  <c:v>Failing to achieve good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Updated!$B$31:$B$32</c:f>
              <c:strCache>
                <c:ptCount val="2"/>
                <c:pt idx="0">
                  <c:v>Surface waterbodies: chemical (1st RBMPs)</c:v>
                </c:pt>
                <c:pt idx="1">
                  <c:v>Surface waterbodies: chemical (2nd RBMPs)</c:v>
                </c:pt>
              </c:strCache>
            </c:strRef>
          </c:cat>
          <c:val>
            <c:numRef>
              <c:f>Updated!$D$31:$D$32</c:f>
              <c:numCache>
                <c:formatCode>0%</c:formatCode>
                <c:ptCount val="2"/>
                <c:pt idx="0">
                  <c:v>0.25071476263032649</c:v>
                </c:pt>
                <c:pt idx="1">
                  <c:v>0.46832259367369794</c:v>
                </c:pt>
              </c:numCache>
            </c:numRef>
          </c:val>
          <c:extLst>
            <c:ext xmlns:c16="http://schemas.microsoft.com/office/drawing/2014/chart" uri="{C3380CC4-5D6E-409C-BE32-E72D297353CC}">
              <c16:uniqueId val="{00000001-0EEF-43D9-ACA8-91B0A29BC4AB}"/>
            </c:ext>
          </c:extLst>
        </c:ser>
        <c:ser>
          <c:idx val="2"/>
          <c:order val="2"/>
          <c:tx>
            <c:strRef>
              <c:f>Updated!$E$30</c:f>
              <c:strCache>
                <c:ptCount val="1"/>
                <c:pt idx="0">
                  <c:v>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Updated!$B$31:$B$32</c:f>
              <c:strCache>
                <c:ptCount val="2"/>
                <c:pt idx="0">
                  <c:v>Surface waterbodies: chemical (1st RBMPs)</c:v>
                </c:pt>
                <c:pt idx="1">
                  <c:v>Surface waterbodies: chemical (2nd RBMPs)</c:v>
                </c:pt>
              </c:strCache>
            </c:strRef>
          </c:cat>
          <c:val>
            <c:numRef>
              <c:f>Updated!$E$31:$E$32</c:f>
              <c:numCache>
                <c:formatCode>0%</c:formatCode>
                <c:ptCount val="2"/>
                <c:pt idx="0">
                  <c:v>0.3814093235863108</c:v>
                </c:pt>
                <c:pt idx="1">
                  <c:v>0.19998714912522259</c:v>
                </c:pt>
              </c:numCache>
            </c:numRef>
          </c:val>
          <c:extLst>
            <c:ext xmlns:c16="http://schemas.microsoft.com/office/drawing/2014/chart" uri="{C3380CC4-5D6E-409C-BE32-E72D297353CC}">
              <c16:uniqueId val="{00000002-0EEF-43D9-ACA8-91B0A29BC4AB}"/>
            </c:ext>
          </c:extLst>
        </c:ser>
        <c:dLbls>
          <c:showLegendKey val="0"/>
          <c:showVal val="0"/>
          <c:showCatName val="0"/>
          <c:showSerName val="0"/>
          <c:showPercent val="0"/>
          <c:showBubbleSize val="0"/>
        </c:dLbls>
        <c:gapWidth val="150"/>
        <c:overlap val="100"/>
        <c:axId val="686411192"/>
        <c:axId val="686411584"/>
      </c:barChart>
      <c:catAx>
        <c:axId val="686411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86411584"/>
        <c:crosses val="autoZero"/>
        <c:auto val="1"/>
        <c:lblAlgn val="ctr"/>
        <c:lblOffset val="100"/>
        <c:noMultiLvlLbl val="0"/>
      </c:catAx>
      <c:valAx>
        <c:axId val="6864115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411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Updated!$C$44</c:f>
              <c:strCache>
                <c:ptCount val="1"/>
                <c:pt idx="0">
                  <c:v>Good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Updated!$B$45:$B$48</c:f>
              <c:strCache>
                <c:ptCount val="4"/>
                <c:pt idx="0">
                  <c:v>Groundwater bodies: chemical status (1st RBMPs)</c:v>
                </c:pt>
                <c:pt idx="1">
                  <c:v>Groundwater bodies: chemical status (2nd RBMPs)</c:v>
                </c:pt>
                <c:pt idx="2">
                  <c:v>Groundwater bodies: quantitative status (1st RBMPs)</c:v>
                </c:pt>
                <c:pt idx="3">
                  <c:v>Groundwater bodies: quantitative status (2nd RBMPs)</c:v>
                </c:pt>
              </c:strCache>
            </c:strRef>
          </c:cat>
          <c:val>
            <c:numRef>
              <c:f>Updated!$C$45:$C$48</c:f>
              <c:numCache>
                <c:formatCode>0%</c:formatCode>
                <c:ptCount val="4"/>
                <c:pt idx="0">
                  <c:v>0.81241973256780242</c:v>
                </c:pt>
                <c:pt idx="1">
                  <c:v>0.8241670304088462</c:v>
                </c:pt>
                <c:pt idx="2">
                  <c:v>0.87330966231019114</c:v>
                </c:pt>
                <c:pt idx="3">
                  <c:v>0.92317765168048882</c:v>
                </c:pt>
              </c:numCache>
            </c:numRef>
          </c:val>
          <c:extLst>
            <c:ext xmlns:c16="http://schemas.microsoft.com/office/drawing/2014/chart" uri="{C3380CC4-5D6E-409C-BE32-E72D297353CC}">
              <c16:uniqueId val="{00000000-9E18-4063-BBFD-165802310241}"/>
            </c:ext>
          </c:extLst>
        </c:ser>
        <c:ser>
          <c:idx val="1"/>
          <c:order val="1"/>
          <c:tx>
            <c:strRef>
              <c:f>Updated!$D$44</c:f>
              <c:strCache>
                <c:ptCount val="1"/>
                <c:pt idx="0">
                  <c:v>Poor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Updated!$B$45:$B$48</c:f>
              <c:strCache>
                <c:ptCount val="4"/>
                <c:pt idx="0">
                  <c:v>Groundwater bodies: chemical status (1st RBMPs)</c:v>
                </c:pt>
                <c:pt idx="1">
                  <c:v>Groundwater bodies: chemical status (2nd RBMPs)</c:v>
                </c:pt>
                <c:pt idx="2">
                  <c:v>Groundwater bodies: quantitative status (1st RBMPs)</c:v>
                </c:pt>
                <c:pt idx="3">
                  <c:v>Groundwater bodies: quantitative status (2nd RBMPs)</c:v>
                </c:pt>
              </c:strCache>
            </c:strRef>
          </c:cat>
          <c:val>
            <c:numRef>
              <c:f>Updated!$D$45:$D$48</c:f>
              <c:numCache>
                <c:formatCode>0%</c:formatCode>
                <c:ptCount val="4"/>
                <c:pt idx="0">
                  <c:v>0.14738989196947949</c:v>
                </c:pt>
                <c:pt idx="1">
                  <c:v>0.14025898443183471</c:v>
                </c:pt>
                <c:pt idx="2">
                  <c:v>6.2098662839011859E-2</c:v>
                </c:pt>
                <c:pt idx="3">
                  <c:v>4.8886948930597994E-2</c:v>
                </c:pt>
              </c:numCache>
            </c:numRef>
          </c:val>
          <c:extLst>
            <c:ext xmlns:c16="http://schemas.microsoft.com/office/drawing/2014/chart" uri="{C3380CC4-5D6E-409C-BE32-E72D297353CC}">
              <c16:uniqueId val="{00000001-9E18-4063-BBFD-165802310241}"/>
            </c:ext>
          </c:extLst>
        </c:ser>
        <c:ser>
          <c:idx val="2"/>
          <c:order val="2"/>
          <c:tx>
            <c:strRef>
              <c:f>Updated!$E$44</c:f>
              <c:strCache>
                <c:ptCount val="1"/>
                <c:pt idx="0">
                  <c:v>Unknown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Updated!$B$45:$B$48</c:f>
              <c:strCache>
                <c:ptCount val="4"/>
                <c:pt idx="0">
                  <c:v>Groundwater bodies: chemical status (1st RBMPs)</c:v>
                </c:pt>
                <c:pt idx="1">
                  <c:v>Groundwater bodies: chemical status (2nd RBMPs)</c:v>
                </c:pt>
                <c:pt idx="2">
                  <c:v>Groundwater bodies: quantitative status (1st RBMPs)</c:v>
                </c:pt>
                <c:pt idx="3">
                  <c:v>Groundwater bodies: quantitative status (2nd RBMPs)</c:v>
                </c:pt>
              </c:strCache>
            </c:strRef>
          </c:cat>
          <c:val>
            <c:numRef>
              <c:f>Updated!$E$45:$E$48</c:f>
              <c:numCache>
                <c:formatCode>0%</c:formatCode>
                <c:ptCount val="4"/>
                <c:pt idx="0">
                  <c:v>4.0190375462718142E-2</c:v>
                </c:pt>
                <c:pt idx="1">
                  <c:v>3.5573985159319074E-2</c:v>
                </c:pt>
                <c:pt idx="2">
                  <c:v>6.4591674850797004E-2</c:v>
                </c:pt>
                <c:pt idx="3">
                  <c:v>2.7935399388913137E-2</c:v>
                </c:pt>
              </c:numCache>
            </c:numRef>
          </c:val>
          <c:extLst>
            <c:ext xmlns:c16="http://schemas.microsoft.com/office/drawing/2014/chart" uri="{C3380CC4-5D6E-409C-BE32-E72D297353CC}">
              <c16:uniqueId val="{00000002-9E18-4063-BBFD-165802310241}"/>
            </c:ext>
          </c:extLst>
        </c:ser>
        <c:dLbls>
          <c:showLegendKey val="0"/>
          <c:showVal val="0"/>
          <c:showCatName val="0"/>
          <c:showSerName val="0"/>
          <c:showPercent val="0"/>
          <c:showBubbleSize val="0"/>
        </c:dLbls>
        <c:gapWidth val="150"/>
        <c:overlap val="100"/>
        <c:axId val="101857504"/>
        <c:axId val="101857896"/>
      </c:barChart>
      <c:catAx>
        <c:axId val="101857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57896"/>
        <c:crosses val="autoZero"/>
        <c:auto val="1"/>
        <c:lblAlgn val="ctr"/>
        <c:lblOffset val="100"/>
        <c:noMultiLvlLbl val="0"/>
      </c:catAx>
      <c:valAx>
        <c:axId val="1018578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1857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Updated!$C$130</c:f>
              <c:strCache>
                <c:ptCount val="1"/>
                <c:pt idx="0">
                  <c:v>Surface water bodies</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E6D-4C95-BEA5-7EC4CC3E6669}"/>
                </c:ext>
              </c:extLst>
            </c:dLbl>
            <c:dLbl>
              <c:idx val="1"/>
              <c:delete val="1"/>
              <c:extLst>
                <c:ext xmlns:c15="http://schemas.microsoft.com/office/drawing/2012/chart" uri="{CE6537A1-D6FC-4f65-9D91-7224C49458BB}"/>
                <c:ext xmlns:c16="http://schemas.microsoft.com/office/drawing/2014/chart" uri="{C3380CC4-5D6E-409C-BE32-E72D297353CC}">
                  <c16:uniqueId val="{00000001-EE6D-4C95-BEA5-7EC4CC3E6669}"/>
                </c:ext>
              </c:extLst>
            </c:dLbl>
            <c:dLbl>
              <c:idx val="2"/>
              <c:delete val="1"/>
              <c:extLst>
                <c:ext xmlns:c15="http://schemas.microsoft.com/office/drawing/2012/chart" uri="{CE6537A1-D6FC-4f65-9D91-7224C49458BB}"/>
                <c:ext xmlns:c16="http://schemas.microsoft.com/office/drawing/2014/chart" uri="{C3380CC4-5D6E-409C-BE32-E72D297353CC}">
                  <c16:uniqueId val="{00000002-EE6D-4C95-BEA5-7EC4CC3E6669}"/>
                </c:ext>
              </c:extLst>
            </c:dLbl>
            <c:dLbl>
              <c:idx val="3"/>
              <c:delete val="1"/>
              <c:extLst>
                <c:ext xmlns:c15="http://schemas.microsoft.com/office/drawing/2012/chart" uri="{CE6537A1-D6FC-4f65-9D91-7224C49458BB}"/>
                <c:ext xmlns:c16="http://schemas.microsoft.com/office/drawing/2014/chart" uri="{C3380CC4-5D6E-409C-BE32-E72D297353CC}">
                  <c16:uniqueId val="{00000003-EE6D-4C95-BEA5-7EC4CC3E66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Updated!$B$131:$B$140</c:f>
              <c:strCache>
                <c:ptCount val="10"/>
                <c:pt idx="0">
                  <c:v>P6 - Groundwater recharge and or water level</c:v>
                </c:pt>
                <c:pt idx="1">
                  <c:v>P9 - Anthropogenic pressure - Historical pollution</c:v>
                </c:pt>
                <c:pt idx="2">
                  <c:v>P5 - Introduced species and litter</c:v>
                </c:pt>
                <c:pt idx="3">
                  <c:v>P7 - Anthropogenic pressure – Other</c:v>
                </c:pt>
                <c:pt idx="4">
                  <c:v>P3 – Abstraction</c:v>
                </c:pt>
                <c:pt idx="5">
                  <c:v>P8 - Anthropogenic pressure – Unknown</c:v>
                </c:pt>
                <c:pt idx="6">
                  <c:v>P1 - Point sources</c:v>
                </c:pt>
                <c:pt idx="7">
                  <c:v>P2 - Diffuse sources</c:v>
                </c:pt>
                <c:pt idx="8">
                  <c:v>P2-7 - Diffuse sources-Atmospheric deposition</c:v>
                </c:pt>
                <c:pt idx="9">
                  <c:v>P4 – Hydromorphology</c:v>
                </c:pt>
              </c:strCache>
            </c:strRef>
          </c:cat>
          <c:val>
            <c:numRef>
              <c:f>Updated!$C$131:$C$140</c:f>
              <c:numCache>
                <c:formatCode>0%</c:formatCode>
                <c:ptCount val="10"/>
                <c:pt idx="0">
                  <c:v>2.5712842646586162E-4</c:v>
                </c:pt>
                <c:pt idx="1">
                  <c:v>7.7322191101519815E-3</c:v>
                </c:pt>
                <c:pt idx="2">
                  <c:v>1.6437852977639011E-2</c:v>
                </c:pt>
                <c:pt idx="3">
                  <c:v>2.5317966848799302E-2</c:v>
                </c:pt>
                <c:pt idx="4">
                  <c:v>6.9837917259745627E-2</c:v>
                </c:pt>
                <c:pt idx="5">
                  <c:v>8.2152532255842778E-2</c:v>
                </c:pt>
                <c:pt idx="6">
                  <c:v>0.17098122044170991</c:v>
                </c:pt>
                <c:pt idx="7">
                  <c:v>0.37571054685706412</c:v>
                </c:pt>
                <c:pt idx="8">
                  <c:v>0.38841085449286011</c:v>
                </c:pt>
                <c:pt idx="9">
                  <c:v>0.39393911566187612</c:v>
                </c:pt>
              </c:numCache>
            </c:numRef>
          </c:val>
          <c:extLst>
            <c:ext xmlns:c16="http://schemas.microsoft.com/office/drawing/2014/chart" uri="{C3380CC4-5D6E-409C-BE32-E72D297353CC}">
              <c16:uniqueId val="{00000004-EE6D-4C95-BEA5-7EC4CC3E6669}"/>
            </c:ext>
          </c:extLst>
        </c:ser>
        <c:dLbls>
          <c:showLegendKey val="0"/>
          <c:showVal val="0"/>
          <c:showCatName val="0"/>
          <c:showSerName val="0"/>
          <c:showPercent val="0"/>
          <c:showBubbleSize val="0"/>
        </c:dLbls>
        <c:gapWidth val="150"/>
        <c:overlap val="100"/>
        <c:axId val="101858680"/>
        <c:axId val="101859072"/>
      </c:barChart>
      <c:catAx>
        <c:axId val="10185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859072"/>
        <c:crosses val="autoZero"/>
        <c:auto val="1"/>
        <c:lblAlgn val="ctr"/>
        <c:lblOffset val="100"/>
        <c:noMultiLvlLbl val="0"/>
      </c:catAx>
      <c:valAx>
        <c:axId val="101859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185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Surface water bodies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D5D-41B4-8B23-FFF9D1F19B61}"/>
                </c:ext>
              </c:extLst>
            </c:dLbl>
            <c:dLbl>
              <c:idx val="1"/>
              <c:delete val="1"/>
              <c:extLst>
                <c:ext xmlns:c15="http://schemas.microsoft.com/office/drawing/2012/chart" uri="{CE6537A1-D6FC-4f65-9D91-7224C49458BB}"/>
                <c:ext xmlns:c16="http://schemas.microsoft.com/office/drawing/2014/chart" uri="{C3380CC4-5D6E-409C-BE32-E72D297353CC}">
                  <c16:uniqueId val="{00000001-DD5D-41B4-8B23-FFF9D1F19B61}"/>
                </c:ext>
              </c:extLst>
            </c:dLbl>
            <c:dLbl>
              <c:idx val="2"/>
              <c:delete val="1"/>
              <c:extLst>
                <c:ext xmlns:c15="http://schemas.microsoft.com/office/drawing/2012/chart" uri="{CE6537A1-D6FC-4f65-9D91-7224C49458BB}"/>
                <c:ext xmlns:c16="http://schemas.microsoft.com/office/drawing/2014/chart" uri="{C3380CC4-5D6E-409C-BE32-E72D297353CC}">
                  <c16:uniqueId val="{00000002-DD5D-41B4-8B23-FFF9D1F19B61}"/>
                </c:ext>
              </c:extLst>
            </c:dLbl>
            <c:dLbl>
              <c:idx val="3"/>
              <c:delete val="1"/>
              <c:extLst>
                <c:ext xmlns:c15="http://schemas.microsoft.com/office/drawing/2012/chart" uri="{CE6537A1-D6FC-4f65-9D91-7224C49458BB}"/>
                <c:ext xmlns:c16="http://schemas.microsoft.com/office/drawing/2014/chart" uri="{C3380CC4-5D6E-409C-BE32-E72D297353CC}">
                  <c16:uniqueId val="{00000003-DD5D-41B4-8B23-FFF9D1F19B61}"/>
                </c:ext>
              </c:extLst>
            </c:dLbl>
            <c:dLbl>
              <c:idx val="4"/>
              <c:delete val="1"/>
              <c:extLst>
                <c:ext xmlns:c15="http://schemas.microsoft.com/office/drawing/2012/chart" uri="{CE6537A1-D6FC-4f65-9D91-7224C49458BB}"/>
                <c:ext xmlns:c16="http://schemas.microsoft.com/office/drawing/2014/chart" uri="{C3380CC4-5D6E-409C-BE32-E72D297353CC}">
                  <c16:uniqueId val="{00000004-DD5D-41B4-8B23-FFF9D1F19B61}"/>
                </c:ext>
              </c:extLst>
            </c:dLbl>
            <c:dLbl>
              <c:idx val="5"/>
              <c:delete val="1"/>
              <c:extLst>
                <c:ext xmlns:c15="http://schemas.microsoft.com/office/drawing/2012/chart" uri="{CE6537A1-D6FC-4f65-9D91-7224C49458BB}"/>
                <c:ext xmlns:c16="http://schemas.microsoft.com/office/drawing/2014/chart" uri="{C3380CC4-5D6E-409C-BE32-E72D297353CC}">
                  <c16:uniqueId val="{00000005-DD5D-41B4-8B23-FFF9D1F19B61}"/>
                </c:ext>
              </c:extLst>
            </c:dLbl>
            <c:dLbl>
              <c:idx val="6"/>
              <c:delete val="1"/>
              <c:extLst>
                <c:ext xmlns:c15="http://schemas.microsoft.com/office/drawing/2012/chart" uri="{CE6537A1-D6FC-4f65-9D91-7224C49458BB}"/>
                <c:ext xmlns:c16="http://schemas.microsoft.com/office/drawing/2014/chart" uri="{C3380CC4-5D6E-409C-BE32-E72D297353CC}">
                  <c16:uniqueId val="{00000006-DD5D-41B4-8B23-FFF9D1F19B61}"/>
                </c:ext>
              </c:extLst>
            </c:dLbl>
            <c:dLbl>
              <c:idx val="7"/>
              <c:delete val="1"/>
              <c:extLst>
                <c:ext xmlns:c15="http://schemas.microsoft.com/office/drawing/2012/chart" uri="{CE6537A1-D6FC-4f65-9D91-7224C49458BB}"/>
                <c:ext xmlns:c16="http://schemas.microsoft.com/office/drawing/2014/chart" uri="{C3380CC4-5D6E-409C-BE32-E72D297353CC}">
                  <c16:uniqueId val="{00000007-DD5D-41B4-8B23-FFF9D1F19B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Updated!$B$210:$B$223</c:f>
              <c:strCache>
                <c:ptCount val="14"/>
                <c:pt idx="0">
                  <c:v>Litter</c:v>
                </c:pt>
                <c:pt idx="1">
                  <c:v>Associated surface waters</c:v>
                </c:pt>
                <c:pt idx="2">
                  <c:v>Dependent terrestrial ecosystems</c:v>
                </c:pt>
                <c:pt idx="3">
                  <c:v>Saline or other intrusion</c:v>
                </c:pt>
                <c:pt idx="4">
                  <c:v>Elevated temperatures</c:v>
                </c:pt>
                <c:pt idx="5">
                  <c:v>Microbiological pollution</c:v>
                </c:pt>
                <c:pt idx="6">
                  <c:v>Other</c:v>
                </c:pt>
                <c:pt idx="7">
                  <c:v>Acidification</c:v>
                </c:pt>
                <c:pt idx="8">
                  <c:v>Unknown</c:v>
                </c:pt>
                <c:pt idx="9">
                  <c:v>Altered habitats (hydrological changes)</c:v>
                </c:pt>
                <c:pt idx="10">
                  <c:v>Organic pollution</c:v>
                </c:pt>
                <c:pt idx="11">
                  <c:v>Nutrient pollution</c:v>
                </c:pt>
                <c:pt idx="12">
                  <c:v>Altered habitats (morphological changes)</c:v>
                </c:pt>
                <c:pt idx="13">
                  <c:v>Chemical pollution</c:v>
                </c:pt>
              </c:strCache>
            </c:strRef>
          </c:cat>
          <c:val>
            <c:numRef>
              <c:f>Updated!$C$210:$C$223</c:f>
              <c:numCache>
                <c:formatCode>0%</c:formatCode>
                <c:ptCount val="14"/>
                <c:pt idx="0">
                  <c:v>7.4197048812383492E-5</c:v>
                </c:pt>
                <c:pt idx="1">
                  <c:v>2.2444607265746006E-3</c:v>
                </c:pt>
                <c:pt idx="2">
                  <c:v>3.9973660047671602E-3</c:v>
                </c:pt>
                <c:pt idx="3">
                  <c:v>5.5091308743194737E-3</c:v>
                </c:pt>
                <c:pt idx="4">
                  <c:v>7.8277886497064575E-3</c:v>
                </c:pt>
                <c:pt idx="5">
                  <c:v>1.1686035187950399E-2</c:v>
                </c:pt>
                <c:pt idx="6">
                  <c:v>1.6916927129223436E-2</c:v>
                </c:pt>
                <c:pt idx="7">
                  <c:v>4.0103504883093277E-2</c:v>
                </c:pt>
                <c:pt idx="8">
                  <c:v>7.275948099164356E-2</c:v>
                </c:pt>
                <c:pt idx="9">
                  <c:v>0.13855371402602462</c:v>
                </c:pt>
                <c:pt idx="10">
                  <c:v>0.17989074484562376</c:v>
                </c:pt>
                <c:pt idx="11">
                  <c:v>0.27448270745031117</c:v>
                </c:pt>
                <c:pt idx="12">
                  <c:v>0.36822140399365616</c:v>
                </c:pt>
                <c:pt idx="13">
                  <c:v>0.50389070774709932</c:v>
                </c:pt>
              </c:numCache>
            </c:numRef>
          </c:val>
          <c:extLst>
            <c:ext xmlns:c16="http://schemas.microsoft.com/office/drawing/2014/chart" uri="{C3380CC4-5D6E-409C-BE32-E72D297353CC}">
              <c16:uniqueId val="{00000008-DD5D-41B4-8B23-FFF9D1F19B61}"/>
            </c:ext>
          </c:extLst>
        </c:ser>
        <c:dLbls>
          <c:showLegendKey val="0"/>
          <c:showVal val="0"/>
          <c:showCatName val="0"/>
          <c:showSerName val="0"/>
          <c:showPercent val="0"/>
          <c:showBubbleSize val="0"/>
        </c:dLbls>
        <c:gapWidth val="150"/>
        <c:overlap val="100"/>
        <c:axId val="101859856"/>
        <c:axId val="101860248"/>
      </c:barChart>
      <c:catAx>
        <c:axId val="10185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860248"/>
        <c:crosses val="autoZero"/>
        <c:auto val="1"/>
        <c:lblAlgn val="ctr"/>
        <c:lblOffset val="100"/>
        <c:noMultiLvlLbl val="0"/>
      </c:catAx>
      <c:valAx>
        <c:axId val="101860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5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Updated!$E$130</c:f>
              <c:strCache>
                <c:ptCount val="1"/>
                <c:pt idx="0">
                  <c:v>Groundwater bodies</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324-4B4D-9C58-7BB6500365F4}"/>
                </c:ext>
              </c:extLst>
            </c:dLbl>
            <c:dLbl>
              <c:idx val="1"/>
              <c:delete val="1"/>
              <c:extLst>
                <c:ext xmlns:c15="http://schemas.microsoft.com/office/drawing/2012/chart" uri="{CE6537A1-D6FC-4f65-9D91-7224C49458BB}"/>
                <c:ext xmlns:c16="http://schemas.microsoft.com/office/drawing/2014/chart" uri="{C3380CC4-5D6E-409C-BE32-E72D297353CC}">
                  <c16:uniqueId val="{00000001-3324-4B4D-9C58-7BB6500365F4}"/>
                </c:ext>
              </c:extLst>
            </c:dLbl>
            <c:dLbl>
              <c:idx val="2"/>
              <c:delete val="1"/>
              <c:extLst>
                <c:ext xmlns:c15="http://schemas.microsoft.com/office/drawing/2012/chart" uri="{CE6537A1-D6FC-4f65-9D91-7224C49458BB}"/>
                <c:ext xmlns:c16="http://schemas.microsoft.com/office/drawing/2014/chart" uri="{C3380CC4-5D6E-409C-BE32-E72D297353CC}">
                  <c16:uniqueId val="{00000002-3324-4B4D-9C58-7BB6500365F4}"/>
                </c:ext>
              </c:extLst>
            </c:dLbl>
            <c:dLbl>
              <c:idx val="3"/>
              <c:delete val="1"/>
              <c:extLst>
                <c:ext xmlns:c15="http://schemas.microsoft.com/office/drawing/2012/chart" uri="{CE6537A1-D6FC-4f65-9D91-7224C49458BB}"/>
                <c:ext xmlns:c16="http://schemas.microsoft.com/office/drawing/2014/chart" uri="{C3380CC4-5D6E-409C-BE32-E72D297353CC}">
                  <c16:uniqueId val="{00000003-3324-4B4D-9C58-7BB6500365F4}"/>
                </c:ext>
              </c:extLst>
            </c:dLbl>
            <c:dLbl>
              <c:idx val="4"/>
              <c:delete val="1"/>
              <c:extLst>
                <c:ext xmlns:c15="http://schemas.microsoft.com/office/drawing/2012/chart" uri="{CE6537A1-D6FC-4f65-9D91-7224C49458BB}"/>
                <c:ext xmlns:c16="http://schemas.microsoft.com/office/drawing/2014/chart" uri="{C3380CC4-5D6E-409C-BE32-E72D297353CC}">
                  <c16:uniqueId val="{00000004-3324-4B4D-9C58-7BB6500365F4}"/>
                </c:ext>
              </c:extLst>
            </c:dLbl>
            <c:dLbl>
              <c:idx val="5"/>
              <c:delete val="1"/>
              <c:extLst>
                <c:ext xmlns:c15="http://schemas.microsoft.com/office/drawing/2012/chart" uri="{CE6537A1-D6FC-4f65-9D91-7224C49458BB}"/>
                <c:ext xmlns:c16="http://schemas.microsoft.com/office/drawing/2014/chart" uri="{C3380CC4-5D6E-409C-BE32-E72D297353CC}">
                  <c16:uniqueId val="{00000005-3324-4B4D-9C58-7BB6500365F4}"/>
                </c:ext>
              </c:extLst>
            </c:dLbl>
            <c:dLbl>
              <c:idx val="6"/>
              <c:delete val="1"/>
              <c:extLst>
                <c:ext xmlns:c15="http://schemas.microsoft.com/office/drawing/2012/chart" uri="{CE6537A1-D6FC-4f65-9D91-7224C49458BB}"/>
                <c:ext xmlns:c16="http://schemas.microsoft.com/office/drawing/2014/chart" uri="{C3380CC4-5D6E-409C-BE32-E72D297353CC}">
                  <c16:uniqueId val="{00000006-3324-4B4D-9C58-7BB6500365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Updated!$D$131:$D$140</c:f>
              <c:strCache>
                <c:ptCount val="10"/>
                <c:pt idx="0">
                  <c:v>P5 - Introduced species and litter</c:v>
                </c:pt>
                <c:pt idx="1">
                  <c:v>P4 – Hydromorphology</c:v>
                </c:pt>
                <c:pt idx="2">
                  <c:v>P9 - Anthropogenic pressure - Historical pollution</c:v>
                </c:pt>
                <c:pt idx="3">
                  <c:v>P2-7 Diffuse sources-Atmospheric deposition</c:v>
                </c:pt>
                <c:pt idx="4">
                  <c:v>P6 - Groundwater recharge and or water level</c:v>
                </c:pt>
                <c:pt idx="5">
                  <c:v>P7 - Anthropogenic pressure – Other</c:v>
                </c:pt>
                <c:pt idx="6">
                  <c:v>P8 - Anthropogenic pressure – Unknown</c:v>
                </c:pt>
                <c:pt idx="7">
                  <c:v>P3 – Abstraction</c:v>
                </c:pt>
                <c:pt idx="8">
                  <c:v>P1 - Point sources</c:v>
                </c:pt>
                <c:pt idx="9">
                  <c:v>P2 - Diffuse sources</c:v>
                </c:pt>
              </c:strCache>
            </c:strRef>
          </c:cat>
          <c:val>
            <c:numRef>
              <c:f>Updated!$E$131:$E$140</c:f>
              <c:numCache>
                <c:formatCode>0%</c:formatCode>
                <c:ptCount val="10"/>
                <c:pt idx="0">
                  <c:v>0</c:v>
                </c:pt>
                <c:pt idx="1">
                  <c:v>5.9219779406321713E-4</c:v>
                </c:pt>
                <c:pt idx="2">
                  <c:v>9.6232141535272783E-4</c:v>
                </c:pt>
                <c:pt idx="3">
                  <c:v>4.959656525279443E-3</c:v>
                </c:pt>
                <c:pt idx="4">
                  <c:v>9.8452883263009851E-3</c:v>
                </c:pt>
                <c:pt idx="5">
                  <c:v>1.5841290991191057E-2</c:v>
                </c:pt>
                <c:pt idx="6">
                  <c:v>1.9320453031312457E-2</c:v>
                </c:pt>
                <c:pt idx="7">
                  <c:v>9.9711303575394178E-2</c:v>
                </c:pt>
                <c:pt idx="8">
                  <c:v>0.11607076763639056</c:v>
                </c:pt>
                <c:pt idx="9">
                  <c:v>0.24516988674217188</c:v>
                </c:pt>
              </c:numCache>
            </c:numRef>
          </c:val>
          <c:extLst>
            <c:ext xmlns:c16="http://schemas.microsoft.com/office/drawing/2014/chart" uri="{C3380CC4-5D6E-409C-BE32-E72D297353CC}">
              <c16:uniqueId val="{00000007-3324-4B4D-9C58-7BB6500365F4}"/>
            </c:ext>
          </c:extLst>
        </c:ser>
        <c:dLbls>
          <c:showLegendKey val="0"/>
          <c:showVal val="0"/>
          <c:showCatName val="0"/>
          <c:showSerName val="0"/>
          <c:showPercent val="0"/>
          <c:showBubbleSize val="0"/>
        </c:dLbls>
        <c:gapWidth val="150"/>
        <c:overlap val="100"/>
        <c:axId val="101861032"/>
        <c:axId val="101861424"/>
      </c:barChart>
      <c:catAx>
        <c:axId val="101861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861424"/>
        <c:crosses val="autoZero"/>
        <c:auto val="1"/>
        <c:lblAlgn val="ctr"/>
        <c:lblOffset val="100"/>
        <c:noMultiLvlLbl val="0"/>
      </c:catAx>
      <c:valAx>
        <c:axId val="101861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6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Groundwater bodies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333-4602-A9E4-9ED4B895C603}"/>
                </c:ext>
              </c:extLst>
            </c:dLbl>
            <c:dLbl>
              <c:idx val="1"/>
              <c:delete val="1"/>
              <c:extLst>
                <c:ext xmlns:c15="http://schemas.microsoft.com/office/drawing/2012/chart" uri="{CE6537A1-D6FC-4f65-9D91-7224C49458BB}"/>
                <c:ext xmlns:c16="http://schemas.microsoft.com/office/drawing/2014/chart" uri="{C3380CC4-5D6E-409C-BE32-E72D297353CC}">
                  <c16:uniqueId val="{00000001-E333-4602-A9E4-9ED4B895C603}"/>
                </c:ext>
              </c:extLst>
            </c:dLbl>
            <c:dLbl>
              <c:idx val="2"/>
              <c:delete val="1"/>
              <c:extLst>
                <c:ext xmlns:c15="http://schemas.microsoft.com/office/drawing/2012/chart" uri="{CE6537A1-D6FC-4f65-9D91-7224C49458BB}"/>
                <c:ext xmlns:c16="http://schemas.microsoft.com/office/drawing/2014/chart" uri="{C3380CC4-5D6E-409C-BE32-E72D297353CC}">
                  <c16:uniqueId val="{00000002-E333-4602-A9E4-9ED4B895C603}"/>
                </c:ext>
              </c:extLst>
            </c:dLbl>
            <c:dLbl>
              <c:idx val="3"/>
              <c:delete val="1"/>
              <c:extLst>
                <c:ext xmlns:c15="http://schemas.microsoft.com/office/drawing/2012/chart" uri="{CE6537A1-D6FC-4f65-9D91-7224C49458BB}"/>
                <c:ext xmlns:c16="http://schemas.microsoft.com/office/drawing/2014/chart" uri="{C3380CC4-5D6E-409C-BE32-E72D297353CC}">
                  <c16:uniqueId val="{00000003-E333-4602-A9E4-9ED4B895C603}"/>
                </c:ext>
              </c:extLst>
            </c:dLbl>
            <c:dLbl>
              <c:idx val="4"/>
              <c:delete val="1"/>
              <c:extLst>
                <c:ext xmlns:c15="http://schemas.microsoft.com/office/drawing/2012/chart" uri="{CE6537A1-D6FC-4f65-9D91-7224C49458BB}"/>
                <c:ext xmlns:c16="http://schemas.microsoft.com/office/drawing/2014/chart" uri="{C3380CC4-5D6E-409C-BE32-E72D297353CC}">
                  <c16:uniqueId val="{00000004-E333-4602-A9E4-9ED4B895C603}"/>
                </c:ext>
              </c:extLst>
            </c:dLbl>
            <c:dLbl>
              <c:idx val="5"/>
              <c:delete val="1"/>
              <c:extLst>
                <c:ext xmlns:c15="http://schemas.microsoft.com/office/drawing/2012/chart" uri="{CE6537A1-D6FC-4f65-9D91-7224C49458BB}"/>
                <c:ext xmlns:c16="http://schemas.microsoft.com/office/drawing/2014/chart" uri="{C3380CC4-5D6E-409C-BE32-E72D297353CC}">
                  <c16:uniqueId val="{00000005-E333-4602-A9E4-9ED4B895C603}"/>
                </c:ext>
              </c:extLst>
            </c:dLbl>
            <c:dLbl>
              <c:idx val="6"/>
              <c:delete val="1"/>
              <c:extLst>
                <c:ext xmlns:c15="http://schemas.microsoft.com/office/drawing/2012/chart" uri="{CE6537A1-D6FC-4f65-9D91-7224C49458BB}"/>
                <c:ext xmlns:c16="http://schemas.microsoft.com/office/drawing/2014/chart" uri="{C3380CC4-5D6E-409C-BE32-E72D297353CC}">
                  <c16:uniqueId val="{00000006-E333-4602-A9E4-9ED4B895C6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Updated!$E$205:$E$215</c:f>
              <c:strCache>
                <c:ptCount val="11"/>
                <c:pt idx="0">
                  <c:v>Microbiological pollution</c:v>
                </c:pt>
                <c:pt idx="1">
                  <c:v>Other</c:v>
                </c:pt>
                <c:pt idx="2">
                  <c:v>Acidification</c:v>
                </c:pt>
                <c:pt idx="3">
                  <c:v>Dependent terrestrial ecosystems</c:v>
                </c:pt>
                <c:pt idx="4">
                  <c:v>Associated surface waters</c:v>
                </c:pt>
                <c:pt idx="5">
                  <c:v>Saline or other intrusion</c:v>
                </c:pt>
                <c:pt idx="6">
                  <c:v>Organic pollution</c:v>
                </c:pt>
                <c:pt idx="7">
                  <c:v>Water balance/ lowering water table</c:v>
                </c:pt>
                <c:pt idx="8">
                  <c:v>Nutrient pollution</c:v>
                </c:pt>
                <c:pt idx="9">
                  <c:v>Chemical pollution</c:v>
                </c:pt>
                <c:pt idx="10">
                  <c:v>Unknown</c:v>
                </c:pt>
              </c:strCache>
            </c:strRef>
          </c:cat>
          <c:val>
            <c:numRef>
              <c:f>Updated!$F$205:$F$215</c:f>
              <c:numCache>
                <c:formatCode>0%</c:formatCode>
                <c:ptCount val="11"/>
                <c:pt idx="0">
                  <c:v>1.7665243633151774E-3</c:v>
                </c:pt>
                <c:pt idx="1">
                  <c:v>1.9873399087295745E-3</c:v>
                </c:pt>
                <c:pt idx="2">
                  <c:v>2.2081554541439718E-3</c:v>
                </c:pt>
                <c:pt idx="3">
                  <c:v>1.3911379361107023E-2</c:v>
                </c:pt>
                <c:pt idx="4">
                  <c:v>1.8254085087590168E-2</c:v>
                </c:pt>
                <c:pt idx="5">
                  <c:v>2.0609450905343735E-2</c:v>
                </c:pt>
                <c:pt idx="6">
                  <c:v>2.0683056087148537E-2</c:v>
                </c:pt>
                <c:pt idx="7">
                  <c:v>5.1523627263359344E-2</c:v>
                </c:pt>
                <c:pt idx="8">
                  <c:v>8.9283085529221262E-2</c:v>
                </c:pt>
                <c:pt idx="9">
                  <c:v>0.13263653761224789</c:v>
                </c:pt>
                <c:pt idx="10">
                  <c:v>0.27565140585897246</c:v>
                </c:pt>
              </c:numCache>
            </c:numRef>
          </c:val>
          <c:extLst>
            <c:ext xmlns:c16="http://schemas.microsoft.com/office/drawing/2014/chart" uri="{C3380CC4-5D6E-409C-BE32-E72D297353CC}">
              <c16:uniqueId val="{00000007-E333-4602-A9E4-9ED4B895C603}"/>
            </c:ext>
          </c:extLst>
        </c:ser>
        <c:dLbls>
          <c:showLegendKey val="0"/>
          <c:showVal val="0"/>
          <c:showCatName val="0"/>
          <c:showSerName val="0"/>
          <c:showPercent val="0"/>
          <c:showBubbleSize val="0"/>
        </c:dLbls>
        <c:gapWidth val="150"/>
        <c:overlap val="100"/>
        <c:axId val="101862208"/>
        <c:axId val="101862600"/>
      </c:barChart>
      <c:catAx>
        <c:axId val="10186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62600"/>
        <c:crosses val="autoZero"/>
        <c:auto val="1"/>
        <c:lblAlgn val="ctr"/>
        <c:lblOffset val="100"/>
        <c:noMultiLvlLbl val="0"/>
      </c:catAx>
      <c:valAx>
        <c:axId val="101862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6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'Total costs of measures WFD'!$B$1</c:f>
              <c:strCache>
                <c:ptCount val="1"/>
                <c:pt idx="0">
                  <c:v>Capital investment cost of WFD measures</c:v>
                </c:pt>
              </c:strCache>
            </c:strRef>
          </c:tx>
          <c:spPr>
            <a:solidFill>
              <a:schemeClr val="accent1"/>
            </a:solidFill>
            <a:ln>
              <a:noFill/>
            </a:ln>
            <a:effectLst/>
          </c:spPr>
          <c:invertIfNegative val="0"/>
          <c:cat>
            <c:strRef>
              <c:f>'Total costs of measures WFD'!$A$2:$A$27</c:f>
              <c:strCache>
                <c:ptCount val="26"/>
                <c:pt idx="0">
                  <c:v>Lithuania</c:v>
                </c:pt>
                <c:pt idx="1">
                  <c:v>Malta</c:v>
                </c:pt>
                <c:pt idx="2">
                  <c:v>Cyprus</c:v>
                </c:pt>
                <c:pt idx="3">
                  <c:v>Estonia</c:v>
                </c:pt>
                <c:pt idx="4">
                  <c:v>Denmark</c:v>
                </c:pt>
                <c:pt idx="5">
                  <c:v>Austria</c:v>
                </c:pt>
                <c:pt idx="6">
                  <c:v>Netherlands</c:v>
                </c:pt>
                <c:pt idx="7">
                  <c:v>Portugal</c:v>
                </c:pt>
                <c:pt idx="8">
                  <c:v>Luxembourg</c:v>
                </c:pt>
                <c:pt idx="9">
                  <c:v>Slovakia</c:v>
                </c:pt>
                <c:pt idx="10">
                  <c:v>Greece</c:v>
                </c:pt>
                <c:pt idx="11">
                  <c:v>Bulgaria</c:v>
                </c:pt>
                <c:pt idx="12">
                  <c:v>Slovenia</c:v>
                </c:pt>
                <c:pt idx="13">
                  <c:v>Latvia</c:v>
                </c:pt>
                <c:pt idx="14">
                  <c:v>Sweden</c:v>
                </c:pt>
                <c:pt idx="15">
                  <c:v>Germany </c:v>
                </c:pt>
                <c:pt idx="16">
                  <c:v>Hungary</c:v>
                </c:pt>
                <c:pt idx="17">
                  <c:v>Czechia</c:v>
                </c:pt>
                <c:pt idx="18">
                  <c:v>Belgium</c:v>
                </c:pt>
                <c:pt idx="19">
                  <c:v>Croatia</c:v>
                </c:pt>
                <c:pt idx="20">
                  <c:v>Poland</c:v>
                </c:pt>
                <c:pt idx="21">
                  <c:v>Ireland</c:v>
                </c:pt>
                <c:pt idx="22">
                  <c:v>Spain</c:v>
                </c:pt>
                <c:pt idx="23">
                  <c:v>Romania</c:v>
                </c:pt>
                <c:pt idx="24">
                  <c:v>France</c:v>
                </c:pt>
                <c:pt idx="25">
                  <c:v>Italy</c:v>
                </c:pt>
              </c:strCache>
            </c:strRef>
          </c:cat>
          <c:val>
            <c:numRef>
              <c:f>'Total costs of measures WFD'!$B$2:$B$27</c:f>
              <c:numCache>
                <c:formatCode>0</c:formatCode>
                <c:ptCount val="26"/>
                <c:pt idx="0">
                  <c:v>24.25</c:v>
                </c:pt>
                <c:pt idx="1">
                  <c:v>200</c:v>
                </c:pt>
                <c:pt idx="2">
                  <c:v>246.72</c:v>
                </c:pt>
                <c:pt idx="3">
                  <c:v>488</c:v>
                </c:pt>
                <c:pt idx="4">
                  <c:v>833</c:v>
                </c:pt>
                <c:pt idx="5">
                  <c:v>990</c:v>
                </c:pt>
                <c:pt idx="6">
                  <c:v>1374</c:v>
                </c:pt>
                <c:pt idx="7">
                  <c:v>1469</c:v>
                </c:pt>
                <c:pt idx="8">
                  <c:v>1510.03</c:v>
                </c:pt>
                <c:pt idx="9">
                  <c:v>2055</c:v>
                </c:pt>
                <c:pt idx="10">
                  <c:v>2320</c:v>
                </c:pt>
                <c:pt idx="11">
                  <c:v>2648</c:v>
                </c:pt>
                <c:pt idx="12">
                  <c:v>2754</c:v>
                </c:pt>
                <c:pt idx="13">
                  <c:v>2785</c:v>
                </c:pt>
                <c:pt idx="14">
                  <c:v>3280</c:v>
                </c:pt>
                <c:pt idx="15">
                  <c:v>3726</c:v>
                </c:pt>
                <c:pt idx="16">
                  <c:v>4004</c:v>
                </c:pt>
                <c:pt idx="17">
                  <c:v>4226</c:v>
                </c:pt>
                <c:pt idx="18">
                  <c:v>5650</c:v>
                </c:pt>
                <c:pt idx="19">
                  <c:v>6058</c:v>
                </c:pt>
                <c:pt idx="20">
                  <c:v>6222</c:v>
                </c:pt>
                <c:pt idx="21">
                  <c:v>12100</c:v>
                </c:pt>
                <c:pt idx="22">
                  <c:v>13487</c:v>
                </c:pt>
                <c:pt idx="23">
                  <c:v>14426.643</c:v>
                </c:pt>
                <c:pt idx="24">
                  <c:v>17851</c:v>
                </c:pt>
                <c:pt idx="25">
                  <c:v>20441.599999999991</c:v>
                </c:pt>
              </c:numCache>
            </c:numRef>
          </c:val>
          <c:extLst>
            <c:ext xmlns:c16="http://schemas.microsoft.com/office/drawing/2014/chart" uri="{C3380CC4-5D6E-409C-BE32-E72D297353CC}">
              <c16:uniqueId val="{00000000-58D1-4551-B908-458F6B70D97A}"/>
            </c:ext>
          </c:extLst>
        </c:ser>
        <c:dLbls>
          <c:showLegendKey val="0"/>
          <c:showVal val="0"/>
          <c:showCatName val="0"/>
          <c:showSerName val="0"/>
          <c:showPercent val="0"/>
          <c:showBubbleSize val="0"/>
        </c:dLbls>
        <c:gapWidth val="150"/>
        <c:overlap val="100"/>
        <c:axId val="1840039488"/>
        <c:axId val="1839328992"/>
      </c:barChart>
      <c:catAx>
        <c:axId val="184003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328992"/>
        <c:crosses val="autoZero"/>
        <c:auto val="1"/>
        <c:lblAlgn val="ctr"/>
        <c:lblOffset val="100"/>
        <c:noMultiLvlLbl val="0"/>
      </c:catAx>
      <c:valAx>
        <c:axId val="1839328992"/>
        <c:scaling>
          <c:orientation val="minMax"/>
          <c:max val="210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039488"/>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'Basic vs supplementary'!$D$1</c:f>
              <c:strCache>
                <c:ptCount val="1"/>
                <c:pt idx="0">
                  <c:v>Basic measures</c:v>
                </c:pt>
              </c:strCache>
            </c:strRef>
          </c:tx>
          <c:spPr>
            <a:solidFill>
              <a:schemeClr val="accent1"/>
            </a:solidFill>
            <a:ln>
              <a:noFill/>
            </a:ln>
            <a:effectLst/>
          </c:spPr>
          <c:invertIfNegative val="0"/>
          <c:cat>
            <c:strRef>
              <c:f>'Basic vs supplementary'!$A$2:$A$28</c:f>
              <c:strCache>
                <c:ptCount val="27"/>
                <c:pt idx="0">
                  <c:v>Lithuania</c:v>
                </c:pt>
                <c:pt idx="1">
                  <c:v>Netherlands</c:v>
                </c:pt>
                <c:pt idx="2">
                  <c:v>Belgium</c:v>
                </c:pt>
                <c:pt idx="3">
                  <c:v>Czechia</c:v>
                </c:pt>
                <c:pt idx="4">
                  <c:v>Malta</c:v>
                </c:pt>
                <c:pt idx="5">
                  <c:v>France</c:v>
                </c:pt>
                <c:pt idx="6">
                  <c:v>Cyprus</c:v>
                </c:pt>
                <c:pt idx="7">
                  <c:v>Estonia</c:v>
                </c:pt>
                <c:pt idx="8">
                  <c:v>Spain</c:v>
                </c:pt>
                <c:pt idx="9">
                  <c:v>Portugal</c:v>
                </c:pt>
                <c:pt idx="10">
                  <c:v>Hungary</c:v>
                </c:pt>
                <c:pt idx="11">
                  <c:v>Ireland</c:v>
                </c:pt>
                <c:pt idx="12">
                  <c:v>Austria</c:v>
                </c:pt>
                <c:pt idx="13">
                  <c:v>Finland</c:v>
                </c:pt>
                <c:pt idx="14">
                  <c:v>Slovakia</c:v>
                </c:pt>
                <c:pt idx="15">
                  <c:v>Slovenia</c:v>
                </c:pt>
                <c:pt idx="16">
                  <c:v>Croatia</c:v>
                </c:pt>
                <c:pt idx="17">
                  <c:v>Latvia</c:v>
                </c:pt>
                <c:pt idx="18">
                  <c:v>Bulgaria</c:v>
                </c:pt>
                <c:pt idx="19">
                  <c:v>Romania</c:v>
                </c:pt>
                <c:pt idx="20">
                  <c:v>Poland</c:v>
                </c:pt>
                <c:pt idx="21">
                  <c:v>Greece</c:v>
                </c:pt>
                <c:pt idx="22">
                  <c:v>Luxembourg</c:v>
                </c:pt>
                <c:pt idx="23">
                  <c:v>Denmark</c:v>
                </c:pt>
                <c:pt idx="24">
                  <c:v>Germany </c:v>
                </c:pt>
                <c:pt idx="25">
                  <c:v>Italy</c:v>
                </c:pt>
                <c:pt idx="26">
                  <c:v>Sweden</c:v>
                </c:pt>
              </c:strCache>
            </c:strRef>
          </c:cat>
          <c:val>
            <c:numRef>
              <c:f>'Basic vs supplementary'!$D$2:$D$28</c:f>
              <c:numCache>
                <c:formatCode>0</c:formatCode>
                <c:ptCount val="27"/>
                <c:pt idx="0">
                  <c:v>0</c:v>
                </c:pt>
                <c:pt idx="1">
                  <c:v>0</c:v>
                </c:pt>
                <c:pt idx="2">
                  <c:v>0</c:v>
                </c:pt>
                <c:pt idx="3">
                  <c:v>0</c:v>
                </c:pt>
                <c:pt idx="4">
                  <c:v>4.7523761880940469</c:v>
                </c:pt>
                <c:pt idx="5">
                  <c:v>15.71340541146154</c:v>
                </c:pt>
                <c:pt idx="6">
                  <c:v>22.754539559014258</c:v>
                </c:pt>
                <c:pt idx="7">
                  <c:v>25.43068088597208</c:v>
                </c:pt>
                <c:pt idx="8">
                  <c:v>39.378660932750051</c:v>
                </c:pt>
                <c:pt idx="9">
                  <c:v>52.552756977535751</c:v>
                </c:pt>
                <c:pt idx="10">
                  <c:v>52.922077922077932</c:v>
                </c:pt>
                <c:pt idx="11">
                  <c:v>53.719008264462808</c:v>
                </c:pt>
                <c:pt idx="12">
                  <c:v>68.686868686868678</c:v>
                </c:pt>
                <c:pt idx="13">
                  <c:v>77.736318407960198</c:v>
                </c:pt>
                <c:pt idx="14">
                  <c:v>81.995133819951306</c:v>
                </c:pt>
                <c:pt idx="15">
                  <c:v>86.564996368917974</c:v>
                </c:pt>
                <c:pt idx="16">
                  <c:v>88.312974579068978</c:v>
                </c:pt>
                <c:pt idx="17">
                  <c:v>92.381157547034306</c:v>
                </c:pt>
                <c:pt idx="18">
                  <c:v>92.975830815709855</c:v>
                </c:pt>
                <c:pt idx="19">
                  <c:v>94.289134567988171</c:v>
                </c:pt>
                <c:pt idx="20">
                  <c:v>95.869495339119254</c:v>
                </c:pt>
                <c:pt idx="21">
                  <c:v>97.730508693963841</c:v>
                </c:pt>
                <c:pt idx="22">
                  <c:v>100</c:v>
                </c:pt>
                <c:pt idx="23">
                  <c:v>0</c:v>
                </c:pt>
                <c:pt idx="24">
                  <c:v>0</c:v>
                </c:pt>
                <c:pt idx="25">
                  <c:v>0</c:v>
                </c:pt>
              </c:numCache>
            </c:numRef>
          </c:val>
          <c:extLst>
            <c:ext xmlns:c16="http://schemas.microsoft.com/office/drawing/2014/chart" uri="{C3380CC4-5D6E-409C-BE32-E72D297353CC}">
              <c16:uniqueId val="{00000000-F7FD-47C4-A115-37BBF220D1B1}"/>
            </c:ext>
          </c:extLst>
        </c:ser>
        <c:ser>
          <c:idx val="1"/>
          <c:order val="1"/>
          <c:tx>
            <c:strRef>
              <c:f>'Basic vs supplementary'!$E$1</c:f>
              <c:strCache>
                <c:ptCount val="1"/>
                <c:pt idx="0">
                  <c:v>Supplementary measures</c:v>
                </c:pt>
              </c:strCache>
            </c:strRef>
          </c:tx>
          <c:spPr>
            <a:solidFill>
              <a:schemeClr val="accent2"/>
            </a:solidFill>
            <a:ln>
              <a:noFill/>
            </a:ln>
            <a:effectLst/>
          </c:spPr>
          <c:invertIfNegative val="0"/>
          <c:cat>
            <c:strRef>
              <c:f>'Basic vs supplementary'!$A$2:$A$28</c:f>
              <c:strCache>
                <c:ptCount val="27"/>
                <c:pt idx="0">
                  <c:v>Lithuania</c:v>
                </c:pt>
                <c:pt idx="1">
                  <c:v>Netherlands</c:v>
                </c:pt>
                <c:pt idx="2">
                  <c:v>Belgium</c:v>
                </c:pt>
                <c:pt idx="3">
                  <c:v>Czechia</c:v>
                </c:pt>
                <c:pt idx="4">
                  <c:v>Malta</c:v>
                </c:pt>
                <c:pt idx="5">
                  <c:v>France</c:v>
                </c:pt>
                <c:pt idx="6">
                  <c:v>Cyprus</c:v>
                </c:pt>
                <c:pt idx="7">
                  <c:v>Estonia</c:v>
                </c:pt>
                <c:pt idx="8">
                  <c:v>Spain</c:v>
                </c:pt>
                <c:pt idx="9">
                  <c:v>Portugal</c:v>
                </c:pt>
                <c:pt idx="10">
                  <c:v>Hungary</c:v>
                </c:pt>
                <c:pt idx="11">
                  <c:v>Ireland</c:v>
                </c:pt>
                <c:pt idx="12">
                  <c:v>Austria</c:v>
                </c:pt>
                <c:pt idx="13">
                  <c:v>Finland</c:v>
                </c:pt>
                <c:pt idx="14">
                  <c:v>Slovakia</c:v>
                </c:pt>
                <c:pt idx="15">
                  <c:v>Slovenia</c:v>
                </c:pt>
                <c:pt idx="16">
                  <c:v>Croatia</c:v>
                </c:pt>
                <c:pt idx="17">
                  <c:v>Latvia</c:v>
                </c:pt>
                <c:pt idx="18">
                  <c:v>Bulgaria</c:v>
                </c:pt>
                <c:pt idx="19">
                  <c:v>Romania</c:v>
                </c:pt>
                <c:pt idx="20">
                  <c:v>Poland</c:v>
                </c:pt>
                <c:pt idx="21">
                  <c:v>Greece</c:v>
                </c:pt>
                <c:pt idx="22">
                  <c:v>Luxembourg</c:v>
                </c:pt>
                <c:pt idx="23">
                  <c:v>Denmark</c:v>
                </c:pt>
                <c:pt idx="24">
                  <c:v>Germany </c:v>
                </c:pt>
                <c:pt idx="25">
                  <c:v>Italy</c:v>
                </c:pt>
                <c:pt idx="26">
                  <c:v>Sweden</c:v>
                </c:pt>
              </c:strCache>
            </c:strRef>
          </c:cat>
          <c:val>
            <c:numRef>
              <c:f>'Basic vs supplementary'!$E$2:$E$28</c:f>
              <c:numCache>
                <c:formatCode>0</c:formatCode>
                <c:ptCount val="27"/>
                <c:pt idx="0">
                  <c:v>100</c:v>
                </c:pt>
                <c:pt idx="1">
                  <c:v>100</c:v>
                </c:pt>
                <c:pt idx="2">
                  <c:v>100</c:v>
                </c:pt>
                <c:pt idx="3">
                  <c:v>100</c:v>
                </c:pt>
                <c:pt idx="4">
                  <c:v>95.247623811905996</c:v>
                </c:pt>
                <c:pt idx="5">
                  <c:v>84.286594588538463</c:v>
                </c:pt>
                <c:pt idx="6">
                  <c:v>77.245460440985724</c:v>
                </c:pt>
                <c:pt idx="7">
                  <c:v>74.569319114027877</c:v>
                </c:pt>
                <c:pt idx="8">
                  <c:v>60.621339067249949</c:v>
                </c:pt>
                <c:pt idx="9">
                  <c:v>47.447243022464242</c:v>
                </c:pt>
                <c:pt idx="10">
                  <c:v>47.077922077922082</c:v>
                </c:pt>
                <c:pt idx="11">
                  <c:v>46.280991735537199</c:v>
                </c:pt>
                <c:pt idx="12">
                  <c:v>31.313131313131311</c:v>
                </c:pt>
                <c:pt idx="13">
                  <c:v>22.263681592039781</c:v>
                </c:pt>
                <c:pt idx="14">
                  <c:v>18.004866180048669</c:v>
                </c:pt>
                <c:pt idx="15">
                  <c:v>13.43500363108206</c:v>
                </c:pt>
                <c:pt idx="16">
                  <c:v>11.687025420931</c:v>
                </c:pt>
                <c:pt idx="17">
                  <c:v>7.6188424529656764</c:v>
                </c:pt>
                <c:pt idx="18">
                  <c:v>7.02416918429003</c:v>
                </c:pt>
                <c:pt idx="19">
                  <c:v>5.7108654320118299</c:v>
                </c:pt>
                <c:pt idx="20">
                  <c:v>4.1305046608807414</c:v>
                </c:pt>
                <c:pt idx="21">
                  <c:v>2.2694913060361568</c:v>
                </c:pt>
                <c:pt idx="22">
                  <c:v>0</c:v>
                </c:pt>
                <c:pt idx="23">
                  <c:v>0</c:v>
                </c:pt>
                <c:pt idx="24">
                  <c:v>0</c:v>
                </c:pt>
                <c:pt idx="25">
                  <c:v>0</c:v>
                </c:pt>
              </c:numCache>
            </c:numRef>
          </c:val>
          <c:extLst>
            <c:ext xmlns:c16="http://schemas.microsoft.com/office/drawing/2014/chart" uri="{C3380CC4-5D6E-409C-BE32-E72D297353CC}">
              <c16:uniqueId val="{00000001-F7FD-47C4-A115-37BBF220D1B1}"/>
            </c:ext>
          </c:extLst>
        </c:ser>
        <c:dLbls>
          <c:showLegendKey val="0"/>
          <c:showVal val="0"/>
          <c:showCatName val="0"/>
          <c:showSerName val="0"/>
          <c:showPercent val="0"/>
          <c:showBubbleSize val="0"/>
        </c:dLbls>
        <c:gapWidth val="150"/>
        <c:overlap val="100"/>
        <c:axId val="1908803776"/>
        <c:axId val="1908557520"/>
      </c:barChart>
      <c:catAx>
        <c:axId val="19088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557520"/>
        <c:crosses val="autoZero"/>
        <c:auto val="1"/>
        <c:lblAlgn val="ctr"/>
        <c:lblOffset val="100"/>
        <c:noMultiLvlLbl val="0"/>
      </c:catAx>
      <c:valAx>
        <c:axId val="19085575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80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E3DBF49D2D4AA2AAD03C11E0B423" ma:contentTypeVersion="1" ma:contentTypeDescription="Create a new document." ma:contentTypeScope="" ma:versionID="3a5eb343ff25a0b930cb1f46c7170fef">
  <xsd:schema xmlns:xsd="http://www.w3.org/2001/XMLSchema" xmlns:xs="http://www.w3.org/2001/XMLSchema" xmlns:p="http://schemas.microsoft.com/office/2006/metadata/properties" xmlns:ns2="http://schemas.microsoft.com/sharepoint/v3" targetNamespace="http://schemas.microsoft.com/office/2006/metadata/properties" ma:root="true" ma:fieldsID="c6c2e5ea2214b903bbe91fcb0c6ef152" ns2:_="">
    <xsd:import namespace="http://schemas.microsoft.com/sharepoint/v3"/>
    <xsd:element name="properties">
      <xsd:complexType>
        <xsd:sequence>
          <xsd:element name="documentManagement">
            <xsd:complexType>
              <xsd:all>
                <xsd:element ref="ns2:PublishingStartDate" minOccurs="0"/>
                <xsd:element ref="ns2: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description="" ma:hidden="true" ma:internalName="PublishingStartDate">
      <xsd:simpleType>
        <xsd:restriction base="dms:Unknown"/>
      </xsd:simpleType>
    </xsd:element>
    <xsd:element name="PublishingExpirationDate" ma:index="6"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0"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xts>
  <SecurityPersonalDataHandling>Ne peuvent être communiquées que sur la base du besoin d'en connaître, conformément au règlement (CE) n° 45/2001. Les courriers électroniques doivent être cryptés au moyen de SECEM.</SecurityPersonalDataHandling>
  <SecurityPharma>Pharma investigations</SecurityPharma>
  <MarkingUntilText>UNTIL</MarkingUntilText>
  <TOCHeading>Table des matières</TOCHeading>
  <FooterOffice>Bureau:</FooterOffice>
  <SecurityMediationServiceMatter>Mediation service</SecurityMediationServiceMatter>
  <SecurityPersonalData>Données à caractère personnel</SecurityPersonalData>
  <LabelPictureSeq>Figure {SEQ Picture \* ARABIC } –</LabelPictureSeq>
  <SecurityEconomyAndFinance>Economy and finance</SecurityEconomyAndFinance>
  <LabelSource>Source</LabelSource>
  <SecurityOlafInvestigations>OLAF investigations</SecurityOlafInvestigations>
  <TechHistoryCreatedBy>Document créé par</TechHistoryCreatedBy>
  <FooterFax>Fax</FooterFax>
  <FooterPhone>Tél. ligne directe</FooterPhone>
  <CourtProceduralDocuments>Documents de procédure juridictionnelle</CourtProceduralDocuments>
  <SensitiveHandling>Handling instructions for SENSITIVE information are given at https://europa.eu/!db43PX</SensitiveHandling>
  <SecurityOlafSpecialHandling>OLAF investigations</SecurityOlafSpecialHandling>
  <SecurityOpinionLegalService>Avis du Service Juridique</SecurityOpinionLegalService>
  <AddresseeTo>Destinataire:</AddresseeTo>
  <SecurityMedicalSecret>Secret médical</SecurityMedicalSecret>
  <SecurityPersonal>Strictement Personnel</SecurityPersonal>
  <TechHistoryDate>Date</TechHistoryDate>
  <SensitiveLabel>Sensitive</SensitiveLabel>
  <SecurityInvestigationsDisciplinary>Enquêtes et affaires disciplinaires</SecurityInvestigationsDisciplinary>
  <Contacts>Personnes à contacter:</Contacts>
  <SpecialHandlingLabel>Special Handling</SpecialHandlingLabel>
  <SecurityCompOperations>COMP Operations</SecurityCompOperations>
  <SecurityEuSatellite>EU satellite navigation matters</SecurityEuSatellite>
  <SecurityReleasable>RELEASABLE TO:</SecurityReleasable>
  <SecuritySecurityMatter>Question de sécurité</SecuritySecurityMatter>
  <SpecialHandlingFootnote>Special handling instructions are given at https://europa.eu/!db43PX</SpecialHandlingFootnote>
  <OrgaRoot>COMMISSION EUROPÉENNE</OrgaRoot>
  <SecurityEtsSensitive>ETS</SecurityEtsSensitive>
  <TechHistoryVersion>Version</TechHistoryVersion>
  <TechHistory>Tableau de l'historique</TechHistory>
  <SecurityStaffMatter>Affaire de personnel</SecurityStaffMatter>
  <SecurityEtsCritical>ETS Critical</SecurityEtsCritical>
  <SecurityCompSpecial>COMP</SecurityCompSpecial>
  <SecurityPharmaSpecial>Pharma investigations</SecurityPharmaSpecial>
  <SecurityIasOperations>IAS operations</SecurityIasOperations>
  <TechHistoryComment>Commentaire</TechHistoryComment>
  <Contact>Personne à contacter:</Contact>
  <TLPAmber>TLP: Amber</TLPAmber>
  <AddressFooterBrussels>Commission européenne, 1049 Bruxelles, BELGIQUE - Tél. +32 22991111</AddressFooterBrussels>
  <SecurityEmbargo>Embargo jusqu'à</SecurityEmbargo>
  <DateFormatShort>dd/MM/yyyy</DateFormatShort>
  <DateFormatLong>d MMMM yyyy</DateFormatLong>
</Texts>
</file>

<file path=customXml/item3.xml><?xml version="1.0" encoding="utf-8"?>
<EurolookProperties>
  <ProductCustomizationId/>
  <Created>
    <Version>4.1</Version>
    <Date>2019-06-07T14:35:24</Date>
    <Language>FR</Language>
  </Created>
  <Edited>
    <Version>10.0.38495.0</Version>
    <Date>2019-06-07T15:17:56</Date>
  </Edited>
  <DocumentModel>
    <Id>6cbda13a-4db2-46c6-876a-ef72275827ef</Id>
    <Name>Report</Name>
  </DocumentModel>
  <DocumentDate/>
  <DocumentVersion/>
  <CompatibilityMode>Eurolook4x</CompatibilityMode>
  <Address/>
</EurolookProperti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Author Role="Creator">
  <Id>e3f7444e-40ca-4dc1-b867-1ec09c31223c</Id>
  <Names>
    <Latin>
      <FirstName>Valerie</FirstName>
      <LastName>O'BRIEN</LastName>
    </Latin>
    <Greek>
      <FirstName/>
      <LastName/>
    </Greek>
    <Cyrillic>
      <FirstName/>
      <LastName/>
    </Cyrillic>
    <DocumentScript>
      <FirstName>Valerie</FirstName>
      <LastName>O'BRIEN</LastName>
      <FullName>Valerie O'BRIEN</FullName>
    </DocumentScript>
  </Names>
  <Initials>VO</Initials>
  <Gender>f</Gender>
  <Email>Valerie.OBrien@ec.europa.eu</Email>
  <Service>ENV.A.2</Service>
  <Function ShowInSignature="true"/>
  <WebAddress/>
  <InheritedWebAddress>WebAddress</InheritedWebAddress>
  <OrgaEntity1>
    <Id>97cead3c-fd4c-47cd-8c1d-f49ace8dda92</Id>
    <LogicalLevel>1</LogicalLevel>
    <Name>ENV</Name>
    <HeadLine1>DIRECTION GÉNÉRALE</HeadLine1>
    <HeadLine2>ENVIRONNEMENT</HeadLine2>
    <PrimaryAddressId>f03b5801-04c9-4931-aa17-c6d6c70bc579</PrimaryAddressId>
    <SecondaryAddressId/>
    <WebAddress>WebAddress</WebAddress>
    <InheritedWebAddress>WebAddress</InheritedWebAddress>
    <ShowInHeader>true</ShowInHeader>
  </OrgaEntity1>
  <OrgaEntity2>
    <Id>13a67044-b0a0-427a-8e0f-a40fdfb71599</Id>
    <LogicalLevel>2</LogicalLevel>
    <Name>ENV.A</Name>
    <HeadLine1>Direction A - Politique, Coordination et Ressources</HeadLine1>
    <HeadLine2/>
    <PrimaryAddressId>f03b5801-04c9-4931-aa17-c6d6c70bc579</PrimaryAddressId>
    <SecondaryAddressId/>
    <WebAddress/>
    <InheritedWebAddress>WebAddress</InheritedWebAddress>
    <ShowInHeader>true</ShowInHeader>
  </OrgaEntity2>
  <OrgaEntity3>
    <Id>3c52109b-c0b2-4e60-903c-c3d8fd43dd45</Id>
    <LogicalLevel>3</LogicalLevel>
    <Name>ENV.A.2</Name>
    <HeadLine1>ENV.A.2- Finances vertes et analyse économique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+32 229 63780</Phone>
    <Office>BU-9 06/115</Office>
  </MainWorkplace>
  <Workplaces>
    <Workplace IsMain="false">
      <AddressId>1264fb81-f6bb-475e-9f9d-a937d3be6ee2</AddressId>
      <Fax/>
      <Phone/>
      <Office/>
    </Workplace>
    <Workplace IsMain="true">
      <AddressId>f03b5801-04c9-4931-aa17-c6d6c70bc579</AddressId>
      <Fax/>
      <Phone>+32 229 63780</Phone>
      <Office>BU-9 06/115</Office>
    </Workplace>
  </Workplaces>
</Author>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804C3-AF7F-4A6E-ACE2-23B162257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78598F-4763-415C-B0CC-EAD35E08468D}">
  <ds:schemaRefs/>
</ds:datastoreItem>
</file>

<file path=customXml/itemProps3.xml><?xml version="1.0" encoding="utf-8"?>
<ds:datastoreItem xmlns:ds="http://schemas.openxmlformats.org/officeDocument/2006/customXml" ds:itemID="{5ADFFC32-8B67-429E-82A7-0291C3B401F5}">
  <ds:schemaRefs/>
</ds:datastoreItem>
</file>

<file path=customXml/itemProps4.xml><?xml version="1.0" encoding="utf-8"?>
<ds:datastoreItem xmlns:ds="http://schemas.openxmlformats.org/officeDocument/2006/customXml" ds:itemID="{2FA7849D-CC56-4218-8477-64BFC1A344B9}">
  <ds:schemaRefs>
    <ds:schemaRef ds:uri="http://schemas.microsoft.com/office/2006/metadata/properties"/>
    <ds:schemaRef ds:uri="http://schemas.microsoft.com/office/2006/documentManagement/types"/>
    <ds:schemaRef ds:uri="http://schemas.microsoft.com/sharepoint/v3"/>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 ds:uri="http://purl.org/dc/terms/"/>
  </ds:schemaRefs>
</ds:datastoreItem>
</file>

<file path=customXml/itemProps5.xml><?xml version="1.0" encoding="utf-8"?>
<ds:datastoreItem xmlns:ds="http://schemas.openxmlformats.org/officeDocument/2006/customXml" ds:itemID="{577D6C1D-B297-476E-89A1-65D3644A89F8}">
  <ds:schemaRefs>
    <ds:schemaRef ds:uri="http://schemas.microsoft.com/sharepoint/v3/contenttype/forms"/>
  </ds:schemaRefs>
</ds:datastoreItem>
</file>

<file path=customXml/itemProps6.xml><?xml version="1.0" encoding="utf-8"?>
<ds:datastoreItem xmlns:ds="http://schemas.openxmlformats.org/officeDocument/2006/customXml" ds:itemID="{4B7F816E-87B3-4373-8316-63D841753584}">
  <ds:schemaRefs/>
</ds:datastoreItem>
</file>

<file path=customXml/itemProps7.xml><?xml version="1.0" encoding="utf-8"?>
<ds:datastoreItem xmlns:ds="http://schemas.openxmlformats.org/officeDocument/2006/customXml" ds:itemID="{6780FE62-D174-4510-B059-FDBE07339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0</TotalTime>
  <Pages>82</Pages>
  <Words>22835</Words>
  <Characters>130160</Characters>
  <Application>Microsoft Office Word</Application>
  <DocSecurity>6</DocSecurity>
  <PresentationFormat>Microsoft Word 11.0</PresentationFormat>
  <Lines>1084</Lines>
  <Paragraphs>305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for studies</vt:lpstr>
      <vt:lpstr>Template for studies</vt:lpstr>
    </vt:vector>
  </TitlesOfParts>
  <Company>European Commission</Company>
  <LinksUpToDate>false</LinksUpToDate>
  <CharactersWithSpaces>152690</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studies</dc:title>
  <dc:creator>European Commission</dc:creator>
  <cp:lastModifiedBy>Gerardo Anzaldua</cp:lastModifiedBy>
  <cp:revision>2</cp:revision>
  <cp:lastPrinted>2019-06-04T09:16:00Z</cp:lastPrinted>
  <dcterms:created xsi:type="dcterms:W3CDTF">2021-02-01T14:04:00Z</dcterms:created>
  <dcterms:modified xsi:type="dcterms:W3CDTF">2021-02-01T14:04:00Z</dcterms:modified>
  <cp:category>Guidance on studies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0x010100A4DCE3DBF49D2D4AA2AAD03C11E0B423</vt:lpwstr>
  </property>
</Properties>
</file>